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jc w:val="both"/>
        <w:rPr>
          <w:rFonts w:hint="default" w:ascii="Times New Roman" w:hAnsi="Times New Roman" w:cs="Times New Roman"/>
          <w:color w:val="000000" w:themeColor="text1"/>
          <w:sz w:val="46"/>
          <w:szCs w:val="46"/>
          <w14:textFill>
            <w14:solidFill>
              <w14:schemeClr w14:val="tx1"/>
            </w14:solidFill>
          </w14:textFill>
        </w:rPr>
      </w:pPr>
      <w:r>
        <w:rPr>
          <w:rFonts w:hint="default" w:ascii="Times New Roman" w:hAnsi="Times New Roman" w:cs="Times New Roman"/>
          <w:color w:val="000000" w:themeColor="text1"/>
          <w:sz w:val="46"/>
          <w:szCs w:val="46"/>
          <w14:textFill>
            <w14:solidFill>
              <w14:schemeClr w14:val="tx1"/>
            </w14:solidFill>
          </w14:textFill>
        </w:rPr>
        <w:t>BÁO CÁO CHI TIẾT VỀ VIỆC SỬ DỤNG DOCKER TRIỂN KHAI BACKEND NODE.JS CHO TRANG WEB BÁN HÀNG</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1. Mục tiêu</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Trong dự án xây dựng trang web bán hàng, backend đóng vai trò xử lý logic, tương tác với cơ sở dữ liệu, xác thực người dùng và cung cấp API cho frontend. Việc sử dụng Docker giúp đơn giản hóa quá trình triển khai backend Node.js bằng cách đóng gói toàn bộ mã nguồn, thư viện và cấu hình vào một container. Điều</w:t>
      </w:r>
      <w:bookmarkStart w:id="0" w:name="_GoBack"/>
      <w:bookmarkEnd w:id="0"/>
      <w:r>
        <w:rPr>
          <w:rFonts w:hint="default" w:ascii="Times New Roman" w:hAnsi="Times New Roman" w:cs="Times New Roman"/>
          <w:color w:val="000000" w:themeColor="text1"/>
          <w:sz w:val="26"/>
          <w:szCs w:val="26"/>
          <w14:textFill>
            <w14:solidFill>
              <w14:schemeClr w14:val="tx1"/>
            </w14:solidFill>
          </w14:textFill>
        </w:rPr>
        <w:t xml:space="preserve"> này đảm bảo ứng dụng có thể chạy ổn định trên mọi máy, bất kể hệ điều hành hay môi trường cài đặt.</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2. Giới thiệu công nghệ sử dụng</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Node.js: Nền tảng backend sử dụng JavaScript, nổi bật với hiệu năng cao và cộng đồng mạnh mẽ.</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Express.js: Framework nhẹ của Node.js giúp xây dựng API RESTful nhanh chóng.</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MongoDB: Cơ sở dữ liệu NoSQL dùng để lưu trữ thông tin sản phẩm, người dùng, đơn hàng,...</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Docker: Nền tảng dùng để đóng gói ứng dụng vào các container, giúp triển khai nhất quán và dễ mở rộng.</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3. Cấu trúc thư mục dự án</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/backend</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src/                   # Chứa mã nguồn (controllers, routes, models, ...)</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package.json           # Danh sách dependencies và script</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Dockerfile             # File cấu hình để build Docker image</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.dockerignore          # Các file/thư mục không copy vào image</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docker-compose.yml     # Khởi tạo nhiều container cùng lúc</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4. Nội dung Dockerfile và giải thích</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```Dockerfile</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FROM node:18</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WORKDIR /app</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COPY package*.json ./</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RUN npm install</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COPY . .</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EXPOSE 3000</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CMD ["npm", "start"]</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WORKDIR /app: Mọi thao tác sau đó sẽ thực hiện trong thư mục /app của container.</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COPY + RUN npm install: Đảm bảo chỉ cài đặt lại khi package.json thay đổi, giúp tối ưu hóa việc build.</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CMD: Chạy lệnh mặc định để khởi động server Node.js.</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5. Cấu hình docker-compose.yml và giải thích</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```yaml</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version: '3'</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services:</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backend:</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build: .</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ports:</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 "3000:3000"</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depends_on:</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 mongo</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environment:</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 MONGO_URL=mongodb://mongo:27017/shopdb</w:t>
      </w:r>
    </w:p>
    <w:p>
      <w:pPr>
        <w:jc w:val="both"/>
        <w:rPr>
          <w:rFonts w:hint="default" w:ascii="Times New Roman" w:hAnsi="Times New Roman" w:cs="Times New Roman"/>
          <w:color w:val="000000" w:themeColor="text1"/>
          <w:sz w:val="26"/>
          <w:szCs w:val="26"/>
          <w14:textFill>
            <w14:solidFill>
              <w14:schemeClr w14:val="tx1"/>
            </w14:solidFill>
          </w14:textFill>
        </w:rPr>
      </w:pP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mongo:</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image: mongo:latest</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container_name: mongo</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volumes:</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 mongo-data:/data/db</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volumes:</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  mongo-data:</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backend: Dịch vụ Node.js, được build từ Dockerfile, expose cổng 3000.</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mongo: Dịch vụ MongoDB, dùng image chính thức mongo, lưu trữ dữ liệu trong volume mongo-data.</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environment: Truyền biến môi trường MONGO_URL để backend biết kết nối tới MongoDB.</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6. Quy trình chạy ứng dụng với Docker</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Bước 1: Build và khởi động toàn bộ hệ thống:</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docker-compose up --build</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Bước 2: Kiểm tra:</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API backend chạy ở: http://localhost:3000</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MongoDB chạy ẩn trong container tên mongo</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Bước 3: Dừng toàn bộ container:</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docker-compose down</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7. Lợi ích khi sử dụng Docker</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Nhất quán</w:t>
      </w:r>
      <w:r>
        <w:rPr>
          <w:rFonts w:hint="default" w:ascii="Times New Roman" w:hAnsi="Times New Roman" w:cs="Times New Roman"/>
          <w:color w:val="000000" w:themeColor="text1"/>
          <w:sz w:val="26"/>
          <w:szCs w:val="26"/>
          <w:lang w:val="en-US"/>
          <w14:textFill>
            <w14:solidFill>
              <w14:schemeClr w14:val="tx1"/>
            </w14:solidFill>
          </w14:textFill>
        </w:rPr>
        <w:t>:</w:t>
      </w:r>
      <w:r>
        <w:rPr>
          <w:rFonts w:hint="default" w:ascii="Times New Roman" w:hAnsi="Times New Roman" w:cs="Times New Roman"/>
          <w:color w:val="000000" w:themeColor="text1"/>
          <w:sz w:val="26"/>
          <w:szCs w:val="26"/>
          <w14:textFill>
            <w14:solidFill>
              <w14:schemeClr w14:val="tx1"/>
            </w14:solidFill>
          </w14:textFill>
        </w:rPr>
        <w:t xml:space="preserve"> Docker giúp đảm bảo môi trường chạy giống nhau ở máy cá nhân và server triển khai. |</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|Dễ deploy</w:t>
      </w:r>
      <w:r>
        <w:rPr>
          <w:rFonts w:hint="default" w:ascii="Times New Roman" w:hAnsi="Times New Roman" w:cs="Times New Roman"/>
          <w:color w:val="000000" w:themeColor="text1"/>
          <w:sz w:val="26"/>
          <w:szCs w:val="26"/>
          <w:lang w:val="en-US"/>
          <w14:textFill>
            <w14:solidFill>
              <w14:schemeClr w14:val="tx1"/>
            </w14:solidFill>
          </w14:textFill>
        </w:rPr>
        <w:t>:</w:t>
      </w:r>
      <w:r>
        <w:rPr>
          <w:rFonts w:hint="default" w:ascii="Times New Roman" w:hAnsi="Times New Roman" w:cs="Times New Roman"/>
          <w:color w:val="000000" w:themeColor="text1"/>
          <w:sz w:val="26"/>
          <w:szCs w:val="26"/>
          <w14:textFill>
            <w14:solidFill>
              <w14:schemeClr w14:val="tx1"/>
            </w14:solidFill>
          </w14:textFill>
        </w:rPr>
        <w:t xml:space="preserve"> Chỉ cần một dòng lệnh để build và chạy toàn bộ hệ thống. |</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Tách biệt môi trườn</w:t>
      </w:r>
      <w:r>
        <w:rPr>
          <w:rFonts w:hint="default" w:ascii="Times New Roman" w:hAnsi="Times New Roman" w:cs="Times New Roman"/>
          <w:color w:val="000000" w:themeColor="text1"/>
          <w:sz w:val="26"/>
          <w:szCs w:val="26"/>
          <w:lang w:val="en-US"/>
          <w14:textFill>
            <w14:solidFill>
              <w14:schemeClr w14:val="tx1"/>
            </w14:solidFill>
          </w14:textFill>
        </w:rPr>
        <w:t xml:space="preserve">g: </w:t>
      </w:r>
      <w:r>
        <w:rPr>
          <w:rFonts w:hint="default" w:ascii="Times New Roman" w:hAnsi="Times New Roman" w:cs="Times New Roman"/>
          <w:color w:val="000000" w:themeColor="text1"/>
          <w:sz w:val="26"/>
          <w:szCs w:val="26"/>
          <w14:textFill>
            <w14:solidFill>
              <w14:schemeClr w14:val="tx1"/>
            </w14:solidFill>
          </w14:textFill>
        </w:rPr>
        <w:t>Mỗi dịch vụ (backend, database) chạy độc lập, không xung đột với phần mềm cài trong máy</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Dễ mở rộng</w:t>
      </w:r>
      <w:r>
        <w:rPr>
          <w:rFonts w:hint="default" w:ascii="Times New Roman" w:hAnsi="Times New Roman" w:cs="Times New Roman"/>
          <w:color w:val="000000" w:themeColor="text1"/>
          <w:sz w:val="26"/>
          <w:szCs w:val="26"/>
          <w:lang w:val="en-US"/>
          <w14:textFill>
            <w14:solidFill>
              <w14:schemeClr w14:val="tx1"/>
            </w14:solidFill>
          </w14:textFill>
        </w:rPr>
        <w:t>.</w:t>
      </w:r>
      <w:r>
        <w:rPr>
          <w:rFonts w:hint="default" w:ascii="Times New Roman" w:hAnsi="Times New Roman" w:cs="Times New Roman"/>
          <w:color w:val="000000" w:themeColor="text1"/>
          <w:sz w:val="26"/>
          <w:szCs w:val="26"/>
          <w14:textFill>
            <w14:solidFill>
              <w14:schemeClr w14:val="tx1"/>
            </w14:solidFill>
          </w14:textFill>
        </w:rPr>
        <w:t xml:space="preserve"> Có thể thêm Redis, Nginx, hoặc service khác bằng cách khai báo thêm trong docker-compose.</w:t>
      </w:r>
    </w:p>
    <w:p>
      <w:pPr>
        <w:pStyle w:val="2"/>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8. Kết luận</w:t>
      </w:r>
    </w:p>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Docker là công cụ mạnh mẽ giúp triển khai backend Node.js một cách chuyên nghiệp, hiện đại và tối ưu. Việc áp dụng Docker trong dự án trang web bán hàng giúp đảm bảo tính linh hoạt, dễ bảo trì và sẵn sàng mở rộng khi cần thiết.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B844A1"/>
    <w:rsid w:val="0A600591"/>
    <w:rsid w:val="255A0E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Sơn Huỳnh Phạm Hoàng (Rô)</cp:lastModifiedBy>
  <dcterms:modified xsi:type="dcterms:W3CDTF">2025-04-07T15:57:50Z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F2B795888C25455EBAD6D6A86B3CB883_12</vt:lpwstr>
  </property>
</Properties>
</file>