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2">
      <w:pPr>
        <w:pStyle w:val="Heading1"/>
        <w:numPr>
          <w:ilvl w:val="0"/>
          <w:numId w:val="4"/>
        </w:numPr>
        <w:ind w:left="720" w:hanging="360"/>
        <w:rPr/>
      </w:pPr>
      <w:bookmarkStart w:colFirst="0" w:colLast="0" w:name="_tkhn80wk3q1a" w:id="0"/>
      <w:bookmarkEnd w:id="0"/>
      <w:r w:rsidDel="00000000" w:rsidR="00000000" w:rsidRPr="00000000">
        <w:rPr>
          <w:rtl w:val="0"/>
        </w:rPr>
        <w:t xml:space="preserve">EDA</w:t>
      </w:r>
    </w:p>
    <w:p w:rsidR="00000000" w:rsidDel="00000000" w:rsidP="00000000" w:rsidRDefault="00000000" w:rsidRPr="00000000" w14:paraId="00000003">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Data recorded in </w:t>
      </w:r>
      <w:r w:rsidDel="00000000" w:rsidR="00000000" w:rsidRPr="00000000">
        <w:rPr>
          <w:rFonts w:ascii="Inter" w:cs="Inter" w:eastAsia="Inter" w:hAnsi="Inter"/>
          <w:b w:val="1"/>
          <w:rtl w:val="0"/>
        </w:rPr>
        <w:t xml:space="preserve">6 years</w:t>
      </w:r>
      <w:r w:rsidDel="00000000" w:rsidR="00000000" w:rsidRPr="00000000">
        <w:rPr>
          <w:rFonts w:ascii="Inter" w:cs="Inter" w:eastAsia="Inter" w:hAnsi="Inter"/>
          <w:rtl w:val="0"/>
        </w:rPr>
        <w:t xml:space="preserve">, from Feb, 2018 to March, 2023</w:t>
      </w:r>
    </w:p>
    <w:p w:rsidR="00000000" w:rsidDel="00000000" w:rsidP="00000000" w:rsidRDefault="00000000" w:rsidRPr="00000000" w14:paraId="00000004">
      <w:pPr>
        <w:numPr>
          <w:ilvl w:val="0"/>
          <w:numId w:val="2"/>
        </w:numPr>
        <w:ind w:left="720" w:hanging="360"/>
        <w:rPr>
          <w:rFonts w:ascii="Inter" w:cs="Inter" w:eastAsia="Inter" w:hAnsi="Inter"/>
        </w:rPr>
      </w:pPr>
      <w:r w:rsidDel="00000000" w:rsidR="00000000" w:rsidRPr="00000000">
        <w:rPr>
          <w:rFonts w:ascii="Inter" w:cs="Inter" w:eastAsia="Inter" w:hAnsi="Inter"/>
          <w:b w:val="1"/>
          <w:rtl w:val="0"/>
        </w:rPr>
        <w:t xml:space="preserve">HPG closing price </w:t>
      </w:r>
      <w:r w:rsidDel="00000000" w:rsidR="00000000" w:rsidRPr="00000000">
        <w:rPr>
          <w:rFonts w:ascii="Inter" w:cs="Inter" w:eastAsia="Inter" w:hAnsi="Inter"/>
          <w:rtl w:val="0"/>
        </w:rPr>
        <w:t xml:space="preserve">ranging from 7,411 VND to 43,895 VND, mean = 19,249 VND and standard deviation = 9,780 VND</w:t>
      </w:r>
    </w:p>
    <w:p w:rsidR="00000000" w:rsidDel="00000000" w:rsidP="00000000" w:rsidRDefault="00000000" w:rsidRPr="00000000" w14:paraId="00000005">
      <w:pPr>
        <w:numPr>
          <w:ilvl w:val="0"/>
          <w:numId w:val="2"/>
        </w:numPr>
        <w:ind w:left="720" w:hanging="360"/>
        <w:rPr>
          <w:rFonts w:ascii="Inter" w:cs="Inter" w:eastAsia="Inter" w:hAnsi="Inter"/>
        </w:rPr>
      </w:pPr>
      <w:r w:rsidDel="00000000" w:rsidR="00000000" w:rsidRPr="00000000">
        <w:rPr>
          <w:rFonts w:ascii="Inter" w:cs="Inter" w:eastAsia="Inter" w:hAnsi="Inter"/>
          <w:b w:val="1"/>
          <w:rtl w:val="0"/>
        </w:rPr>
        <w:t xml:space="preserve">Trading volume</w:t>
      </w:r>
      <w:r w:rsidDel="00000000" w:rsidR="00000000" w:rsidRPr="00000000">
        <w:rPr>
          <w:rFonts w:ascii="Inter" w:cs="Inter" w:eastAsia="Inter" w:hAnsi="Inter"/>
          <w:rtl w:val="0"/>
        </w:rPr>
        <w:t xml:space="preserve"> ranging from 2mil/day to 100mil/day, mean = 24 mill/day and standard deviation = 15 mill/day</w:t>
      </w:r>
    </w:p>
    <w:p w:rsidR="00000000" w:rsidDel="00000000" w:rsidP="00000000" w:rsidRDefault="00000000" w:rsidRPr="00000000" w14:paraId="00000006">
      <w:pPr>
        <w:rPr>
          <w:rFonts w:ascii="Inter" w:cs="Inter" w:eastAsia="Inter" w:hAnsi="Inter"/>
        </w:rPr>
      </w:pPr>
      <w:r w:rsidDel="00000000" w:rsidR="00000000" w:rsidRPr="00000000">
        <w:rPr>
          <w:rtl w:val="0"/>
        </w:rPr>
      </w:r>
    </w:p>
    <w:p w:rsidR="00000000" w:rsidDel="00000000" w:rsidP="00000000" w:rsidRDefault="00000000" w:rsidRPr="00000000" w14:paraId="00000007">
      <w:pPr>
        <w:rPr>
          <w:rFonts w:ascii="Inter" w:cs="Inter" w:eastAsia="Inter" w:hAnsi="Inter"/>
        </w:rPr>
      </w:pPr>
      <w:r w:rsidDel="00000000" w:rsidR="00000000" w:rsidRPr="00000000">
        <w:rPr>
          <w:rFonts w:ascii="Inter" w:cs="Inter" w:eastAsia="Inter" w:hAnsi="Inter"/>
        </w:rPr>
        <w:drawing>
          <wp:inline distB="114300" distT="114300" distL="114300" distR="114300">
            <wp:extent cx="6645600" cy="5321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45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Inter" w:cs="Inter" w:eastAsia="Inter" w:hAnsi="Inter"/>
        </w:rPr>
      </w:pPr>
      <w:r w:rsidDel="00000000" w:rsidR="00000000" w:rsidRPr="00000000">
        <w:rPr>
          <w:rtl w:val="0"/>
        </w:rPr>
      </w:r>
    </w:p>
    <w:p w:rsidR="00000000" w:rsidDel="00000000" w:rsidP="00000000" w:rsidRDefault="00000000" w:rsidRPr="00000000" w14:paraId="00000009">
      <w:pPr>
        <w:rPr>
          <w:rFonts w:ascii="Inter" w:cs="Inter" w:eastAsia="Inter" w:hAnsi="Inter"/>
          <w:b w:val="1"/>
          <w:color w:val="cc0000"/>
        </w:rPr>
      </w:pPr>
      <w:r w:rsidDel="00000000" w:rsidR="00000000" w:rsidRPr="00000000">
        <w:rPr>
          <w:rFonts w:ascii="Inter" w:cs="Inter" w:eastAsia="Inter" w:hAnsi="Inter"/>
          <w:b w:val="1"/>
          <w:color w:val="cc0000"/>
          <w:rtl w:val="0"/>
        </w:rPr>
        <w:t xml:space="preserve">Explaining price &amp; volume:</w:t>
      </w:r>
    </w:p>
    <w:p w:rsidR="00000000" w:rsidDel="00000000" w:rsidP="00000000" w:rsidRDefault="00000000" w:rsidRPr="00000000" w14:paraId="0000000A">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HPG starts at 12,000 VND and is in a downtrend, entering a </w:t>
      </w:r>
      <w:r w:rsidDel="00000000" w:rsidR="00000000" w:rsidRPr="00000000">
        <w:rPr>
          <w:rFonts w:ascii="Inter" w:cs="Inter" w:eastAsia="Inter" w:hAnsi="Inter"/>
          <w:b w:val="1"/>
          <w:rtl w:val="0"/>
        </w:rPr>
        <w:t xml:space="preserve">bullish falling wedge pattern </w:t>
      </w:r>
      <w:r w:rsidDel="00000000" w:rsidR="00000000" w:rsidRPr="00000000">
        <w:rPr>
          <w:rFonts w:ascii="Inter" w:cs="Inter" w:eastAsia="Inter" w:hAnsi="Inter"/>
          <w:rtl w:val="0"/>
        </w:rPr>
        <w:t xml:space="preserve">from 2018 to March 2020, which suggests a </w:t>
      </w:r>
      <w:r w:rsidDel="00000000" w:rsidR="00000000" w:rsidRPr="00000000">
        <w:rPr>
          <w:rFonts w:ascii="Inter" w:cs="Inter" w:eastAsia="Inter" w:hAnsi="Inter"/>
          <w:b w:val="1"/>
          <w:rtl w:val="0"/>
        </w:rPr>
        <w:t xml:space="preserve">potential upside breakout</w:t>
      </w:r>
      <w:r w:rsidDel="00000000" w:rsidR="00000000" w:rsidRPr="00000000">
        <w:rPr>
          <w:rFonts w:ascii="Inter" w:cs="Inter" w:eastAsia="Inter" w:hAnsi="Inter"/>
          <w:rtl w:val="0"/>
        </w:rPr>
        <w:t xml:space="preserve">. This is backed up by </w:t>
      </w:r>
      <w:r w:rsidDel="00000000" w:rsidR="00000000" w:rsidRPr="00000000">
        <w:rPr>
          <w:rFonts w:ascii="Inter" w:cs="Inter" w:eastAsia="Inter" w:hAnsi="Inter"/>
          <w:b w:val="1"/>
          <w:rtl w:val="0"/>
        </w:rPr>
        <w:t xml:space="preserve">rising RSI lows</w:t>
      </w:r>
      <w:r w:rsidDel="00000000" w:rsidR="00000000" w:rsidRPr="00000000">
        <w:rPr>
          <w:rFonts w:ascii="Inter" w:cs="Inter" w:eastAsia="Inter" w:hAnsi="Inter"/>
          <w:rtl w:val="0"/>
        </w:rPr>
        <w:t xml:space="preserve">, which suggests</w:t>
      </w:r>
      <w:r w:rsidDel="00000000" w:rsidR="00000000" w:rsidRPr="00000000">
        <w:rPr>
          <w:rFonts w:ascii="Inter" w:cs="Inter" w:eastAsia="Inter" w:hAnsi="Inter"/>
          <w:b w:val="1"/>
          <w:rtl w:val="0"/>
        </w:rPr>
        <w:t xml:space="preserve"> increasing buying strength</w:t>
      </w:r>
      <w:r w:rsidDel="00000000" w:rsidR="00000000" w:rsidRPr="00000000">
        <w:rPr>
          <w:rFonts w:ascii="Inter" w:cs="Inter" w:eastAsia="Inter" w:hAnsi="Inter"/>
          <w:rtl w:val="0"/>
        </w:rPr>
        <w:t xml:space="preserve"> despite the falling price.</w:t>
      </w:r>
    </w:p>
    <w:p w:rsidR="00000000" w:rsidDel="00000000" w:rsidP="00000000" w:rsidRDefault="00000000" w:rsidRPr="00000000" w14:paraId="0000000B">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HPG eventually breaks out of the falling wedge's upper trendline, entering an uptrend. Both moving averages of 50 and 200 days act as supporting levels. MACD showing bullish divergence (rising highs) and RSI cross 70 numerous times, often stays over 50 and rarely dip to 30. This confirms the trend reversal into a bullish phase, from March 2020 to March 2021.</w:t>
      </w:r>
    </w:p>
    <w:p w:rsidR="00000000" w:rsidDel="00000000" w:rsidP="00000000" w:rsidRDefault="00000000" w:rsidRPr="00000000" w14:paraId="0000000C">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March 2021 to May 2022 shows </w:t>
      </w:r>
      <w:r w:rsidDel="00000000" w:rsidR="00000000" w:rsidRPr="00000000">
        <w:rPr>
          <w:rFonts w:ascii="Inter" w:cs="Inter" w:eastAsia="Inter" w:hAnsi="Inter"/>
          <w:b w:val="1"/>
          <w:rtl w:val="0"/>
        </w:rPr>
        <w:t xml:space="preserve">a head and shoulders chart pattern</w:t>
      </w:r>
      <w:r w:rsidDel="00000000" w:rsidR="00000000" w:rsidRPr="00000000">
        <w:rPr>
          <w:rFonts w:ascii="Inter" w:cs="Inter" w:eastAsia="Inter" w:hAnsi="Inter"/>
          <w:rtl w:val="0"/>
        </w:rPr>
        <w:t xml:space="preserve">, which is a bearish reversal pattern. Once the price broke below the neckline (32,000 VND in May 2022), a </w:t>
      </w:r>
      <w:r w:rsidDel="00000000" w:rsidR="00000000" w:rsidRPr="00000000">
        <w:rPr>
          <w:rFonts w:ascii="Inter" w:cs="Inter" w:eastAsia="Inter" w:hAnsi="Inter"/>
          <w:b w:val="1"/>
          <w:rtl w:val="0"/>
        </w:rPr>
        <w:t xml:space="preserve">downtrend followed</w:t>
      </w:r>
      <w:r w:rsidDel="00000000" w:rsidR="00000000" w:rsidRPr="00000000">
        <w:rPr>
          <w:rFonts w:ascii="Inter" w:cs="Inter" w:eastAsia="Inter" w:hAnsi="Inter"/>
          <w:rtl w:val="0"/>
        </w:rPr>
        <w:t xml:space="preserve">. MACD show bearish divergence, confirming this trend reversal.</w:t>
      </w:r>
    </w:p>
    <w:p w:rsidR="00000000" w:rsidDel="00000000" w:rsidP="00000000" w:rsidRDefault="00000000" w:rsidRPr="00000000" w14:paraId="0000000D">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2023: Post the significant downtrend, the stock price has stabilized, showing less volatility.</w:t>
      </w:r>
    </w:p>
    <w:p w:rsidR="00000000" w:rsidDel="00000000" w:rsidP="00000000" w:rsidRDefault="00000000" w:rsidRPr="00000000" w14:paraId="0000000E">
      <w:pPr>
        <w:rPr>
          <w:rFonts w:ascii="Inter" w:cs="Inter" w:eastAsia="Inter" w:hAnsi="Inter"/>
        </w:rPr>
      </w:pPr>
      <w:r w:rsidDel="00000000" w:rsidR="00000000" w:rsidRPr="00000000">
        <w:rPr>
          <w:rtl w:val="0"/>
        </w:rPr>
      </w:r>
    </w:p>
    <w:p w:rsidR="00000000" w:rsidDel="00000000" w:rsidP="00000000" w:rsidRDefault="00000000" w:rsidRPr="00000000" w14:paraId="0000000F">
      <w:pPr>
        <w:rPr>
          <w:rFonts w:ascii="Inter" w:cs="Inter" w:eastAsia="Inter" w:hAnsi="Inter"/>
        </w:rPr>
      </w:pPr>
      <w:r w:rsidDel="00000000" w:rsidR="00000000" w:rsidRPr="00000000">
        <w:rPr>
          <w:rFonts w:ascii="Inter" w:cs="Inter" w:eastAsia="Inter" w:hAnsi="Inter"/>
        </w:rPr>
        <w:drawing>
          <wp:inline distB="114300" distT="114300" distL="114300" distR="114300">
            <wp:extent cx="6645600" cy="5181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45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rFonts w:ascii="Inter" w:cs="Inter" w:eastAsia="Inter" w:hAnsi="Inter"/>
          <w:u w:val="none"/>
        </w:rPr>
      </w:pPr>
      <w:r w:rsidDel="00000000" w:rsidR="00000000" w:rsidRPr="00000000">
        <w:rPr>
          <w:rFonts w:ascii="Inter" w:cs="Inter" w:eastAsia="Inter" w:hAnsi="Inter"/>
          <w:rtl w:val="0"/>
        </w:rPr>
        <w:t xml:space="preserve">Trading Volume:</w:t>
      </w:r>
    </w:p>
    <w:p w:rsidR="00000000" w:rsidDel="00000000" w:rsidP="00000000" w:rsidRDefault="00000000" w:rsidRPr="00000000" w14:paraId="00000011">
      <w:pPr>
        <w:numPr>
          <w:ilvl w:val="1"/>
          <w:numId w:val="1"/>
        </w:numPr>
        <w:ind w:left="1440" w:hanging="360"/>
        <w:rPr>
          <w:rFonts w:ascii="Inter" w:cs="Inter" w:eastAsia="Inter" w:hAnsi="Inter"/>
          <w:u w:val="none"/>
        </w:rPr>
      </w:pPr>
      <w:r w:rsidDel="00000000" w:rsidR="00000000" w:rsidRPr="00000000">
        <w:rPr>
          <w:rFonts w:ascii="Inter" w:cs="Inter" w:eastAsia="Inter" w:hAnsi="Inter"/>
          <w:b w:val="1"/>
          <w:rtl w:val="0"/>
        </w:rPr>
        <w:t xml:space="preserve">High Volatility Periods</w:t>
      </w:r>
      <w:r w:rsidDel="00000000" w:rsidR="00000000" w:rsidRPr="00000000">
        <w:rPr>
          <w:rFonts w:ascii="Inter" w:cs="Inter" w:eastAsia="Inter" w:hAnsi="Inter"/>
          <w:rtl w:val="0"/>
        </w:rPr>
        <w:t xml:space="preserve">: There are significant spikes in trading volume at various points, indicating periods of high activity. Notable peaks can be observed around mid-2018, early 2021, and mid-2023.</w:t>
      </w:r>
    </w:p>
    <w:p w:rsidR="00000000" w:rsidDel="00000000" w:rsidP="00000000" w:rsidRDefault="00000000" w:rsidRPr="00000000" w14:paraId="00000012">
      <w:pPr>
        <w:numPr>
          <w:ilvl w:val="1"/>
          <w:numId w:val="1"/>
        </w:numPr>
        <w:ind w:left="1440" w:hanging="360"/>
        <w:rPr>
          <w:rFonts w:ascii="Inter" w:cs="Inter" w:eastAsia="Inter" w:hAnsi="Inter"/>
          <w:u w:val="none"/>
        </w:rPr>
      </w:pPr>
      <w:r w:rsidDel="00000000" w:rsidR="00000000" w:rsidRPr="00000000">
        <w:rPr>
          <w:rFonts w:ascii="Inter" w:cs="Inter" w:eastAsia="Inter" w:hAnsi="Inter"/>
          <w:b w:val="1"/>
          <w:rtl w:val="0"/>
        </w:rPr>
        <w:t xml:space="preserve">Low Volatility Periods</w:t>
      </w:r>
      <w:r w:rsidDel="00000000" w:rsidR="00000000" w:rsidRPr="00000000">
        <w:rPr>
          <w:rFonts w:ascii="Inter" w:cs="Inter" w:eastAsia="Inter" w:hAnsi="Inter"/>
          <w:rtl w:val="0"/>
        </w:rPr>
        <w:t xml:space="preserve">: Conversely, there are stretches where the trading volume is relatively low, such as the latter part of 2019 and early 2020.</w:t>
      </w:r>
    </w:p>
    <w:p w:rsidR="00000000" w:rsidDel="00000000" w:rsidP="00000000" w:rsidRDefault="00000000" w:rsidRPr="00000000" w14:paraId="00000013">
      <w:pPr>
        <w:numPr>
          <w:ilvl w:val="1"/>
          <w:numId w:val="1"/>
        </w:numPr>
        <w:ind w:left="1440" w:hanging="360"/>
        <w:rPr>
          <w:rFonts w:ascii="Inter" w:cs="Inter" w:eastAsia="Inter" w:hAnsi="Inter"/>
          <w:u w:val="none"/>
        </w:rPr>
      </w:pPr>
      <w:r w:rsidDel="00000000" w:rsidR="00000000" w:rsidRPr="00000000">
        <w:rPr>
          <w:rFonts w:ascii="Inter" w:cs="Inter" w:eastAsia="Inter" w:hAnsi="Inter"/>
          <w:b w:val="1"/>
          <w:rtl w:val="0"/>
        </w:rPr>
        <w:t xml:space="preserve">Overall Trend</w:t>
      </w:r>
      <w:r w:rsidDel="00000000" w:rsidR="00000000" w:rsidRPr="00000000">
        <w:rPr>
          <w:rFonts w:ascii="Inter" w:cs="Inter" w:eastAsia="Inter" w:hAnsi="Inter"/>
          <w:rtl w:val="0"/>
        </w:rPr>
        <w:t xml:space="preserve">: The trading volume appears to have an overall increasing trend with more frequent and higher peaks towards the later years.</w:t>
      </w:r>
    </w:p>
    <w:p w:rsidR="00000000" w:rsidDel="00000000" w:rsidP="00000000" w:rsidRDefault="00000000" w:rsidRPr="00000000" w14:paraId="00000014">
      <w:pPr>
        <w:numPr>
          <w:ilvl w:val="0"/>
          <w:numId w:val="1"/>
        </w:numPr>
        <w:ind w:left="720" w:hanging="360"/>
        <w:rPr>
          <w:rFonts w:ascii="Inter" w:cs="Inter" w:eastAsia="Inter" w:hAnsi="Inter"/>
        </w:rPr>
      </w:pPr>
      <w:r w:rsidDel="00000000" w:rsidR="00000000" w:rsidRPr="00000000">
        <w:rPr>
          <w:rFonts w:ascii="Inter" w:cs="Inter" w:eastAsia="Inter" w:hAnsi="Inter"/>
          <w:rtl w:val="0"/>
        </w:rPr>
        <w:t xml:space="preserve">Bollinger Bands: </w:t>
      </w:r>
    </w:p>
    <w:p w:rsidR="00000000" w:rsidDel="00000000" w:rsidP="00000000" w:rsidRDefault="00000000" w:rsidRPr="00000000" w14:paraId="00000015">
      <w:pPr>
        <w:numPr>
          <w:ilvl w:val="1"/>
          <w:numId w:val="1"/>
        </w:numPr>
        <w:ind w:left="1440" w:hanging="360"/>
        <w:rPr>
          <w:rFonts w:ascii="Inter" w:cs="Inter" w:eastAsia="Inter" w:hAnsi="Inter"/>
        </w:rPr>
      </w:pPr>
      <w:r w:rsidDel="00000000" w:rsidR="00000000" w:rsidRPr="00000000">
        <w:rPr>
          <w:rFonts w:ascii="Inter" w:cs="Inter" w:eastAsia="Inter" w:hAnsi="Inter"/>
          <w:b w:val="1"/>
          <w:rtl w:val="0"/>
        </w:rPr>
        <w:t xml:space="preserve">Wider Bands</w:t>
      </w:r>
      <w:r w:rsidDel="00000000" w:rsidR="00000000" w:rsidRPr="00000000">
        <w:rPr>
          <w:rFonts w:ascii="Inter" w:cs="Inter" w:eastAsia="Inter" w:hAnsi="Inter"/>
          <w:rtl w:val="0"/>
        </w:rPr>
        <w:t xml:space="preserve">: Periods where the bands are wider, such as from 2020 to 2022, indicate higher price volatility.</w:t>
      </w:r>
    </w:p>
    <w:p w:rsidR="00000000" w:rsidDel="00000000" w:rsidP="00000000" w:rsidRDefault="00000000" w:rsidRPr="00000000" w14:paraId="00000016">
      <w:pPr>
        <w:numPr>
          <w:ilvl w:val="1"/>
          <w:numId w:val="1"/>
        </w:numPr>
        <w:ind w:left="1440" w:hanging="360"/>
        <w:rPr>
          <w:rFonts w:ascii="Inter" w:cs="Inter" w:eastAsia="Inter" w:hAnsi="Inter"/>
        </w:rPr>
      </w:pPr>
      <w:r w:rsidDel="00000000" w:rsidR="00000000" w:rsidRPr="00000000">
        <w:rPr>
          <w:rFonts w:ascii="Inter" w:cs="Inter" w:eastAsia="Inter" w:hAnsi="Inter"/>
          <w:b w:val="1"/>
          <w:rtl w:val="0"/>
        </w:rPr>
        <w:t xml:space="preserve">Narrower Bands</w:t>
      </w:r>
      <w:r w:rsidDel="00000000" w:rsidR="00000000" w:rsidRPr="00000000">
        <w:rPr>
          <w:rFonts w:ascii="Inter" w:cs="Inter" w:eastAsia="Inter" w:hAnsi="Inter"/>
          <w:rtl w:val="0"/>
        </w:rPr>
        <w:t xml:space="preserve">: Periods where the bands are narrower, such as before 2019, indicate lower price volatility.</w:t>
      </w:r>
    </w:p>
    <w:p w:rsidR="00000000" w:rsidDel="00000000" w:rsidP="00000000" w:rsidRDefault="00000000" w:rsidRPr="00000000" w14:paraId="00000017">
      <w:pPr>
        <w:rPr>
          <w:rFonts w:ascii="Inter" w:cs="Inter" w:eastAsia="Inter" w:hAnsi="Inter"/>
        </w:rPr>
      </w:pPr>
      <w:r w:rsidDel="00000000" w:rsidR="00000000" w:rsidRPr="00000000">
        <w:rPr>
          <w:rtl w:val="0"/>
        </w:rPr>
      </w:r>
    </w:p>
    <w:p w:rsidR="00000000" w:rsidDel="00000000" w:rsidP="00000000" w:rsidRDefault="00000000" w:rsidRPr="00000000" w14:paraId="00000018">
      <w:pPr>
        <w:rPr>
          <w:rFonts w:ascii="Inter" w:cs="Inter" w:eastAsia="Inter" w:hAnsi="Inter"/>
        </w:rPr>
      </w:pPr>
      <w:r w:rsidDel="00000000" w:rsidR="00000000" w:rsidRPr="00000000">
        <w:rPr>
          <w:rtl w:val="0"/>
        </w:rPr>
      </w:r>
    </w:p>
    <w:p w:rsidR="00000000" w:rsidDel="00000000" w:rsidP="00000000" w:rsidRDefault="00000000" w:rsidRPr="00000000" w14:paraId="00000019">
      <w:pPr>
        <w:pStyle w:val="Heading1"/>
        <w:rPr/>
      </w:pPr>
      <w:bookmarkStart w:colFirst="0" w:colLast="0" w:name="_b5tlwbfrp3ou" w:id="1"/>
      <w:bookmarkEnd w:id="1"/>
      <w:r w:rsidDel="00000000" w:rsidR="00000000" w:rsidRPr="00000000">
        <w:rPr>
          <w:rtl w:val="0"/>
        </w:rPr>
        <w:t xml:space="preserve">2. Models to forecast the stock price</w:t>
      </w:r>
    </w:p>
    <w:p w:rsidR="00000000" w:rsidDel="00000000" w:rsidP="00000000" w:rsidRDefault="00000000" w:rsidRPr="00000000" w14:paraId="0000001A">
      <w:pPr>
        <w:pStyle w:val="Heading2"/>
        <w:rPr/>
      </w:pPr>
      <w:bookmarkStart w:colFirst="0" w:colLast="0" w:name="_9n4pug2c34a" w:id="2"/>
      <w:bookmarkEnd w:id="2"/>
      <w:r w:rsidDel="00000000" w:rsidR="00000000" w:rsidRPr="00000000">
        <w:rPr>
          <w:rtl w:val="0"/>
        </w:rPr>
        <w:t xml:space="preserve">2.1. ARIMA</w:t>
      </w:r>
    </w:p>
    <w:p w:rsidR="00000000" w:rsidDel="00000000" w:rsidP="00000000" w:rsidRDefault="00000000" w:rsidRPr="00000000" w14:paraId="0000001B">
      <w:pPr>
        <w:rPr>
          <w:rFonts w:ascii="Inter" w:cs="Inter" w:eastAsia="Inter" w:hAnsi="Inter"/>
        </w:rPr>
      </w:pPr>
      <w:r w:rsidDel="00000000" w:rsidR="00000000" w:rsidRPr="00000000">
        <w:rPr>
          <w:rFonts w:ascii="Inter" w:cs="Inter" w:eastAsia="Inter" w:hAnsi="Inter"/>
          <w:rtl w:val="0"/>
        </w:rPr>
        <w:t xml:space="preserve">First, we test for stationary and the result is non-stationary. After differencing the first time data becomes stationary, suggested d=1. Then we identify MA(q) and AR(p), we get q=2, p=2. But the output is apparently not a good fit for prediction. Therefore we apply hypertune.</w:t>
      </w:r>
    </w:p>
    <w:p w:rsidR="00000000" w:rsidDel="00000000" w:rsidP="00000000" w:rsidRDefault="00000000" w:rsidRPr="00000000" w14:paraId="0000001C">
      <w:pPr>
        <w:rPr>
          <w:rFonts w:ascii="Inter" w:cs="Inter" w:eastAsia="Inter" w:hAnsi="Inter"/>
        </w:rPr>
      </w:pPr>
      <w:r w:rsidDel="00000000" w:rsidR="00000000" w:rsidRPr="00000000">
        <w:rPr>
          <w:rtl w:val="0"/>
        </w:rPr>
      </w:r>
    </w:p>
    <w:p w:rsidR="00000000" w:rsidDel="00000000" w:rsidP="00000000" w:rsidRDefault="00000000" w:rsidRPr="00000000" w14:paraId="0000001D">
      <w:pPr>
        <w:rPr>
          <w:rFonts w:ascii="Inter" w:cs="Inter" w:eastAsia="Inter" w:hAnsi="Inter"/>
        </w:rPr>
      </w:pPr>
      <w:r w:rsidDel="00000000" w:rsidR="00000000" w:rsidRPr="00000000">
        <w:rPr>
          <w:rtl w:val="0"/>
        </w:rPr>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5"/>
        <w:gridCol w:w="2616.5"/>
        <w:gridCol w:w="2616.5"/>
        <w:gridCol w:w="2616.5"/>
        <w:tblGridChange w:id="0">
          <w:tblGrid>
            <w:gridCol w:w="2616.5"/>
            <w:gridCol w:w="2616.5"/>
            <w:gridCol w:w="2616.5"/>
            <w:gridCol w:w="2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Inter" w:cs="Inter" w:eastAsia="Inter" w:hAnsi="Inter"/>
              </w:rPr>
            </w:pPr>
            <w:r w:rsidDel="00000000" w:rsidR="00000000" w:rsidRPr="00000000">
              <w:rPr>
                <w:rFonts w:ascii="Inter" w:cs="Inter" w:eastAsia="Inter" w:hAnsi="Inte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Inter" w:cs="Inter" w:eastAsia="Inter" w:hAnsi="Inter"/>
              </w:rPr>
            </w:pPr>
            <w:r w:rsidDel="00000000" w:rsidR="00000000" w:rsidRPr="00000000">
              <w:rPr>
                <w:rFonts w:ascii="Inter" w:cs="Inter" w:eastAsia="Inter" w:hAnsi="Inte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Inter" w:cs="Inter" w:eastAsia="Inter" w:hAnsi="Inter"/>
              </w:rPr>
            </w:pPr>
            <w:r w:rsidDel="00000000" w:rsidR="00000000" w:rsidRPr="00000000">
              <w:rPr>
                <w:rFonts w:ascii="Inter" w:cs="Inter" w:eastAsia="Inter" w:hAnsi="Inte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Inter" w:cs="Inter" w:eastAsia="Inter" w:hAnsi="Inter"/>
              </w:rPr>
            </w:pPr>
            <w:r w:rsidDel="00000000" w:rsidR="00000000" w:rsidRPr="00000000">
              <w:rPr>
                <w:rFonts w:ascii="Inter" w:cs="Inter" w:eastAsia="Inter" w:hAnsi="Inter"/>
                <w:rtl w:val="0"/>
              </w:rPr>
              <w:t xml:space="preserve">MAPE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Inter" w:cs="Inter" w:eastAsia="Inter" w:hAnsi="Inter"/>
              </w:rPr>
            </w:pPr>
            <w:r w:rsidDel="00000000" w:rsidR="00000000" w:rsidRPr="00000000">
              <w:rPr>
                <w:rFonts w:ascii="Inter" w:cs="Inter" w:eastAsia="Inter" w:hAnsi="Inter"/>
                <w:rtl w:val="0"/>
              </w:rPr>
              <w:t xml:space="preserve">SARIMAX(2, 1, 2)(2, 1, 2, 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Inter" w:cs="Inter" w:eastAsia="Inter" w:hAnsi="Inter"/>
              </w:rPr>
            </w:pPr>
            <w:r w:rsidDel="00000000" w:rsidR="00000000" w:rsidRPr="00000000">
              <w:rPr>
                <w:rFonts w:ascii="Inter" w:cs="Inter" w:eastAsia="Inter" w:hAnsi="Inter"/>
                <w:rtl w:val="0"/>
              </w:rPr>
              <w:t xml:space="preserve">19336.4394927638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Inter" w:cs="Inter" w:eastAsia="Inter" w:hAnsi="Inter"/>
              </w:rPr>
            </w:pPr>
            <w:r w:rsidDel="00000000" w:rsidR="00000000" w:rsidRPr="00000000">
              <w:rPr>
                <w:rFonts w:ascii="Inter" w:cs="Inter" w:eastAsia="Inter" w:hAnsi="Inter"/>
                <w:rtl w:val="0"/>
              </w:rPr>
              <w:t xml:space="preserve">-8.2787198191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Inter" w:cs="Inter" w:eastAsia="Inter" w:hAnsi="Inter"/>
              </w:rPr>
            </w:pPr>
            <w:r w:rsidDel="00000000" w:rsidR="00000000" w:rsidRPr="00000000">
              <w:rPr>
                <w:rFonts w:ascii="Inter" w:cs="Inter" w:eastAsia="Inter" w:hAnsi="Inter"/>
                <w:rtl w:val="0"/>
              </w:rPr>
              <w:t xml:space="preserve">0.9673484896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Inter" w:cs="Inter" w:eastAsia="Inter" w:hAnsi="Inter"/>
              </w:rPr>
            </w:pPr>
            <w:r w:rsidDel="00000000" w:rsidR="00000000" w:rsidRPr="00000000">
              <w:rPr>
                <w:rFonts w:ascii="Inter" w:cs="Inter" w:eastAsia="Inter" w:hAnsi="Inter"/>
                <w:rtl w:val="0"/>
              </w:rPr>
              <w:t xml:space="preserve">SARIMAX(2, 1, 2)(2, 1, 2, 21)</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Inter" w:cs="Inter" w:eastAsia="Inter" w:hAnsi="Inter"/>
              </w:rPr>
            </w:pPr>
            <w:r w:rsidDel="00000000" w:rsidR="00000000" w:rsidRPr="00000000">
              <w:rPr>
                <w:rFonts w:ascii="Inter" w:cs="Inter" w:eastAsia="Inter" w:hAnsi="Inter"/>
                <w:rtl w:val="0"/>
              </w:rPr>
              <w:t xml:space="preserve">19462.7078439175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Inter" w:cs="Inter" w:eastAsia="Inter" w:hAnsi="Inter"/>
              </w:rPr>
            </w:pPr>
            <w:r w:rsidDel="00000000" w:rsidR="00000000" w:rsidRPr="00000000">
              <w:rPr>
                <w:rFonts w:ascii="Inter" w:cs="Inter" w:eastAsia="Inter" w:hAnsi="Inter"/>
                <w:rtl w:val="0"/>
              </w:rPr>
              <w:t xml:space="preserve">-8.4002969065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Inter" w:cs="Inter" w:eastAsia="Inter" w:hAnsi="Inter"/>
              </w:rPr>
            </w:pPr>
            <w:r w:rsidDel="00000000" w:rsidR="00000000" w:rsidRPr="00000000">
              <w:rPr>
                <w:rFonts w:ascii="Inter" w:cs="Inter" w:eastAsia="Inter" w:hAnsi="Inter"/>
                <w:rtl w:val="0"/>
              </w:rPr>
              <w:t xml:space="preserve">0.9720506899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Inter" w:cs="Inter" w:eastAsia="Inter" w:hAnsi="Inter"/>
              </w:rPr>
            </w:pPr>
            <w:r w:rsidDel="00000000" w:rsidR="00000000" w:rsidRPr="00000000">
              <w:rPr>
                <w:rFonts w:ascii="Inter" w:cs="Inter" w:eastAsia="Inter" w:hAnsi="Inter"/>
                <w:rtl w:val="0"/>
              </w:rPr>
              <w:t xml:space="preserve">SARIMAX(2, 1, 2)(2, 1, 2, 63)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Inter" w:cs="Inter" w:eastAsia="Inter" w:hAnsi="Inter"/>
              </w:rPr>
            </w:pPr>
            <w:r w:rsidDel="00000000" w:rsidR="00000000" w:rsidRPr="00000000">
              <w:rPr>
                <w:rFonts w:ascii="Inter" w:cs="Inter" w:eastAsia="Inter" w:hAnsi="Inter"/>
                <w:rtl w:val="0"/>
              </w:rPr>
              <w:t xml:space="preserve">20569.5394066321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Inter" w:cs="Inter" w:eastAsia="Inter" w:hAnsi="Inter"/>
              </w:rPr>
            </w:pPr>
            <w:r w:rsidDel="00000000" w:rsidR="00000000" w:rsidRPr="00000000">
              <w:rPr>
                <w:rFonts w:ascii="Inter" w:cs="Inter" w:eastAsia="Inter" w:hAnsi="Inter"/>
                <w:rtl w:val="0"/>
              </w:rPr>
              <w:t xml:space="preserve">-9.4998761912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Inter" w:cs="Inter" w:eastAsia="Inter" w:hAnsi="Inter"/>
              </w:rPr>
            </w:pPr>
            <w:r w:rsidDel="00000000" w:rsidR="00000000" w:rsidRPr="00000000">
              <w:rPr>
                <w:rFonts w:ascii="Inter" w:cs="Inter" w:eastAsia="Inter" w:hAnsi="Inter"/>
                <w:rtl w:val="0"/>
              </w:rPr>
              <w:t xml:space="preserve">1.0292536953</w:t>
            </w:r>
          </w:p>
        </w:tc>
      </w:tr>
    </w:tbl>
    <w:p w:rsidR="00000000" w:rsidDel="00000000" w:rsidP="00000000" w:rsidRDefault="00000000" w:rsidRPr="00000000" w14:paraId="0000002E">
      <w:pPr>
        <w:rPr>
          <w:rFonts w:ascii="Inter" w:cs="Inter" w:eastAsia="Inter" w:hAnsi="Inter"/>
        </w:rPr>
      </w:pPr>
      <w:r w:rsidDel="00000000" w:rsidR="00000000" w:rsidRPr="00000000">
        <w:rPr>
          <w:rtl w:val="0"/>
        </w:rPr>
      </w:r>
    </w:p>
    <w:p w:rsidR="00000000" w:rsidDel="00000000" w:rsidP="00000000" w:rsidRDefault="00000000" w:rsidRPr="00000000" w14:paraId="0000002F">
      <w:pPr>
        <w:rPr>
          <w:rFonts w:ascii="Inter" w:cs="Inter" w:eastAsia="Inter" w:hAnsi="Inter"/>
        </w:rPr>
      </w:pPr>
      <w:r w:rsidDel="00000000" w:rsidR="00000000" w:rsidRPr="00000000">
        <w:rPr>
          <w:rtl w:val="0"/>
        </w:rPr>
      </w:r>
    </w:p>
    <w:p w:rsidR="00000000" w:rsidDel="00000000" w:rsidP="00000000" w:rsidRDefault="00000000" w:rsidRPr="00000000" w14:paraId="00000030">
      <w:pPr>
        <w:rPr>
          <w:rFonts w:ascii="Inter" w:cs="Inter" w:eastAsia="Inter" w:hAnsi="Inter"/>
        </w:rPr>
      </w:pPr>
      <w:r w:rsidDel="00000000" w:rsidR="00000000" w:rsidRPr="00000000">
        <w:rPr>
          <w:rFonts w:ascii="Inter" w:cs="Inter" w:eastAsia="Inter" w:hAnsi="Inter"/>
          <w:rtl w:val="0"/>
        </w:rPr>
        <w:t xml:space="preserve">Second, we apply Hyper-parameter Tuning for most optimal set of parameters which result in the best model being SARIMAX(2, 1, 2)x(2, 0, 0, 5) Model: p=2, d=1, q=2.</w:t>
      </w:r>
    </w:p>
    <w:p w:rsidR="00000000" w:rsidDel="00000000" w:rsidP="00000000" w:rsidRDefault="00000000" w:rsidRPr="00000000" w14:paraId="00000031">
      <w:pPr>
        <w:rPr>
          <w:rFonts w:ascii="Inter" w:cs="Inter" w:eastAsia="Inter" w:hAnsi="Inter"/>
        </w:rPr>
      </w:pPr>
      <w:r w:rsidDel="00000000" w:rsidR="00000000" w:rsidRPr="00000000">
        <w:rPr>
          <w:rtl w:val="0"/>
        </w:rPr>
      </w:r>
    </w:p>
    <w:p w:rsidR="00000000" w:rsidDel="00000000" w:rsidP="00000000" w:rsidRDefault="00000000" w:rsidRPr="00000000" w14:paraId="00000032">
      <w:pPr>
        <w:rPr>
          <w:rFonts w:ascii="Inter" w:cs="Inter" w:eastAsia="Inter" w:hAnsi="Inter"/>
        </w:rPr>
      </w:pPr>
      <w:r w:rsidDel="00000000" w:rsidR="00000000" w:rsidRPr="00000000">
        <w:rPr>
          <w:rFonts w:ascii="Inter" w:cs="Inter" w:eastAsia="Inter" w:hAnsi="Inter"/>
          <w:rtl w:val="0"/>
        </w:rPr>
        <w:t xml:space="preserve">Third, we fit a SARIMAX(2, 1, 2)x(2, 0, 0, 5) Model with Walk-forward Validation (Rolling Fit Approach) to get better predictions.</w:t>
      </w:r>
    </w:p>
    <w:p w:rsidR="00000000" w:rsidDel="00000000" w:rsidP="00000000" w:rsidRDefault="00000000" w:rsidRPr="00000000" w14:paraId="00000033">
      <w:pPr>
        <w:rPr>
          <w:rFonts w:ascii="Inter" w:cs="Inter" w:eastAsia="Inter" w:hAnsi="Inter"/>
        </w:rPr>
      </w:pPr>
      <w:r w:rsidDel="00000000" w:rsidR="00000000" w:rsidRPr="00000000">
        <w:rPr>
          <w:rtl w:val="0"/>
        </w:rPr>
      </w:r>
    </w:p>
    <w:p w:rsidR="00000000" w:rsidDel="00000000" w:rsidP="00000000" w:rsidRDefault="00000000" w:rsidRPr="00000000" w14:paraId="00000034">
      <w:pPr>
        <w:pStyle w:val="Heading2"/>
        <w:rPr/>
      </w:pPr>
      <w:bookmarkStart w:colFirst="0" w:colLast="0" w:name="_yxyj1bc0akem" w:id="3"/>
      <w:bookmarkEnd w:id="3"/>
      <w:r w:rsidDel="00000000" w:rsidR="00000000" w:rsidRPr="00000000">
        <w:rPr>
          <w:rtl w:val="0"/>
        </w:rPr>
        <w:t xml:space="preserve">2.2. Long Short - Term Memory (LSTM)</w:t>
      </w:r>
    </w:p>
    <w:p w:rsidR="00000000" w:rsidDel="00000000" w:rsidP="00000000" w:rsidRDefault="00000000" w:rsidRPr="00000000" w14:paraId="00000035">
      <w:pPr>
        <w:rPr>
          <w:rFonts w:ascii="Inter" w:cs="Inter" w:eastAsia="Inter" w:hAnsi="Inter"/>
        </w:rPr>
      </w:pPr>
      <w:r w:rsidDel="00000000" w:rsidR="00000000" w:rsidRPr="00000000">
        <w:rPr>
          <w:rFonts w:ascii="Inter" w:cs="Inter" w:eastAsia="Inter" w:hAnsi="Inter"/>
          <w:rtl w:val="0"/>
        </w:rPr>
        <w:t xml:space="preserve">First we build the LSTM model structure and allows the specification of various hyperparameters</w:t>
      </w:r>
    </w:p>
    <w:p w:rsidR="00000000" w:rsidDel="00000000" w:rsidP="00000000" w:rsidRDefault="00000000" w:rsidRPr="00000000" w14:paraId="00000036">
      <w:pPr>
        <w:rPr>
          <w:rFonts w:ascii="Inter" w:cs="Inter" w:eastAsia="Inter" w:hAnsi="Inter"/>
        </w:rPr>
      </w:pPr>
      <w:r w:rsidDel="00000000" w:rsidR="00000000" w:rsidRPr="00000000">
        <w:rPr>
          <w:rtl w:val="0"/>
        </w:rPr>
      </w:r>
    </w:p>
    <w:p w:rsidR="00000000" w:rsidDel="00000000" w:rsidP="00000000" w:rsidRDefault="00000000" w:rsidRPr="00000000" w14:paraId="00000037">
      <w:pPr>
        <w:rPr>
          <w:rFonts w:ascii="Inter" w:cs="Inter" w:eastAsia="Inter" w:hAnsi="Inter"/>
          <w:highlight w:val="white"/>
        </w:rPr>
      </w:pPr>
      <w:r w:rsidDel="00000000" w:rsidR="00000000" w:rsidRPr="00000000">
        <w:rPr>
          <w:rFonts w:ascii="Inter" w:cs="Inter" w:eastAsia="Inter" w:hAnsi="Inter"/>
          <w:rtl w:val="0"/>
        </w:rPr>
        <w:t xml:space="preserve">Second, we apply Hyper-parameter Tuning for most optimal set of parameters which result in the best parameters being</w:t>
      </w:r>
      <w:r w:rsidDel="00000000" w:rsidR="00000000" w:rsidRPr="00000000">
        <w:rPr>
          <w:rFonts w:ascii="Inter" w:cs="Inter" w:eastAsia="Inter" w:hAnsi="Inter"/>
          <w:b w:val="1"/>
          <w:rtl w:val="0"/>
        </w:rPr>
        <w:t xml:space="preserve"> </w:t>
      </w:r>
      <w:r w:rsidDel="00000000" w:rsidR="00000000" w:rsidRPr="00000000">
        <w:rPr>
          <w:rFonts w:ascii="Inter" w:cs="Inter" w:eastAsia="Inter" w:hAnsi="Inter"/>
          <w:b w:val="1"/>
          <w:highlight w:val="white"/>
          <w:rtl w:val="0"/>
        </w:rPr>
        <w:t xml:space="preserve">'optimizer': 'rmsprop', 'units': 150, 'dropout_rate': 0.2, 'batch_size': 16, 'epochs': 30</w:t>
      </w:r>
      <w:r w:rsidDel="00000000" w:rsidR="00000000" w:rsidRPr="00000000">
        <w:rPr>
          <w:rFonts w:ascii="Inter" w:cs="Inter" w:eastAsia="Inter" w:hAnsi="Inter"/>
          <w:highlight w:val="white"/>
          <w:rtl w:val="0"/>
        </w:rPr>
        <w:t xml:space="preserve"> and getting this output:</w:t>
      </w:r>
    </w:p>
    <w:p w:rsidR="00000000" w:rsidDel="00000000" w:rsidP="00000000" w:rsidRDefault="00000000" w:rsidRPr="00000000" w14:paraId="00000038">
      <w:pPr>
        <w:rPr>
          <w:rFonts w:ascii="Inter" w:cs="Inter" w:eastAsia="Inter" w:hAnsi="Inter"/>
          <w:highlight w:val="white"/>
        </w:rPr>
      </w:pPr>
      <w:r w:rsidDel="00000000" w:rsidR="00000000" w:rsidRPr="00000000">
        <w:rPr>
          <w:rtl w:val="0"/>
        </w:rPr>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5"/>
        <w:gridCol w:w="2616.5"/>
        <w:gridCol w:w="2616.5"/>
        <w:gridCol w:w="2616.5"/>
        <w:tblGridChange w:id="0">
          <w:tblGrid>
            <w:gridCol w:w="2616.5"/>
            <w:gridCol w:w="2616.5"/>
            <w:gridCol w:w="2616.5"/>
            <w:gridCol w:w="2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R - 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MAPE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Inter" w:cs="Inter" w:eastAsia="Inter" w:hAnsi="Inter"/>
                <w:highlight w:val="white"/>
              </w:rPr>
            </w:pPr>
            <w:r w:rsidDel="00000000" w:rsidR="00000000" w:rsidRPr="00000000">
              <w:rPr>
                <w:rFonts w:ascii="Inter" w:cs="Inter" w:eastAsia="Inter" w:hAnsi="Inter"/>
                <w:highlight w:val="white"/>
                <w:rtl w:val="0"/>
              </w:rPr>
              <w:t xml:space="preserve">0.0177639970228678</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Inter" w:cs="Inter" w:eastAsia="Inter" w:hAnsi="Inter"/>
                <w:highlight w:val="white"/>
              </w:rPr>
            </w:pPr>
            <w:r w:rsidDel="00000000" w:rsidR="00000000" w:rsidRPr="00000000">
              <w:rPr>
                <w:rFonts w:ascii="Inter" w:cs="Inter" w:eastAsia="Inter" w:hAnsi="Inter"/>
                <w:highlight w:val="white"/>
                <w:rtl w:val="0"/>
              </w:rPr>
              <w:t xml:space="preserve">0.9430008569843317</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Inter" w:cs="Inter" w:eastAsia="Inter" w:hAnsi="Inter"/>
                <w:highlight w:val="white"/>
              </w:rPr>
            </w:pPr>
            <w:r w:rsidDel="00000000" w:rsidR="00000000" w:rsidRPr="00000000">
              <w:rPr>
                <w:rFonts w:ascii="Inter" w:cs="Inter" w:eastAsia="Inter" w:hAnsi="Inter"/>
                <w:highlight w:val="white"/>
                <w:rtl w:val="0"/>
              </w:rPr>
              <w:t xml:space="preserve">0.0534893001933293</w:t>
            </w:r>
          </w:p>
        </w:tc>
      </w:tr>
    </w:tbl>
    <w:p w:rsidR="00000000" w:rsidDel="00000000" w:rsidP="00000000" w:rsidRDefault="00000000" w:rsidRPr="00000000" w14:paraId="00000043">
      <w:pPr>
        <w:rPr>
          <w:rFonts w:ascii="Inter" w:cs="Inter" w:eastAsia="Inter" w:hAnsi="Inter"/>
          <w:highlight w:val="white"/>
        </w:rPr>
      </w:pPr>
      <w:r w:rsidDel="00000000" w:rsidR="00000000" w:rsidRPr="00000000">
        <w:rPr>
          <w:rtl w:val="0"/>
        </w:rPr>
      </w:r>
    </w:p>
    <w:p w:rsidR="00000000" w:rsidDel="00000000" w:rsidP="00000000" w:rsidRDefault="00000000" w:rsidRPr="00000000" w14:paraId="00000044">
      <w:pPr>
        <w:pStyle w:val="Heading2"/>
        <w:rPr/>
      </w:pPr>
      <w:bookmarkStart w:colFirst="0" w:colLast="0" w:name="_prqqt0sj9bbd" w:id="4"/>
      <w:bookmarkEnd w:id="4"/>
      <w:r w:rsidDel="00000000" w:rsidR="00000000" w:rsidRPr="00000000">
        <w:rPr>
          <w:rtl w:val="0"/>
        </w:rPr>
        <w:t xml:space="preserve">2.3. Comparison</w:t>
      </w:r>
    </w:p>
    <w:p w:rsidR="00000000" w:rsidDel="00000000" w:rsidP="00000000" w:rsidRDefault="00000000" w:rsidRPr="00000000" w14:paraId="00000045">
      <w:pPr>
        <w:rPr>
          <w:rFonts w:ascii="Inter" w:cs="Inter" w:eastAsia="Inter" w:hAnsi="Inter"/>
        </w:rPr>
      </w:pPr>
      <w:r w:rsidDel="00000000" w:rsidR="00000000" w:rsidRPr="00000000">
        <w:rPr>
          <w:rtl w:val="0"/>
        </w:rPr>
      </w:r>
    </w:p>
    <w:p w:rsidR="00000000" w:rsidDel="00000000" w:rsidP="00000000" w:rsidRDefault="00000000" w:rsidRPr="00000000" w14:paraId="00000046">
      <w:pPr>
        <w:rPr>
          <w:rFonts w:ascii="Inter" w:cs="Inter" w:eastAsia="Inter" w:hAnsi="Inter"/>
        </w:rPr>
      </w:pPr>
      <w:r w:rsidDel="00000000" w:rsidR="00000000" w:rsidRPr="00000000">
        <w:rPr>
          <w:rtl w:val="0"/>
        </w:rPr>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5"/>
        <w:gridCol w:w="2616.5"/>
        <w:gridCol w:w="2616.5"/>
        <w:gridCol w:w="2616.5"/>
        <w:tblGridChange w:id="0">
          <w:tblGrid>
            <w:gridCol w:w="2616.5"/>
            <w:gridCol w:w="2616.5"/>
            <w:gridCol w:w="2616.5"/>
            <w:gridCol w:w="261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rPr>
            </w:pPr>
            <w:r w:rsidDel="00000000" w:rsidR="00000000" w:rsidRPr="00000000">
              <w:rPr>
                <w:rFonts w:ascii="Inter" w:cs="Inter" w:eastAsia="Inter" w:hAnsi="Inter"/>
                <w:rtl w:val="0"/>
              </w:rPr>
              <w:t xml:space="preserve">Model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rPr>
            </w:pPr>
            <w:r w:rsidDel="00000000" w:rsidR="00000000" w:rsidRPr="00000000">
              <w:rPr>
                <w:rFonts w:ascii="Inter" w:cs="Inter" w:eastAsia="Inter" w:hAnsi="Inter"/>
                <w:rtl w:val="0"/>
              </w:rPr>
              <w:t xml:space="preserve">Metrics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ARIMA (rolling_fit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0.9910210639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0.0216267379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601.5128609415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0.9430008569843317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Inter" w:cs="Inter" w:eastAsia="Inter" w:hAnsi="Inter"/>
              </w:rPr>
            </w:pPr>
            <w:r w:rsidDel="00000000" w:rsidR="00000000" w:rsidRPr="00000000">
              <w:rPr>
                <w:rFonts w:ascii="Inter" w:cs="Inter" w:eastAsia="Inter" w:hAnsi="Inter"/>
                <w:rtl w:val="0"/>
              </w:rPr>
              <w:t xml:space="preserve">0.0534893001933293</w:t>
            </w:r>
          </w:p>
          <w:p w:rsidR="00000000" w:rsidDel="00000000" w:rsidP="00000000" w:rsidRDefault="00000000" w:rsidRPr="00000000" w14:paraId="00000056">
            <w:pPr>
              <w:widowControl w:val="0"/>
              <w:spacing w:line="240" w:lineRule="auto"/>
              <w:rPr>
                <w:rFonts w:ascii="Inter" w:cs="Inter" w:eastAsia="Inter" w:hAnsi="I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0.0177639970228678</w:t>
            </w:r>
          </w:p>
        </w:tc>
      </w:tr>
    </w:tbl>
    <w:p w:rsidR="00000000" w:rsidDel="00000000" w:rsidP="00000000" w:rsidRDefault="00000000" w:rsidRPr="00000000" w14:paraId="00000058">
      <w:pPr>
        <w:rPr>
          <w:rFonts w:ascii="Inter" w:cs="Inter" w:eastAsia="Inter" w:hAnsi="Inter"/>
        </w:rPr>
      </w:pPr>
      <w:r w:rsidDel="00000000" w:rsidR="00000000" w:rsidRPr="00000000">
        <w:rPr>
          <w:rtl w:val="0"/>
        </w:rPr>
      </w:r>
    </w:p>
    <w:p w:rsidR="00000000" w:rsidDel="00000000" w:rsidP="00000000" w:rsidRDefault="00000000" w:rsidRPr="00000000" w14:paraId="00000059">
      <w:pPr>
        <w:rPr>
          <w:rFonts w:ascii="Inter" w:cs="Inter" w:eastAsia="Inter" w:hAnsi="Inter"/>
        </w:rPr>
      </w:pPr>
      <w:r w:rsidDel="00000000" w:rsidR="00000000" w:rsidRPr="00000000">
        <w:rPr>
          <w:rFonts w:ascii="Inter" w:cs="Inter" w:eastAsia="Inter" w:hAnsi="Inter"/>
          <w:rtl w:val="0"/>
        </w:rPr>
        <w:t xml:space="preserve">=&gt; Although R^2 and MAPE of ARIMA perform better, RMSE (which indicates the predictory accuracy of the model) of ARIMA is not as good as LSTM. Therefore we choose LSTM</w:t>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Inter" w:cs="Inter" w:eastAsia="Inter" w:hAnsi="Inter"/>
      <w:b w:val="1"/>
      <w:sz w:val="30"/>
      <w:szCs w:val="30"/>
    </w:rPr>
  </w:style>
  <w:style w:type="paragraph" w:styleId="Heading2">
    <w:name w:val="heading 2"/>
    <w:basedOn w:val="Normal"/>
    <w:next w:val="Normal"/>
    <w:pPr>
      <w:keepNext w:val="1"/>
      <w:keepLines w:val="1"/>
    </w:pPr>
    <w:rPr>
      <w:rFonts w:ascii="Inter" w:cs="Inter" w:eastAsia="Inter" w:hAnsi="Inte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