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85D9" w14:textId="28F0E2AE" w:rsidR="00D53883" w:rsidRDefault="00D53883" w:rsidP="001150DD">
      <w:pPr>
        <w:spacing w:before="100" w:beforeAutospacing="1" w:after="100" w:afterAutospacing="1"/>
        <w:jc w:val="center"/>
        <w:rPr>
          <w:rFonts w:ascii="Times New Roman" w:eastAsia="Times New Roman" w:hAnsi="Times New Roman" w:cs="Times New Roman"/>
          <w:b/>
          <w:bCs/>
          <w:color w:val="BC8E00"/>
          <w:sz w:val="28"/>
          <w:szCs w:val="28"/>
        </w:rPr>
      </w:pPr>
      <w:r w:rsidRPr="001150DD">
        <w:rPr>
          <w:rFonts w:ascii="Times New Roman" w:eastAsia="Times New Roman" w:hAnsi="Times New Roman" w:cs="Times New Roman"/>
          <w:b/>
          <w:bCs/>
          <w:color w:val="BC8E00"/>
          <w:sz w:val="28"/>
          <w:szCs w:val="28"/>
        </w:rPr>
        <w:t>Proposal and Data Assembly</w:t>
      </w:r>
    </w:p>
    <w:p w14:paraId="3C34E7A8" w14:textId="481F5EE5" w:rsidR="001150DD" w:rsidRPr="001150DD" w:rsidRDefault="001150DD" w:rsidP="001150DD">
      <w:pPr>
        <w:spacing w:before="100" w:beforeAutospacing="1" w:after="100" w:afterAutospacing="1"/>
        <w:jc w:val="center"/>
        <w:rPr>
          <w:rFonts w:ascii="Times New Roman" w:eastAsia="Times New Roman" w:hAnsi="Times New Roman" w:cs="Times New Roman"/>
          <w:b/>
          <w:bCs/>
          <w:color w:val="BC8E00"/>
          <w:sz w:val="22"/>
          <w:szCs w:val="22"/>
        </w:rPr>
      </w:pPr>
      <w:r w:rsidRPr="001150DD">
        <w:rPr>
          <w:rFonts w:ascii="Times New Roman" w:eastAsia="Times New Roman" w:hAnsi="Times New Roman" w:cs="Times New Roman"/>
          <w:b/>
          <w:bCs/>
          <w:color w:val="BC8E00"/>
          <w:sz w:val="22"/>
          <w:szCs w:val="22"/>
        </w:rPr>
        <w:t>Ian Musumba</w:t>
      </w:r>
    </w:p>
    <w:p w14:paraId="0CCC6EBA" w14:textId="77777777" w:rsidR="001150DD" w:rsidRPr="001150DD" w:rsidRDefault="001150DD" w:rsidP="001150DD">
      <w:pPr>
        <w:spacing w:before="100" w:beforeAutospacing="1" w:after="100" w:afterAutospacing="1"/>
        <w:jc w:val="center"/>
        <w:rPr>
          <w:rFonts w:ascii="Times New Roman" w:eastAsia="Times New Roman" w:hAnsi="Times New Roman" w:cs="Times New Roman"/>
          <w:sz w:val="28"/>
          <w:szCs w:val="28"/>
        </w:rPr>
      </w:pPr>
    </w:p>
    <w:p w14:paraId="7BDE36B4" w14:textId="749A9049" w:rsidR="001150DD" w:rsidRPr="001150DD" w:rsidRDefault="003D70CB" w:rsidP="001150DD">
      <w:pPr>
        <w:numPr>
          <w:ilvl w:val="0"/>
          <w:numId w:val="3"/>
        </w:num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 xml:space="preserve">With the assistance of </w:t>
      </w:r>
      <w:proofErr w:type="spellStart"/>
      <w:r w:rsidRPr="001150DD">
        <w:rPr>
          <w:rFonts w:ascii="Times New Roman" w:eastAsia="Times New Roman" w:hAnsi="Times New Roman" w:cs="Times New Roman"/>
        </w:rPr>
        <w:t>Deeksha</w:t>
      </w:r>
      <w:proofErr w:type="spellEnd"/>
      <w:r w:rsidRPr="001150DD">
        <w:rPr>
          <w:rFonts w:ascii="Times New Roman" w:eastAsia="Times New Roman" w:hAnsi="Times New Roman" w:cs="Times New Roman"/>
        </w:rPr>
        <w:t xml:space="preserve"> Russell and Duan Wang, the dataset was acquired from the repository databases of WHO and United Nations website. The data consists of health factors for 193 nations and its equivalent economic data was obtained from the United Nations website. Only the most representative critical factors from each category of health-related factors were selected. It has been noted that there has been significant progress in the health sector over the previous 15 years, which has improved human mortality rates. </w:t>
      </w:r>
      <w:proofErr w:type="gramStart"/>
      <w:r w:rsidRPr="001150DD">
        <w:rPr>
          <w:rFonts w:ascii="Times New Roman" w:eastAsia="Times New Roman" w:hAnsi="Times New Roman" w:cs="Times New Roman"/>
        </w:rPr>
        <w:t>In order to</w:t>
      </w:r>
      <w:proofErr w:type="gramEnd"/>
      <w:r w:rsidRPr="001150DD">
        <w:rPr>
          <w:rFonts w:ascii="Times New Roman" w:eastAsia="Times New Roman" w:hAnsi="Times New Roman" w:cs="Times New Roman"/>
        </w:rPr>
        <w:t xml:space="preserve"> do further analysis for this project, data for 193 nations from the year 2000 to 2015 were taken into </w:t>
      </w:r>
      <w:r w:rsidR="00B7534F" w:rsidRPr="001150DD">
        <w:rPr>
          <w:rFonts w:ascii="Times New Roman" w:eastAsia="Times New Roman" w:hAnsi="Times New Roman" w:cs="Times New Roman"/>
        </w:rPr>
        <w:t>account</w:t>
      </w:r>
      <w:r w:rsidRPr="001150DD">
        <w:rPr>
          <w:rFonts w:ascii="Times New Roman" w:eastAsia="Times New Roman" w:hAnsi="Times New Roman" w:cs="Times New Roman"/>
        </w:rPr>
        <w:t>. 22 columns and 2938 rows make up the final dataset, which means 20 predicting variables.</w:t>
      </w:r>
    </w:p>
    <w:p w14:paraId="689E413F" w14:textId="77777777" w:rsidR="001150DD" w:rsidRPr="001150DD" w:rsidRDefault="001150DD" w:rsidP="00DF0E44">
      <w:pPr>
        <w:spacing w:before="100" w:beforeAutospacing="1" w:after="100" w:afterAutospacing="1"/>
        <w:ind w:left="720"/>
        <w:rPr>
          <w:rFonts w:ascii="Times New Roman" w:eastAsia="Times New Roman" w:hAnsi="Times New Roman" w:cs="Times New Roman"/>
        </w:rPr>
      </w:pPr>
    </w:p>
    <w:p w14:paraId="07C07BB6" w14:textId="26E2E15C" w:rsidR="00C574EB" w:rsidRPr="001150DD" w:rsidRDefault="00C574EB" w:rsidP="00B7534F">
      <w:pPr>
        <w:numPr>
          <w:ilvl w:val="0"/>
          <w:numId w:val="3"/>
        </w:num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Relative research questions</w:t>
      </w:r>
    </w:p>
    <w:p w14:paraId="7F7B4757" w14:textId="4FA4652F" w:rsidR="00754A13" w:rsidRPr="001150DD" w:rsidRDefault="00754A13" w:rsidP="00C574EB">
      <w:pPr>
        <w:numPr>
          <w:ilvl w:val="1"/>
          <w:numId w:val="3"/>
        </w:num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 xml:space="preserve">Does a country’s </w:t>
      </w:r>
      <w:r w:rsidR="007E732D" w:rsidRPr="001150DD">
        <w:rPr>
          <w:rFonts w:ascii="Times New Roman" w:eastAsia="Times New Roman" w:hAnsi="Times New Roman" w:cs="Times New Roman"/>
        </w:rPr>
        <w:t xml:space="preserve">status </w:t>
      </w:r>
      <w:proofErr w:type="gramStart"/>
      <w:r w:rsidR="007E732D" w:rsidRPr="001150DD">
        <w:rPr>
          <w:rFonts w:ascii="Times New Roman" w:eastAsia="Times New Roman" w:hAnsi="Times New Roman" w:cs="Times New Roman"/>
        </w:rPr>
        <w:t xml:space="preserve">have an </w:t>
      </w:r>
      <w:r w:rsidR="00A804B9" w:rsidRPr="001150DD">
        <w:rPr>
          <w:rFonts w:ascii="Times New Roman" w:eastAsia="Times New Roman" w:hAnsi="Times New Roman" w:cs="Times New Roman"/>
        </w:rPr>
        <w:t>effect</w:t>
      </w:r>
      <w:r w:rsidR="007E732D" w:rsidRPr="001150DD">
        <w:rPr>
          <w:rFonts w:ascii="Times New Roman" w:eastAsia="Times New Roman" w:hAnsi="Times New Roman" w:cs="Times New Roman"/>
        </w:rPr>
        <w:t xml:space="preserve"> on</w:t>
      </w:r>
      <w:proofErr w:type="gramEnd"/>
      <w:r w:rsidR="007E732D" w:rsidRPr="001150DD">
        <w:rPr>
          <w:rFonts w:ascii="Times New Roman" w:eastAsia="Times New Roman" w:hAnsi="Times New Roman" w:cs="Times New Roman"/>
        </w:rPr>
        <w:t xml:space="preserve"> life expectancy? </w:t>
      </w:r>
    </w:p>
    <w:p w14:paraId="24ABC44E" w14:textId="5A715E6C" w:rsidR="006A4766" w:rsidRPr="001150DD" w:rsidRDefault="00F95970" w:rsidP="00C574EB">
      <w:pPr>
        <w:numPr>
          <w:ilvl w:val="1"/>
          <w:numId w:val="3"/>
        </w:num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Which variabl</w:t>
      </w:r>
      <w:r w:rsidR="00222B93" w:rsidRPr="001150DD">
        <w:rPr>
          <w:rFonts w:ascii="Times New Roman" w:eastAsia="Times New Roman" w:hAnsi="Times New Roman" w:cs="Times New Roman"/>
        </w:rPr>
        <w:t xml:space="preserve">es </w:t>
      </w:r>
      <w:r w:rsidR="007C1D06" w:rsidRPr="001150DD">
        <w:rPr>
          <w:rFonts w:ascii="Times New Roman" w:eastAsia="Times New Roman" w:hAnsi="Times New Roman" w:cs="Times New Roman"/>
        </w:rPr>
        <w:t>are</w:t>
      </w:r>
      <w:r w:rsidR="00222B93" w:rsidRPr="001150DD">
        <w:rPr>
          <w:rFonts w:ascii="Times New Roman" w:eastAsia="Times New Roman" w:hAnsi="Times New Roman" w:cs="Times New Roman"/>
        </w:rPr>
        <w:t xml:space="preserve"> the best predictor for </w:t>
      </w:r>
      <w:r w:rsidR="007C1D06" w:rsidRPr="001150DD">
        <w:rPr>
          <w:rFonts w:ascii="Times New Roman" w:eastAsia="Times New Roman" w:hAnsi="Times New Roman" w:cs="Times New Roman"/>
        </w:rPr>
        <w:t>life expectancy</w:t>
      </w:r>
      <w:r w:rsidR="007E732D" w:rsidRPr="001150DD">
        <w:rPr>
          <w:rFonts w:ascii="Times New Roman" w:eastAsia="Times New Roman" w:hAnsi="Times New Roman" w:cs="Times New Roman"/>
        </w:rPr>
        <w:t>?</w:t>
      </w:r>
    </w:p>
    <w:p w14:paraId="7E6985CF" w14:textId="747E8479" w:rsidR="00C574EB" w:rsidRPr="001150DD" w:rsidRDefault="00C574EB" w:rsidP="00B7534F">
      <w:pPr>
        <w:numPr>
          <w:ilvl w:val="0"/>
          <w:numId w:val="3"/>
        </w:numPr>
        <w:spacing w:before="100" w:beforeAutospacing="1" w:after="100" w:afterAutospacing="1"/>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524"/>
        <w:gridCol w:w="2016"/>
        <w:gridCol w:w="1383"/>
        <w:gridCol w:w="1407"/>
        <w:gridCol w:w="1498"/>
        <w:gridCol w:w="1522"/>
      </w:tblGrid>
      <w:tr w:rsidR="00020B1F" w:rsidRPr="001150DD" w14:paraId="4461D582" w14:textId="77777777" w:rsidTr="00891436">
        <w:tc>
          <w:tcPr>
            <w:tcW w:w="1524" w:type="dxa"/>
          </w:tcPr>
          <w:p w14:paraId="3217CEC7" w14:textId="5F96953A" w:rsidR="00020B1F" w:rsidRPr="001150DD" w:rsidRDefault="00020B1F" w:rsidP="00020B1F">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b/>
                <w:bCs/>
              </w:rPr>
              <w:t>Variable Name</w:t>
            </w:r>
          </w:p>
        </w:tc>
        <w:tc>
          <w:tcPr>
            <w:tcW w:w="2016" w:type="dxa"/>
          </w:tcPr>
          <w:p w14:paraId="5664747E" w14:textId="2EE7BA26" w:rsidR="00020B1F" w:rsidRPr="001150DD" w:rsidRDefault="00020B1F" w:rsidP="00020B1F">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b/>
                <w:bCs/>
              </w:rPr>
              <w:t>Original Definition</w:t>
            </w:r>
          </w:p>
        </w:tc>
        <w:tc>
          <w:tcPr>
            <w:tcW w:w="1383" w:type="dxa"/>
          </w:tcPr>
          <w:p w14:paraId="66D5FB8F" w14:textId="0ADD02BF" w:rsidR="00020B1F" w:rsidRPr="001150DD" w:rsidRDefault="00020B1F" w:rsidP="00020B1F">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b/>
                <w:bCs/>
              </w:rPr>
              <w:t>Units</w:t>
            </w:r>
          </w:p>
        </w:tc>
        <w:tc>
          <w:tcPr>
            <w:tcW w:w="1407" w:type="dxa"/>
          </w:tcPr>
          <w:p w14:paraId="3A208B78" w14:textId="5BBF230A" w:rsidR="00020B1F" w:rsidRPr="001150DD" w:rsidRDefault="00020B1F" w:rsidP="00020B1F">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b/>
                <w:bCs/>
              </w:rPr>
              <w:t>Range or Levels</w:t>
            </w:r>
          </w:p>
        </w:tc>
        <w:tc>
          <w:tcPr>
            <w:tcW w:w="1498" w:type="dxa"/>
          </w:tcPr>
          <w:p w14:paraId="0D93515D" w14:textId="4EB025AD" w:rsidR="00020B1F" w:rsidRPr="001150DD" w:rsidRDefault="00020B1F" w:rsidP="00020B1F">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b/>
                <w:bCs/>
              </w:rPr>
              <w:t>Possible Recording</w:t>
            </w:r>
          </w:p>
        </w:tc>
        <w:tc>
          <w:tcPr>
            <w:tcW w:w="1522" w:type="dxa"/>
          </w:tcPr>
          <w:p w14:paraId="67A51D4C" w14:textId="56A23F07" w:rsidR="00020B1F" w:rsidRPr="001150DD" w:rsidRDefault="00020B1F" w:rsidP="00020B1F">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b/>
                <w:bCs/>
              </w:rPr>
              <w:t>Rationale</w:t>
            </w:r>
          </w:p>
        </w:tc>
      </w:tr>
      <w:tr w:rsidR="00D60C99" w:rsidRPr="001150DD" w14:paraId="725A0E2E" w14:textId="77777777" w:rsidTr="00891436">
        <w:tc>
          <w:tcPr>
            <w:tcW w:w="1524" w:type="dxa"/>
          </w:tcPr>
          <w:p w14:paraId="67450879" w14:textId="1C4F74FE"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Status</w:t>
            </w:r>
          </w:p>
        </w:tc>
        <w:tc>
          <w:tcPr>
            <w:tcW w:w="2016" w:type="dxa"/>
          </w:tcPr>
          <w:p w14:paraId="5E62F1F5" w14:textId="7150A294"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 xml:space="preserve">Developing or developed </w:t>
            </w:r>
          </w:p>
        </w:tc>
        <w:tc>
          <w:tcPr>
            <w:tcW w:w="1383" w:type="dxa"/>
          </w:tcPr>
          <w:p w14:paraId="14E92257"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407" w:type="dxa"/>
          </w:tcPr>
          <w:p w14:paraId="4ED73161"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498" w:type="dxa"/>
          </w:tcPr>
          <w:p w14:paraId="308E44E9"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522" w:type="dxa"/>
          </w:tcPr>
          <w:p w14:paraId="5CF65CFC" w14:textId="1074D8E2" w:rsidR="00D60C99" w:rsidRPr="001150DD" w:rsidRDefault="00D60C99" w:rsidP="00D60C99">
            <w:pPr>
              <w:spacing w:before="100" w:beforeAutospacing="1" w:after="100" w:afterAutospacing="1"/>
              <w:jc w:val="center"/>
              <w:rPr>
                <w:rFonts w:ascii="Times New Roman" w:eastAsia="Times New Roman" w:hAnsi="Times New Roman" w:cs="Times New Roman"/>
              </w:rPr>
            </w:pPr>
            <w:r w:rsidRPr="001150DD">
              <w:rPr>
                <w:rFonts w:ascii="Times New Roman" w:eastAsia="Times New Roman" w:hAnsi="Times New Roman" w:cs="Times New Roman"/>
              </w:rPr>
              <w:t>Explanatory variable</w:t>
            </w:r>
          </w:p>
        </w:tc>
      </w:tr>
      <w:tr w:rsidR="00D60C99" w:rsidRPr="001150DD" w14:paraId="6570407E" w14:textId="77777777" w:rsidTr="00891436">
        <w:tc>
          <w:tcPr>
            <w:tcW w:w="1524" w:type="dxa"/>
          </w:tcPr>
          <w:p w14:paraId="03DEE45D" w14:textId="7AAC5B56"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Life expectancy</w:t>
            </w:r>
          </w:p>
        </w:tc>
        <w:tc>
          <w:tcPr>
            <w:tcW w:w="2016" w:type="dxa"/>
          </w:tcPr>
          <w:p w14:paraId="18EB7BC2" w14:textId="3C592CB5"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Life expectancy in age</w:t>
            </w:r>
          </w:p>
        </w:tc>
        <w:tc>
          <w:tcPr>
            <w:tcW w:w="1383" w:type="dxa"/>
          </w:tcPr>
          <w:p w14:paraId="1CF78F41" w14:textId="6589B523" w:rsidR="00D60C99" w:rsidRPr="001150DD" w:rsidRDefault="00F95970"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age</w:t>
            </w:r>
          </w:p>
        </w:tc>
        <w:tc>
          <w:tcPr>
            <w:tcW w:w="1407" w:type="dxa"/>
          </w:tcPr>
          <w:p w14:paraId="603F78EB" w14:textId="66211891" w:rsidR="00D60C99" w:rsidRPr="001150DD" w:rsidRDefault="0036798D"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0-100 age</w:t>
            </w:r>
          </w:p>
        </w:tc>
        <w:tc>
          <w:tcPr>
            <w:tcW w:w="1498" w:type="dxa"/>
          </w:tcPr>
          <w:p w14:paraId="7E0EB412"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522" w:type="dxa"/>
          </w:tcPr>
          <w:p w14:paraId="151F1B8A" w14:textId="5B7DE893"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Response variable</w:t>
            </w:r>
          </w:p>
        </w:tc>
      </w:tr>
      <w:tr w:rsidR="00D60C99" w:rsidRPr="001150DD" w14:paraId="3E1F81E7" w14:textId="77777777" w:rsidTr="00891436">
        <w:tc>
          <w:tcPr>
            <w:tcW w:w="1524" w:type="dxa"/>
          </w:tcPr>
          <w:p w14:paraId="1E6706EE" w14:textId="66C09439" w:rsidR="00D60C99" w:rsidRPr="001150DD" w:rsidRDefault="001F403E"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Schooling</w:t>
            </w:r>
          </w:p>
        </w:tc>
        <w:tc>
          <w:tcPr>
            <w:tcW w:w="2016" w:type="dxa"/>
          </w:tcPr>
          <w:p w14:paraId="7181942D" w14:textId="443EF412" w:rsidR="00D60C99" w:rsidRPr="001150DD" w:rsidRDefault="001F403E" w:rsidP="00D60C99">
            <w:pPr>
              <w:spacing w:before="100" w:beforeAutospacing="1" w:after="100" w:afterAutospacing="1"/>
              <w:rPr>
                <w:rFonts w:ascii="Times New Roman" w:eastAsia="Times New Roman" w:hAnsi="Times New Roman" w:cs="Times New Roman"/>
              </w:rPr>
            </w:pPr>
            <w:r w:rsidRPr="001150DD">
              <w:rPr>
                <w:rFonts w:ascii="Times New Roman" w:hAnsi="Times New Roman" w:cs="Times New Roman"/>
                <w:shd w:val="clear" w:color="auto" w:fill="FFFFFF"/>
              </w:rPr>
              <w:t>Number of years of Schooling(years)</w:t>
            </w:r>
          </w:p>
        </w:tc>
        <w:tc>
          <w:tcPr>
            <w:tcW w:w="1383" w:type="dxa"/>
          </w:tcPr>
          <w:p w14:paraId="131E79A3"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407" w:type="dxa"/>
          </w:tcPr>
          <w:p w14:paraId="132D1C4A" w14:textId="74B3B568"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498" w:type="dxa"/>
          </w:tcPr>
          <w:p w14:paraId="44A2ED98"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522" w:type="dxa"/>
          </w:tcPr>
          <w:p w14:paraId="3981A83A" w14:textId="4367C008"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Explanatory variable</w:t>
            </w:r>
          </w:p>
        </w:tc>
      </w:tr>
      <w:tr w:rsidR="00BA39ED" w:rsidRPr="001150DD" w14:paraId="72DEBFF4" w14:textId="77777777" w:rsidTr="00891436">
        <w:tc>
          <w:tcPr>
            <w:tcW w:w="1524" w:type="dxa"/>
          </w:tcPr>
          <w:p w14:paraId="3AFC26CA" w14:textId="1CD42AA0" w:rsidR="00BA39ED" w:rsidRPr="001150DD" w:rsidRDefault="00BA39ED"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Adult Mortality</w:t>
            </w:r>
          </w:p>
        </w:tc>
        <w:tc>
          <w:tcPr>
            <w:tcW w:w="2016" w:type="dxa"/>
          </w:tcPr>
          <w:p w14:paraId="7668EDAB" w14:textId="55A33DB1" w:rsidR="00BA39ED" w:rsidRPr="001150DD" w:rsidRDefault="00BA39ED" w:rsidP="00D60C99">
            <w:pPr>
              <w:spacing w:before="100" w:beforeAutospacing="1" w:after="100" w:afterAutospacing="1"/>
              <w:rPr>
                <w:rFonts w:ascii="Times New Roman" w:hAnsi="Times New Roman" w:cs="Times New Roman"/>
                <w:shd w:val="clear" w:color="auto" w:fill="FFFFFF"/>
              </w:rPr>
            </w:pPr>
            <w:r w:rsidRPr="001150DD">
              <w:rPr>
                <w:rFonts w:ascii="Times New Roman" w:hAnsi="Times New Roman" w:cs="Times New Roman"/>
                <w:shd w:val="clear" w:color="auto" w:fill="FFFFFF"/>
              </w:rPr>
              <w:t>Adult Mortality Rates of both sexes (probability of dying between 15 and 60 years per 1000 population)</w:t>
            </w:r>
          </w:p>
        </w:tc>
        <w:tc>
          <w:tcPr>
            <w:tcW w:w="1383" w:type="dxa"/>
          </w:tcPr>
          <w:p w14:paraId="3272B49B" w14:textId="77777777" w:rsidR="00BA39ED" w:rsidRPr="001150DD" w:rsidRDefault="00BA39ED" w:rsidP="00D60C99">
            <w:pPr>
              <w:spacing w:before="100" w:beforeAutospacing="1" w:after="100" w:afterAutospacing="1"/>
              <w:rPr>
                <w:rFonts w:ascii="Times New Roman" w:eastAsia="Times New Roman" w:hAnsi="Times New Roman" w:cs="Times New Roman"/>
              </w:rPr>
            </w:pPr>
          </w:p>
        </w:tc>
        <w:tc>
          <w:tcPr>
            <w:tcW w:w="1407" w:type="dxa"/>
          </w:tcPr>
          <w:p w14:paraId="75875EF8" w14:textId="6B92FD7A" w:rsidR="00BA39ED" w:rsidRPr="001150DD" w:rsidRDefault="00BA39ED"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15-60 age</w:t>
            </w:r>
          </w:p>
        </w:tc>
        <w:tc>
          <w:tcPr>
            <w:tcW w:w="1498" w:type="dxa"/>
          </w:tcPr>
          <w:p w14:paraId="655346EE" w14:textId="77777777" w:rsidR="00BA39ED" w:rsidRPr="001150DD" w:rsidRDefault="00BA39ED" w:rsidP="00D60C99">
            <w:pPr>
              <w:spacing w:before="100" w:beforeAutospacing="1" w:after="100" w:afterAutospacing="1"/>
              <w:rPr>
                <w:rFonts w:ascii="Times New Roman" w:eastAsia="Times New Roman" w:hAnsi="Times New Roman" w:cs="Times New Roman"/>
              </w:rPr>
            </w:pPr>
          </w:p>
        </w:tc>
        <w:tc>
          <w:tcPr>
            <w:tcW w:w="1522" w:type="dxa"/>
          </w:tcPr>
          <w:p w14:paraId="46D4F599" w14:textId="77777777" w:rsidR="00BA39ED" w:rsidRPr="001150DD" w:rsidRDefault="00BA39ED" w:rsidP="00D60C99">
            <w:pPr>
              <w:spacing w:before="100" w:beforeAutospacing="1" w:after="100" w:afterAutospacing="1"/>
              <w:rPr>
                <w:rFonts w:ascii="Times New Roman" w:eastAsia="Times New Roman" w:hAnsi="Times New Roman" w:cs="Times New Roman"/>
              </w:rPr>
            </w:pPr>
          </w:p>
        </w:tc>
      </w:tr>
      <w:tr w:rsidR="00D60C99" w:rsidRPr="001150DD" w14:paraId="6776CBF9" w14:textId="77777777" w:rsidTr="00891436">
        <w:tc>
          <w:tcPr>
            <w:tcW w:w="1524" w:type="dxa"/>
          </w:tcPr>
          <w:p w14:paraId="59C743AC" w14:textId="1B936EA4"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Infant deaths</w:t>
            </w:r>
          </w:p>
        </w:tc>
        <w:tc>
          <w:tcPr>
            <w:tcW w:w="2016" w:type="dxa"/>
          </w:tcPr>
          <w:p w14:paraId="4C7C05A2" w14:textId="2BBDDBEF"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Number of infants deaths</w:t>
            </w:r>
          </w:p>
        </w:tc>
        <w:tc>
          <w:tcPr>
            <w:tcW w:w="1383" w:type="dxa"/>
          </w:tcPr>
          <w:p w14:paraId="4CF1041F"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407" w:type="dxa"/>
          </w:tcPr>
          <w:p w14:paraId="55380528"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498" w:type="dxa"/>
          </w:tcPr>
          <w:p w14:paraId="612ABEF3"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522" w:type="dxa"/>
          </w:tcPr>
          <w:p w14:paraId="3FEC4DF0" w14:textId="2AC79DA5"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Explanatory variable</w:t>
            </w:r>
          </w:p>
        </w:tc>
      </w:tr>
      <w:tr w:rsidR="00D60C99" w:rsidRPr="001150DD" w14:paraId="6669B8DD" w14:textId="77777777" w:rsidTr="00891436">
        <w:tc>
          <w:tcPr>
            <w:tcW w:w="1524" w:type="dxa"/>
          </w:tcPr>
          <w:p w14:paraId="49141192" w14:textId="4D894C14" w:rsidR="00D60C99" w:rsidRPr="001150DD" w:rsidRDefault="007E732D"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GDP</w:t>
            </w:r>
          </w:p>
        </w:tc>
        <w:tc>
          <w:tcPr>
            <w:tcW w:w="2016" w:type="dxa"/>
          </w:tcPr>
          <w:p w14:paraId="21F2E675" w14:textId="7EB838FC" w:rsidR="00D60C99" w:rsidRPr="001150DD" w:rsidRDefault="007E732D"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Gross Domestic Products</w:t>
            </w:r>
          </w:p>
        </w:tc>
        <w:tc>
          <w:tcPr>
            <w:tcW w:w="1383" w:type="dxa"/>
          </w:tcPr>
          <w:p w14:paraId="7E7FD6DD" w14:textId="578F1448"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407" w:type="dxa"/>
          </w:tcPr>
          <w:p w14:paraId="0962DD9D"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498" w:type="dxa"/>
          </w:tcPr>
          <w:p w14:paraId="30DC974B" w14:textId="77777777" w:rsidR="00D60C99" w:rsidRPr="001150DD" w:rsidRDefault="00D60C99" w:rsidP="00D60C99">
            <w:pPr>
              <w:spacing w:before="100" w:beforeAutospacing="1" w:after="100" w:afterAutospacing="1"/>
              <w:rPr>
                <w:rFonts w:ascii="Times New Roman" w:eastAsia="Times New Roman" w:hAnsi="Times New Roman" w:cs="Times New Roman"/>
              </w:rPr>
            </w:pPr>
          </w:p>
        </w:tc>
        <w:tc>
          <w:tcPr>
            <w:tcW w:w="1522" w:type="dxa"/>
          </w:tcPr>
          <w:p w14:paraId="19A4E81F" w14:textId="243DD6B8" w:rsidR="00D60C99" w:rsidRPr="001150DD" w:rsidRDefault="00D60C99" w:rsidP="00D60C99">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Explanatory variable</w:t>
            </w:r>
          </w:p>
        </w:tc>
      </w:tr>
      <w:tr w:rsidR="00891436" w:rsidRPr="001150DD" w14:paraId="68728221" w14:textId="77777777" w:rsidTr="00891436">
        <w:tc>
          <w:tcPr>
            <w:tcW w:w="1524" w:type="dxa"/>
          </w:tcPr>
          <w:p w14:paraId="6A2D9FAF" w14:textId="0138A3C9"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HIV/AIDS</w:t>
            </w:r>
          </w:p>
        </w:tc>
        <w:tc>
          <w:tcPr>
            <w:tcW w:w="2016" w:type="dxa"/>
          </w:tcPr>
          <w:p w14:paraId="7353E58C" w14:textId="46E8C1C9"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Human immunodeficiency virus</w:t>
            </w:r>
          </w:p>
        </w:tc>
        <w:tc>
          <w:tcPr>
            <w:tcW w:w="1383" w:type="dxa"/>
          </w:tcPr>
          <w:p w14:paraId="749A180E" w14:textId="6A5F249E"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407" w:type="dxa"/>
          </w:tcPr>
          <w:p w14:paraId="5699B603"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498" w:type="dxa"/>
          </w:tcPr>
          <w:p w14:paraId="61E884B4"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522" w:type="dxa"/>
          </w:tcPr>
          <w:p w14:paraId="3037D1A5" w14:textId="7D1EFAC0"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Explanatory variable</w:t>
            </w:r>
          </w:p>
        </w:tc>
      </w:tr>
      <w:tr w:rsidR="00891436" w:rsidRPr="001150DD" w14:paraId="57D17D38" w14:textId="77777777" w:rsidTr="00891436">
        <w:tc>
          <w:tcPr>
            <w:tcW w:w="1524" w:type="dxa"/>
          </w:tcPr>
          <w:p w14:paraId="00E5DAB1" w14:textId="786FAA28"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lastRenderedPageBreak/>
              <w:t>Hepatitis B</w:t>
            </w:r>
          </w:p>
        </w:tc>
        <w:tc>
          <w:tcPr>
            <w:tcW w:w="2016" w:type="dxa"/>
          </w:tcPr>
          <w:p w14:paraId="0D037B11" w14:textId="708A0BEF"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Hepatitis B vaccine</w:t>
            </w:r>
          </w:p>
        </w:tc>
        <w:tc>
          <w:tcPr>
            <w:tcW w:w="1383" w:type="dxa"/>
          </w:tcPr>
          <w:p w14:paraId="5994E895"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407" w:type="dxa"/>
          </w:tcPr>
          <w:p w14:paraId="40AB8451"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498" w:type="dxa"/>
          </w:tcPr>
          <w:p w14:paraId="0EFFF40A"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522" w:type="dxa"/>
          </w:tcPr>
          <w:p w14:paraId="0C41EA98" w14:textId="7363103B"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Explanatory variable</w:t>
            </w:r>
          </w:p>
        </w:tc>
      </w:tr>
      <w:tr w:rsidR="00891436" w:rsidRPr="001150DD" w14:paraId="798226AB" w14:textId="77777777" w:rsidTr="00891436">
        <w:tc>
          <w:tcPr>
            <w:tcW w:w="1524" w:type="dxa"/>
          </w:tcPr>
          <w:p w14:paraId="065F9045" w14:textId="19EB7EB6"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BMI</w:t>
            </w:r>
          </w:p>
        </w:tc>
        <w:tc>
          <w:tcPr>
            <w:tcW w:w="2016" w:type="dxa"/>
          </w:tcPr>
          <w:p w14:paraId="1B2E6CFA" w14:textId="6E7F276C"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Body Mass Index</w:t>
            </w:r>
          </w:p>
        </w:tc>
        <w:tc>
          <w:tcPr>
            <w:tcW w:w="1383" w:type="dxa"/>
          </w:tcPr>
          <w:p w14:paraId="5F17785A"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407" w:type="dxa"/>
          </w:tcPr>
          <w:p w14:paraId="2271041E"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498" w:type="dxa"/>
          </w:tcPr>
          <w:p w14:paraId="64B7AA32"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522" w:type="dxa"/>
          </w:tcPr>
          <w:p w14:paraId="75091BF3" w14:textId="59AD3FF2"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Explanatory variable</w:t>
            </w:r>
          </w:p>
        </w:tc>
      </w:tr>
      <w:tr w:rsidR="00891436" w:rsidRPr="001150DD" w14:paraId="26A0DA1B" w14:textId="77777777" w:rsidTr="00891436">
        <w:tc>
          <w:tcPr>
            <w:tcW w:w="1524" w:type="dxa"/>
          </w:tcPr>
          <w:p w14:paraId="614F68F9" w14:textId="3115DD76"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Income composition of resources</w:t>
            </w:r>
          </w:p>
        </w:tc>
        <w:tc>
          <w:tcPr>
            <w:tcW w:w="2016" w:type="dxa"/>
          </w:tcPr>
          <w:p w14:paraId="3E7B0986" w14:textId="4095BB2F"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 xml:space="preserve">Aggregated total income of that group/area </w:t>
            </w:r>
          </w:p>
        </w:tc>
        <w:tc>
          <w:tcPr>
            <w:tcW w:w="1383" w:type="dxa"/>
          </w:tcPr>
          <w:p w14:paraId="11293732"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407" w:type="dxa"/>
          </w:tcPr>
          <w:p w14:paraId="753720A6"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498" w:type="dxa"/>
          </w:tcPr>
          <w:p w14:paraId="5EEC75F1" w14:textId="77777777" w:rsidR="00891436" w:rsidRPr="001150DD" w:rsidRDefault="00891436" w:rsidP="00891436">
            <w:pPr>
              <w:spacing w:before="100" w:beforeAutospacing="1" w:after="100" w:afterAutospacing="1"/>
              <w:rPr>
                <w:rFonts w:ascii="Times New Roman" w:eastAsia="Times New Roman" w:hAnsi="Times New Roman" w:cs="Times New Roman"/>
              </w:rPr>
            </w:pPr>
          </w:p>
        </w:tc>
        <w:tc>
          <w:tcPr>
            <w:tcW w:w="1522" w:type="dxa"/>
          </w:tcPr>
          <w:p w14:paraId="30757F49" w14:textId="4D4B143E" w:rsidR="00891436" w:rsidRPr="001150DD" w:rsidRDefault="00891436" w:rsidP="00891436">
            <w:p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Explanatory variable</w:t>
            </w:r>
          </w:p>
        </w:tc>
      </w:tr>
    </w:tbl>
    <w:p w14:paraId="532C037D" w14:textId="77777777" w:rsidR="00B7534F" w:rsidRPr="001150DD" w:rsidRDefault="00B7534F" w:rsidP="00B7534F">
      <w:pPr>
        <w:spacing w:before="100" w:beforeAutospacing="1" w:after="100" w:afterAutospacing="1"/>
        <w:rPr>
          <w:rFonts w:ascii="Times New Roman" w:eastAsia="Times New Roman" w:hAnsi="Times New Roman" w:cs="Times New Roman"/>
        </w:rPr>
      </w:pPr>
    </w:p>
    <w:p w14:paraId="400B4173" w14:textId="19840738" w:rsidR="00ED44E8" w:rsidRPr="001150DD" w:rsidRDefault="001150DD" w:rsidP="00ED44E8">
      <w:pPr>
        <w:numPr>
          <w:ilvl w:val="0"/>
          <w:numId w:val="3"/>
        </w:numPr>
        <w:spacing w:before="100" w:beforeAutospacing="1" w:after="100" w:afterAutospacing="1"/>
        <w:rPr>
          <w:rFonts w:ascii="Times New Roman" w:eastAsia="Times New Roman" w:hAnsi="Times New Roman" w:cs="Times New Roman"/>
        </w:rPr>
      </w:pPr>
      <w:r w:rsidRPr="001150DD">
        <w:rPr>
          <w:rFonts w:ascii="Times New Roman" w:eastAsia="Times New Roman" w:hAnsi="Times New Roman" w:cs="Times New Roman"/>
        </w:rPr>
        <w:t>Relevant Sources</w:t>
      </w:r>
    </w:p>
    <w:p w14:paraId="1A6D5C90" w14:textId="19F19D78" w:rsidR="00ED44E8" w:rsidRPr="001150DD" w:rsidRDefault="00000000" w:rsidP="00ED44E8">
      <w:pPr>
        <w:numPr>
          <w:ilvl w:val="1"/>
          <w:numId w:val="3"/>
        </w:numPr>
        <w:spacing w:before="100" w:beforeAutospacing="1" w:after="100" w:afterAutospacing="1"/>
        <w:rPr>
          <w:rFonts w:ascii="Times New Roman" w:eastAsia="Times New Roman" w:hAnsi="Times New Roman" w:cs="Times New Roman"/>
        </w:rPr>
      </w:pPr>
      <w:hyperlink r:id="rId5" w:history="1">
        <w:r w:rsidR="00B522B2" w:rsidRPr="001150DD">
          <w:rPr>
            <w:rStyle w:val="Hyperlink"/>
            <w:rFonts w:ascii="Times New Roman" w:eastAsia="Times New Roman" w:hAnsi="Times New Roman" w:cs="Times New Roman"/>
          </w:rPr>
          <w:t>https://www.cdc.gov/vaccines/parents/by-age/newborn-birth.html</w:t>
        </w:r>
      </w:hyperlink>
      <w:r w:rsidR="00B522B2" w:rsidRPr="001150DD">
        <w:rPr>
          <w:rFonts w:ascii="Times New Roman" w:eastAsia="Times New Roman" w:hAnsi="Times New Roman" w:cs="Times New Roman"/>
        </w:rPr>
        <w:t xml:space="preserve"> </w:t>
      </w:r>
    </w:p>
    <w:p w14:paraId="361E1B88" w14:textId="6AD212F0" w:rsidR="00B522B2" w:rsidRPr="001150DD" w:rsidRDefault="00B522B2" w:rsidP="00ED44E8">
      <w:pPr>
        <w:spacing w:before="100" w:beforeAutospacing="1" w:after="100" w:afterAutospacing="1"/>
        <w:ind w:left="1440"/>
        <w:rPr>
          <w:rFonts w:ascii="Times New Roman" w:eastAsia="Times New Roman" w:hAnsi="Times New Roman" w:cs="Times New Roman"/>
        </w:rPr>
      </w:pPr>
      <w:r w:rsidRPr="001150DD">
        <w:rPr>
          <w:rFonts w:ascii="Times New Roman" w:eastAsia="Times New Roman" w:hAnsi="Times New Roman" w:cs="Times New Roman"/>
        </w:rPr>
        <w:t xml:space="preserve">Summary: All babies should get the first shot of Hepatitis B vaccine within 24hours of birth. </w:t>
      </w:r>
    </w:p>
    <w:p w14:paraId="7AC9B7F3" w14:textId="1ADB8314" w:rsidR="00ED44E8" w:rsidRPr="001150DD" w:rsidRDefault="00000000" w:rsidP="00ED44E8">
      <w:pPr>
        <w:numPr>
          <w:ilvl w:val="1"/>
          <w:numId w:val="3"/>
        </w:numPr>
        <w:spacing w:before="100" w:beforeAutospacing="1" w:after="100" w:afterAutospacing="1"/>
        <w:rPr>
          <w:rFonts w:ascii="Times New Roman" w:eastAsia="Times New Roman" w:hAnsi="Times New Roman" w:cs="Times New Roman"/>
        </w:rPr>
      </w:pPr>
      <w:hyperlink r:id="rId6" w:history="1">
        <w:r w:rsidR="00F032FC" w:rsidRPr="001150DD">
          <w:rPr>
            <w:rStyle w:val="Hyperlink"/>
            <w:rFonts w:ascii="Times New Roman" w:eastAsia="Times New Roman" w:hAnsi="Times New Roman" w:cs="Times New Roman"/>
          </w:rPr>
          <w:t>https://genus.springeropen.com/articles/10.1186/s41118-019-0071-0</w:t>
        </w:r>
      </w:hyperlink>
      <w:r w:rsidR="00F032FC" w:rsidRPr="001150DD">
        <w:rPr>
          <w:rFonts w:ascii="Times New Roman" w:eastAsia="Times New Roman" w:hAnsi="Times New Roman" w:cs="Times New Roman"/>
        </w:rPr>
        <w:t xml:space="preserve"> </w:t>
      </w:r>
    </w:p>
    <w:p w14:paraId="72405FFC" w14:textId="09F5D532" w:rsidR="00F032FC" w:rsidRPr="001150DD" w:rsidRDefault="00F032FC" w:rsidP="00F032FC">
      <w:pPr>
        <w:spacing w:before="100" w:beforeAutospacing="1" w:after="100" w:afterAutospacing="1"/>
        <w:ind w:left="1440"/>
        <w:rPr>
          <w:rFonts w:ascii="Times New Roman" w:eastAsia="Times New Roman" w:hAnsi="Times New Roman" w:cs="Times New Roman"/>
        </w:rPr>
      </w:pPr>
      <w:r w:rsidRPr="001150DD">
        <w:rPr>
          <w:rFonts w:ascii="Times New Roman" w:eastAsia="Times New Roman" w:hAnsi="Times New Roman" w:cs="Times New Roman"/>
        </w:rPr>
        <w:t>Summary: The findings demonstrate that population health and socioeconomic development in a nation have a significant impact on life expectancy at birth; in other words, when population health and socioeconomic development in a nation are improving, infant mortality rates decline, and as a result, life expectancy at birth appears to have increased. By fostering more economic growth and development in a nation, GDP per capita raises the life expectancy at birth and, in turn, promotes longevity.</w:t>
      </w:r>
    </w:p>
    <w:p w14:paraId="01D28214" w14:textId="4555F8AE" w:rsidR="00F032FC" w:rsidRPr="001150DD" w:rsidRDefault="00000000" w:rsidP="00ED44E8">
      <w:pPr>
        <w:numPr>
          <w:ilvl w:val="1"/>
          <w:numId w:val="3"/>
        </w:numPr>
        <w:spacing w:before="100" w:beforeAutospacing="1" w:after="100" w:afterAutospacing="1"/>
        <w:rPr>
          <w:rFonts w:ascii="Times New Roman" w:eastAsia="Times New Roman" w:hAnsi="Times New Roman" w:cs="Times New Roman"/>
        </w:rPr>
      </w:pPr>
      <w:hyperlink r:id="rId7" w:history="1">
        <w:r w:rsidR="00A730D0" w:rsidRPr="001150DD">
          <w:rPr>
            <w:rStyle w:val="Hyperlink"/>
            <w:rFonts w:ascii="Times New Roman" w:eastAsia="Times New Roman" w:hAnsi="Times New Roman" w:cs="Times New Roman"/>
          </w:rPr>
          <w:t>https://www.disabled-world.com/fitness/longevity/</w:t>
        </w:r>
      </w:hyperlink>
      <w:r w:rsidR="00A730D0" w:rsidRPr="001150DD">
        <w:rPr>
          <w:rFonts w:ascii="Times New Roman" w:eastAsia="Times New Roman" w:hAnsi="Times New Roman" w:cs="Times New Roman"/>
        </w:rPr>
        <w:t xml:space="preserve"> </w:t>
      </w:r>
    </w:p>
    <w:p w14:paraId="646C08A0" w14:textId="5C0B791D" w:rsidR="00F032FC" w:rsidRPr="001150DD" w:rsidRDefault="00A730D0" w:rsidP="00A730D0">
      <w:pPr>
        <w:spacing w:before="100" w:beforeAutospacing="1" w:after="100" w:afterAutospacing="1"/>
        <w:ind w:left="1440"/>
        <w:rPr>
          <w:rFonts w:ascii="Times New Roman" w:eastAsia="Times New Roman" w:hAnsi="Times New Roman" w:cs="Times New Roman"/>
        </w:rPr>
      </w:pPr>
      <w:r w:rsidRPr="001150DD">
        <w:rPr>
          <w:rFonts w:ascii="Times New Roman" w:eastAsia="Times New Roman" w:hAnsi="Times New Roman" w:cs="Times New Roman"/>
        </w:rPr>
        <w:t xml:space="preserve">Summary: Life expectancy at birth has risen rapidly during the last century due to many factors, including reductions in infant mortality, rising living standards, improved </w:t>
      </w:r>
      <w:proofErr w:type="gramStart"/>
      <w:r w:rsidRPr="001150DD">
        <w:rPr>
          <w:rFonts w:ascii="Times New Roman" w:eastAsia="Times New Roman" w:hAnsi="Times New Roman" w:cs="Times New Roman"/>
        </w:rPr>
        <w:t>lifestyles</w:t>
      </w:r>
      <w:proofErr w:type="gramEnd"/>
      <w:r w:rsidRPr="001150DD">
        <w:rPr>
          <w:rFonts w:ascii="Times New Roman" w:eastAsia="Times New Roman" w:hAnsi="Times New Roman" w:cs="Times New Roman"/>
        </w:rPr>
        <w:t xml:space="preserve"> and better education, as well as advances in healthcare and medicine. </w:t>
      </w:r>
    </w:p>
    <w:p w14:paraId="36B58EBF" w14:textId="6BE4BABE" w:rsidR="00BF534F" w:rsidRPr="001150DD" w:rsidRDefault="0042420D" w:rsidP="00161EF8">
      <w:pPr>
        <w:numPr>
          <w:ilvl w:val="0"/>
          <w:numId w:val="3"/>
        </w:numPr>
        <w:spacing w:before="100" w:beforeAutospacing="1" w:after="100" w:afterAutospacing="1"/>
        <w:rPr>
          <w:rFonts w:ascii="Times New Roman" w:hAnsi="Times New Roman" w:cs="Times New Roman"/>
        </w:rPr>
      </w:pPr>
      <w:r>
        <w:rPr>
          <w:rFonts w:ascii="Times New Roman" w:eastAsia="Times New Roman" w:hAnsi="Times New Roman" w:cs="Times New Roman"/>
        </w:rPr>
        <w:t xml:space="preserve">We </w:t>
      </w:r>
      <w:r w:rsidR="00ED44E8" w:rsidRPr="001150DD">
        <w:rPr>
          <w:rFonts w:ascii="Times New Roman" w:eastAsia="Times New Roman" w:hAnsi="Times New Roman" w:cs="Times New Roman"/>
        </w:rPr>
        <w:t xml:space="preserve">plan to run multiple linear regression models with </w:t>
      </w:r>
      <w:proofErr w:type="spellStart"/>
      <w:r w:rsidR="00ED44E8" w:rsidRPr="001150DD">
        <w:rPr>
          <w:rFonts w:ascii="Times New Roman" w:eastAsia="Times New Roman" w:hAnsi="Times New Roman" w:cs="Times New Roman"/>
        </w:rPr>
        <w:t>Life</w:t>
      </w:r>
      <w:r w:rsidR="006B2A83" w:rsidRPr="001150DD">
        <w:rPr>
          <w:rFonts w:ascii="Times New Roman" w:eastAsia="Times New Roman" w:hAnsi="Times New Roman" w:cs="Times New Roman"/>
        </w:rPr>
        <w:t>.e</w:t>
      </w:r>
      <w:r w:rsidR="00ED44E8" w:rsidRPr="001150DD">
        <w:rPr>
          <w:rFonts w:ascii="Times New Roman" w:eastAsia="Times New Roman" w:hAnsi="Times New Roman" w:cs="Times New Roman"/>
        </w:rPr>
        <w:t>xpectancy</w:t>
      </w:r>
      <w:proofErr w:type="spellEnd"/>
      <w:r w:rsidR="00ED44E8" w:rsidRPr="001150DD">
        <w:rPr>
          <w:rFonts w:ascii="Times New Roman" w:eastAsia="Times New Roman" w:hAnsi="Times New Roman" w:cs="Times New Roman"/>
        </w:rPr>
        <w:t xml:space="preserve"> as response and</w:t>
      </w:r>
      <w:r w:rsidR="00020B1F" w:rsidRPr="001150DD">
        <w:rPr>
          <w:rFonts w:ascii="Times New Roman" w:eastAsia="Times New Roman" w:hAnsi="Times New Roman" w:cs="Times New Roman"/>
        </w:rPr>
        <w:t xml:space="preserve"> </w:t>
      </w:r>
      <w:r w:rsidR="006B2A83" w:rsidRPr="001150DD">
        <w:rPr>
          <w:rFonts w:ascii="Times New Roman" w:eastAsia="Times New Roman" w:hAnsi="Times New Roman" w:cs="Times New Roman"/>
        </w:rPr>
        <w:t>Status</w:t>
      </w:r>
      <w:r w:rsidR="00020B1F" w:rsidRPr="001150DD">
        <w:rPr>
          <w:rFonts w:ascii="Times New Roman" w:eastAsia="Times New Roman" w:hAnsi="Times New Roman" w:cs="Times New Roman"/>
        </w:rPr>
        <w:t xml:space="preserve">, </w:t>
      </w:r>
      <w:proofErr w:type="spellStart"/>
      <w:r w:rsidR="006B2A83" w:rsidRPr="001150DD">
        <w:rPr>
          <w:rFonts w:ascii="Times New Roman" w:eastAsia="Times New Roman" w:hAnsi="Times New Roman" w:cs="Times New Roman"/>
        </w:rPr>
        <w:t>Adult.Mortality</w:t>
      </w:r>
      <w:proofErr w:type="spellEnd"/>
      <w:r w:rsidR="00020B1F" w:rsidRPr="001150DD">
        <w:rPr>
          <w:rFonts w:ascii="Times New Roman" w:eastAsia="Times New Roman" w:hAnsi="Times New Roman" w:cs="Times New Roman"/>
        </w:rPr>
        <w:t xml:space="preserve">, </w:t>
      </w:r>
      <w:proofErr w:type="spellStart"/>
      <w:proofErr w:type="gramStart"/>
      <w:r w:rsidR="006B2A83" w:rsidRPr="001150DD">
        <w:rPr>
          <w:rFonts w:ascii="Times New Roman" w:eastAsia="Times New Roman" w:hAnsi="Times New Roman" w:cs="Times New Roman"/>
        </w:rPr>
        <w:t>infant.deaths</w:t>
      </w:r>
      <w:proofErr w:type="spellEnd"/>
      <w:proofErr w:type="gramEnd"/>
      <w:r w:rsidR="00020B1F" w:rsidRPr="001150DD">
        <w:rPr>
          <w:rFonts w:ascii="Times New Roman" w:eastAsia="Times New Roman" w:hAnsi="Times New Roman" w:cs="Times New Roman"/>
        </w:rPr>
        <w:t xml:space="preserve">, </w:t>
      </w:r>
      <w:proofErr w:type="spellStart"/>
      <w:r w:rsidR="006B2A83" w:rsidRPr="001150DD">
        <w:rPr>
          <w:rFonts w:ascii="Times New Roman" w:eastAsia="Times New Roman" w:hAnsi="Times New Roman" w:cs="Times New Roman"/>
        </w:rPr>
        <w:t>Hepatitis.B</w:t>
      </w:r>
      <w:proofErr w:type="spellEnd"/>
      <w:r w:rsidR="00891436" w:rsidRPr="001150DD">
        <w:rPr>
          <w:rFonts w:ascii="Times New Roman" w:eastAsia="Times New Roman" w:hAnsi="Times New Roman" w:cs="Times New Roman"/>
        </w:rPr>
        <w:t xml:space="preserve">, </w:t>
      </w:r>
      <w:r w:rsidR="006B2A83" w:rsidRPr="001150DD">
        <w:rPr>
          <w:rFonts w:ascii="Times New Roman" w:eastAsia="Times New Roman" w:hAnsi="Times New Roman" w:cs="Times New Roman"/>
        </w:rPr>
        <w:t>BMI</w:t>
      </w:r>
      <w:r w:rsidR="00020B1F" w:rsidRPr="001150DD">
        <w:rPr>
          <w:rFonts w:ascii="Times New Roman" w:eastAsia="Times New Roman" w:hAnsi="Times New Roman" w:cs="Times New Roman"/>
        </w:rPr>
        <w:t xml:space="preserve">, </w:t>
      </w:r>
      <w:r w:rsidR="006B2A83" w:rsidRPr="001150DD">
        <w:rPr>
          <w:rFonts w:ascii="Times New Roman" w:eastAsia="Times New Roman" w:hAnsi="Times New Roman" w:cs="Times New Roman"/>
        </w:rPr>
        <w:t>GDP</w:t>
      </w:r>
      <w:r w:rsidR="00020B1F" w:rsidRPr="001150DD">
        <w:rPr>
          <w:rFonts w:ascii="Times New Roman" w:eastAsia="Times New Roman" w:hAnsi="Times New Roman" w:cs="Times New Roman"/>
        </w:rPr>
        <w:t xml:space="preserve">, </w:t>
      </w:r>
      <w:r w:rsidR="006B2A83" w:rsidRPr="001150DD">
        <w:rPr>
          <w:rFonts w:ascii="Times New Roman" w:eastAsia="Times New Roman" w:hAnsi="Times New Roman" w:cs="Times New Roman"/>
        </w:rPr>
        <w:t>Population</w:t>
      </w:r>
      <w:r w:rsidR="00020B1F" w:rsidRPr="001150DD">
        <w:rPr>
          <w:rFonts w:ascii="Times New Roman" w:eastAsia="Times New Roman" w:hAnsi="Times New Roman" w:cs="Times New Roman"/>
        </w:rPr>
        <w:t xml:space="preserve">, </w:t>
      </w:r>
      <w:proofErr w:type="spellStart"/>
      <w:r w:rsidR="006B2A83" w:rsidRPr="001150DD">
        <w:rPr>
          <w:rFonts w:ascii="Times New Roman" w:eastAsia="Times New Roman" w:hAnsi="Times New Roman" w:cs="Times New Roman"/>
        </w:rPr>
        <w:t>Income.composition.of.resources</w:t>
      </w:r>
      <w:proofErr w:type="spellEnd"/>
      <w:r w:rsidR="00020B1F" w:rsidRPr="001150DD">
        <w:rPr>
          <w:rFonts w:ascii="Times New Roman" w:eastAsia="Times New Roman" w:hAnsi="Times New Roman" w:cs="Times New Roman"/>
        </w:rPr>
        <w:t xml:space="preserve">, </w:t>
      </w:r>
      <w:r w:rsidR="006B2A83" w:rsidRPr="001150DD">
        <w:rPr>
          <w:rFonts w:ascii="Times New Roman" w:eastAsia="Times New Roman" w:hAnsi="Times New Roman" w:cs="Times New Roman"/>
        </w:rPr>
        <w:t>Schooling</w:t>
      </w:r>
      <w:r w:rsidR="00ED44E8" w:rsidRPr="001150DD">
        <w:rPr>
          <w:rFonts w:ascii="Times New Roman" w:eastAsia="Times New Roman" w:hAnsi="Times New Roman" w:cs="Times New Roman"/>
        </w:rPr>
        <w:t xml:space="preserve"> as explanatory variables, possibly examining interactions between </w:t>
      </w:r>
      <w:r w:rsidR="006B2A83" w:rsidRPr="001150DD">
        <w:rPr>
          <w:rFonts w:ascii="Times New Roman" w:eastAsia="Times New Roman" w:hAnsi="Times New Roman" w:cs="Times New Roman"/>
        </w:rPr>
        <w:t>all</w:t>
      </w:r>
      <w:r w:rsidR="00ED44E8" w:rsidRPr="001150DD">
        <w:rPr>
          <w:rFonts w:ascii="Times New Roman" w:eastAsia="Times New Roman" w:hAnsi="Times New Roman" w:cs="Times New Roman"/>
        </w:rPr>
        <w:t xml:space="preserve">. </w:t>
      </w:r>
      <w:r>
        <w:rPr>
          <w:rFonts w:ascii="Times New Roman" w:eastAsia="Times New Roman" w:hAnsi="Times New Roman" w:cs="Times New Roman"/>
        </w:rPr>
        <w:t>We</w:t>
      </w:r>
      <w:r w:rsidR="00ED44E8" w:rsidRPr="001150DD">
        <w:rPr>
          <w:rFonts w:ascii="Times New Roman" w:eastAsia="Times New Roman" w:hAnsi="Times New Roman" w:cs="Times New Roman"/>
        </w:rPr>
        <w:t xml:space="preserve"> will also perform any necessary transformation to better my final model findings. </w:t>
      </w:r>
    </w:p>
    <w:sectPr w:rsidR="00BF534F" w:rsidRPr="001150DD" w:rsidSect="0018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6D41"/>
    <w:multiLevelType w:val="multilevel"/>
    <w:tmpl w:val="5D62DE7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E3285"/>
    <w:multiLevelType w:val="multilevel"/>
    <w:tmpl w:val="BDA62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04C24"/>
    <w:multiLevelType w:val="multilevel"/>
    <w:tmpl w:val="A948A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008383">
    <w:abstractNumId w:val="2"/>
  </w:num>
  <w:num w:numId="2" w16cid:durableId="100732020">
    <w:abstractNumId w:val="1"/>
  </w:num>
  <w:num w:numId="3" w16cid:durableId="185082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83"/>
    <w:rsid w:val="00012395"/>
    <w:rsid w:val="00020B1F"/>
    <w:rsid w:val="00060E20"/>
    <w:rsid w:val="00063A98"/>
    <w:rsid w:val="001150DD"/>
    <w:rsid w:val="001811B0"/>
    <w:rsid w:val="0018408C"/>
    <w:rsid w:val="001F403E"/>
    <w:rsid w:val="00222B93"/>
    <w:rsid w:val="00241F18"/>
    <w:rsid w:val="00294EBC"/>
    <w:rsid w:val="00340DF7"/>
    <w:rsid w:val="0036798D"/>
    <w:rsid w:val="003D70CB"/>
    <w:rsid w:val="0042420D"/>
    <w:rsid w:val="00507723"/>
    <w:rsid w:val="0061514D"/>
    <w:rsid w:val="00647E7E"/>
    <w:rsid w:val="00682759"/>
    <w:rsid w:val="00694910"/>
    <w:rsid w:val="006A4766"/>
    <w:rsid w:val="006B2A83"/>
    <w:rsid w:val="006D0A3E"/>
    <w:rsid w:val="00754A13"/>
    <w:rsid w:val="007625F3"/>
    <w:rsid w:val="007C1D06"/>
    <w:rsid w:val="007E732D"/>
    <w:rsid w:val="00824535"/>
    <w:rsid w:val="008509E8"/>
    <w:rsid w:val="00891436"/>
    <w:rsid w:val="008B3615"/>
    <w:rsid w:val="009E6382"/>
    <w:rsid w:val="00A47C25"/>
    <w:rsid w:val="00A730D0"/>
    <w:rsid w:val="00A804B9"/>
    <w:rsid w:val="00B522B2"/>
    <w:rsid w:val="00B7534F"/>
    <w:rsid w:val="00BA39ED"/>
    <w:rsid w:val="00C574EB"/>
    <w:rsid w:val="00D333C4"/>
    <w:rsid w:val="00D53883"/>
    <w:rsid w:val="00D60C99"/>
    <w:rsid w:val="00DB0238"/>
    <w:rsid w:val="00DB51E0"/>
    <w:rsid w:val="00DF0E44"/>
    <w:rsid w:val="00E20377"/>
    <w:rsid w:val="00ED44E8"/>
    <w:rsid w:val="00F032FC"/>
    <w:rsid w:val="00F9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97211"/>
  <w15:chartTrackingRefBased/>
  <w15:docId w15:val="{90EDB636-530B-424F-A625-E006458D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88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7534F"/>
    <w:pPr>
      <w:ind w:left="720"/>
      <w:contextualSpacing/>
    </w:pPr>
  </w:style>
  <w:style w:type="table" w:styleId="TableGrid">
    <w:name w:val="Table Grid"/>
    <w:basedOn w:val="TableNormal"/>
    <w:uiPriority w:val="39"/>
    <w:rsid w:val="00C57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522B2"/>
  </w:style>
  <w:style w:type="character" w:styleId="Hyperlink">
    <w:name w:val="Hyperlink"/>
    <w:basedOn w:val="DefaultParagraphFont"/>
    <w:uiPriority w:val="99"/>
    <w:unhideWhenUsed/>
    <w:rsid w:val="00B522B2"/>
    <w:rPr>
      <w:color w:val="0563C1" w:themeColor="hyperlink"/>
      <w:u w:val="single"/>
    </w:rPr>
  </w:style>
  <w:style w:type="character" w:styleId="UnresolvedMention">
    <w:name w:val="Unresolved Mention"/>
    <w:basedOn w:val="DefaultParagraphFont"/>
    <w:uiPriority w:val="99"/>
    <w:semiHidden/>
    <w:unhideWhenUsed/>
    <w:rsid w:val="00B52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80220">
      <w:bodyDiv w:val="1"/>
      <w:marLeft w:val="0"/>
      <w:marRight w:val="0"/>
      <w:marTop w:val="0"/>
      <w:marBottom w:val="0"/>
      <w:divBdr>
        <w:top w:val="none" w:sz="0" w:space="0" w:color="auto"/>
        <w:left w:val="none" w:sz="0" w:space="0" w:color="auto"/>
        <w:bottom w:val="none" w:sz="0" w:space="0" w:color="auto"/>
        <w:right w:val="none" w:sz="0" w:space="0" w:color="auto"/>
      </w:divBdr>
      <w:divsChild>
        <w:div w:id="1170220047">
          <w:marLeft w:val="0"/>
          <w:marRight w:val="0"/>
          <w:marTop w:val="0"/>
          <w:marBottom w:val="0"/>
          <w:divBdr>
            <w:top w:val="none" w:sz="0" w:space="0" w:color="auto"/>
            <w:left w:val="none" w:sz="0" w:space="0" w:color="auto"/>
            <w:bottom w:val="none" w:sz="0" w:space="0" w:color="auto"/>
            <w:right w:val="none" w:sz="0" w:space="0" w:color="auto"/>
          </w:divBdr>
          <w:divsChild>
            <w:div w:id="1006782000">
              <w:marLeft w:val="0"/>
              <w:marRight w:val="0"/>
              <w:marTop w:val="0"/>
              <w:marBottom w:val="0"/>
              <w:divBdr>
                <w:top w:val="none" w:sz="0" w:space="0" w:color="auto"/>
                <w:left w:val="none" w:sz="0" w:space="0" w:color="auto"/>
                <w:bottom w:val="none" w:sz="0" w:space="0" w:color="auto"/>
                <w:right w:val="none" w:sz="0" w:space="0" w:color="auto"/>
              </w:divBdr>
              <w:divsChild>
                <w:div w:id="652873333">
                  <w:marLeft w:val="0"/>
                  <w:marRight w:val="0"/>
                  <w:marTop w:val="0"/>
                  <w:marBottom w:val="0"/>
                  <w:divBdr>
                    <w:top w:val="none" w:sz="0" w:space="0" w:color="auto"/>
                    <w:left w:val="none" w:sz="0" w:space="0" w:color="auto"/>
                    <w:bottom w:val="none" w:sz="0" w:space="0" w:color="auto"/>
                    <w:right w:val="none" w:sz="0" w:space="0" w:color="auto"/>
                  </w:divBdr>
                </w:div>
              </w:divsChild>
            </w:div>
            <w:div w:id="1733120184">
              <w:marLeft w:val="0"/>
              <w:marRight w:val="0"/>
              <w:marTop w:val="0"/>
              <w:marBottom w:val="0"/>
              <w:divBdr>
                <w:top w:val="none" w:sz="0" w:space="0" w:color="auto"/>
                <w:left w:val="none" w:sz="0" w:space="0" w:color="auto"/>
                <w:bottom w:val="none" w:sz="0" w:space="0" w:color="auto"/>
                <w:right w:val="none" w:sz="0" w:space="0" w:color="auto"/>
              </w:divBdr>
              <w:divsChild>
                <w:div w:id="1051728688">
                  <w:marLeft w:val="0"/>
                  <w:marRight w:val="0"/>
                  <w:marTop w:val="0"/>
                  <w:marBottom w:val="0"/>
                  <w:divBdr>
                    <w:top w:val="none" w:sz="0" w:space="0" w:color="auto"/>
                    <w:left w:val="none" w:sz="0" w:space="0" w:color="auto"/>
                    <w:bottom w:val="none" w:sz="0" w:space="0" w:color="auto"/>
                    <w:right w:val="none" w:sz="0" w:space="0" w:color="auto"/>
                  </w:divBdr>
                </w:div>
                <w:div w:id="454181678">
                  <w:marLeft w:val="0"/>
                  <w:marRight w:val="0"/>
                  <w:marTop w:val="0"/>
                  <w:marBottom w:val="0"/>
                  <w:divBdr>
                    <w:top w:val="none" w:sz="0" w:space="0" w:color="auto"/>
                    <w:left w:val="none" w:sz="0" w:space="0" w:color="auto"/>
                    <w:bottom w:val="none" w:sz="0" w:space="0" w:color="auto"/>
                    <w:right w:val="none" w:sz="0" w:space="0" w:color="auto"/>
                  </w:divBdr>
                </w:div>
                <w:div w:id="1653872267">
                  <w:marLeft w:val="0"/>
                  <w:marRight w:val="0"/>
                  <w:marTop w:val="0"/>
                  <w:marBottom w:val="0"/>
                  <w:divBdr>
                    <w:top w:val="none" w:sz="0" w:space="0" w:color="auto"/>
                    <w:left w:val="none" w:sz="0" w:space="0" w:color="auto"/>
                    <w:bottom w:val="none" w:sz="0" w:space="0" w:color="auto"/>
                    <w:right w:val="none" w:sz="0" w:space="0" w:color="auto"/>
                  </w:divBdr>
                </w:div>
                <w:div w:id="1612476136">
                  <w:marLeft w:val="0"/>
                  <w:marRight w:val="0"/>
                  <w:marTop w:val="0"/>
                  <w:marBottom w:val="0"/>
                  <w:divBdr>
                    <w:top w:val="none" w:sz="0" w:space="0" w:color="auto"/>
                    <w:left w:val="none" w:sz="0" w:space="0" w:color="auto"/>
                    <w:bottom w:val="none" w:sz="0" w:space="0" w:color="auto"/>
                    <w:right w:val="none" w:sz="0" w:space="0" w:color="auto"/>
                  </w:divBdr>
                </w:div>
                <w:div w:id="1644966771">
                  <w:marLeft w:val="0"/>
                  <w:marRight w:val="0"/>
                  <w:marTop w:val="0"/>
                  <w:marBottom w:val="0"/>
                  <w:divBdr>
                    <w:top w:val="none" w:sz="0" w:space="0" w:color="auto"/>
                    <w:left w:val="none" w:sz="0" w:space="0" w:color="auto"/>
                    <w:bottom w:val="none" w:sz="0" w:space="0" w:color="auto"/>
                    <w:right w:val="none" w:sz="0" w:space="0" w:color="auto"/>
                  </w:divBdr>
                </w:div>
              </w:divsChild>
            </w:div>
            <w:div w:id="1541432780">
              <w:marLeft w:val="0"/>
              <w:marRight w:val="0"/>
              <w:marTop w:val="0"/>
              <w:marBottom w:val="0"/>
              <w:divBdr>
                <w:top w:val="none" w:sz="0" w:space="0" w:color="auto"/>
                <w:left w:val="none" w:sz="0" w:space="0" w:color="auto"/>
                <w:bottom w:val="none" w:sz="0" w:space="0" w:color="auto"/>
                <w:right w:val="none" w:sz="0" w:space="0" w:color="auto"/>
              </w:divBdr>
              <w:divsChild>
                <w:div w:id="1224028399">
                  <w:marLeft w:val="0"/>
                  <w:marRight w:val="0"/>
                  <w:marTop w:val="0"/>
                  <w:marBottom w:val="0"/>
                  <w:divBdr>
                    <w:top w:val="none" w:sz="0" w:space="0" w:color="auto"/>
                    <w:left w:val="none" w:sz="0" w:space="0" w:color="auto"/>
                    <w:bottom w:val="none" w:sz="0" w:space="0" w:color="auto"/>
                    <w:right w:val="none" w:sz="0" w:space="0" w:color="auto"/>
                  </w:divBdr>
                </w:div>
              </w:divsChild>
            </w:div>
            <w:div w:id="1712143769">
              <w:marLeft w:val="0"/>
              <w:marRight w:val="0"/>
              <w:marTop w:val="0"/>
              <w:marBottom w:val="0"/>
              <w:divBdr>
                <w:top w:val="none" w:sz="0" w:space="0" w:color="auto"/>
                <w:left w:val="none" w:sz="0" w:space="0" w:color="auto"/>
                <w:bottom w:val="none" w:sz="0" w:space="0" w:color="auto"/>
                <w:right w:val="none" w:sz="0" w:space="0" w:color="auto"/>
              </w:divBdr>
              <w:divsChild>
                <w:div w:id="1793085875">
                  <w:marLeft w:val="0"/>
                  <w:marRight w:val="0"/>
                  <w:marTop w:val="0"/>
                  <w:marBottom w:val="0"/>
                  <w:divBdr>
                    <w:top w:val="none" w:sz="0" w:space="0" w:color="auto"/>
                    <w:left w:val="none" w:sz="0" w:space="0" w:color="auto"/>
                    <w:bottom w:val="none" w:sz="0" w:space="0" w:color="auto"/>
                    <w:right w:val="none" w:sz="0" w:space="0" w:color="auto"/>
                  </w:divBdr>
                </w:div>
              </w:divsChild>
            </w:div>
            <w:div w:id="2067220221">
              <w:marLeft w:val="0"/>
              <w:marRight w:val="0"/>
              <w:marTop w:val="0"/>
              <w:marBottom w:val="0"/>
              <w:divBdr>
                <w:top w:val="none" w:sz="0" w:space="0" w:color="auto"/>
                <w:left w:val="none" w:sz="0" w:space="0" w:color="auto"/>
                <w:bottom w:val="none" w:sz="0" w:space="0" w:color="auto"/>
                <w:right w:val="none" w:sz="0" w:space="0" w:color="auto"/>
              </w:divBdr>
              <w:divsChild>
                <w:div w:id="684795029">
                  <w:marLeft w:val="0"/>
                  <w:marRight w:val="0"/>
                  <w:marTop w:val="0"/>
                  <w:marBottom w:val="0"/>
                  <w:divBdr>
                    <w:top w:val="none" w:sz="0" w:space="0" w:color="auto"/>
                    <w:left w:val="none" w:sz="0" w:space="0" w:color="auto"/>
                    <w:bottom w:val="none" w:sz="0" w:space="0" w:color="auto"/>
                    <w:right w:val="none" w:sz="0" w:space="0" w:color="auto"/>
                  </w:divBdr>
                </w:div>
              </w:divsChild>
            </w:div>
            <w:div w:id="894270809">
              <w:marLeft w:val="0"/>
              <w:marRight w:val="0"/>
              <w:marTop w:val="0"/>
              <w:marBottom w:val="0"/>
              <w:divBdr>
                <w:top w:val="none" w:sz="0" w:space="0" w:color="auto"/>
                <w:left w:val="none" w:sz="0" w:space="0" w:color="auto"/>
                <w:bottom w:val="none" w:sz="0" w:space="0" w:color="auto"/>
                <w:right w:val="none" w:sz="0" w:space="0" w:color="auto"/>
              </w:divBdr>
              <w:divsChild>
                <w:div w:id="1661469157">
                  <w:marLeft w:val="0"/>
                  <w:marRight w:val="0"/>
                  <w:marTop w:val="0"/>
                  <w:marBottom w:val="0"/>
                  <w:divBdr>
                    <w:top w:val="none" w:sz="0" w:space="0" w:color="auto"/>
                    <w:left w:val="none" w:sz="0" w:space="0" w:color="auto"/>
                    <w:bottom w:val="none" w:sz="0" w:space="0" w:color="auto"/>
                    <w:right w:val="none" w:sz="0" w:space="0" w:color="auto"/>
                  </w:divBdr>
                </w:div>
              </w:divsChild>
            </w:div>
            <w:div w:id="667293046">
              <w:marLeft w:val="0"/>
              <w:marRight w:val="0"/>
              <w:marTop w:val="0"/>
              <w:marBottom w:val="0"/>
              <w:divBdr>
                <w:top w:val="none" w:sz="0" w:space="0" w:color="auto"/>
                <w:left w:val="none" w:sz="0" w:space="0" w:color="auto"/>
                <w:bottom w:val="none" w:sz="0" w:space="0" w:color="auto"/>
                <w:right w:val="none" w:sz="0" w:space="0" w:color="auto"/>
              </w:divBdr>
              <w:divsChild>
                <w:div w:id="1850677301">
                  <w:marLeft w:val="0"/>
                  <w:marRight w:val="0"/>
                  <w:marTop w:val="0"/>
                  <w:marBottom w:val="0"/>
                  <w:divBdr>
                    <w:top w:val="none" w:sz="0" w:space="0" w:color="auto"/>
                    <w:left w:val="none" w:sz="0" w:space="0" w:color="auto"/>
                    <w:bottom w:val="none" w:sz="0" w:space="0" w:color="auto"/>
                    <w:right w:val="none" w:sz="0" w:space="0" w:color="auto"/>
                  </w:divBdr>
                </w:div>
              </w:divsChild>
            </w:div>
            <w:div w:id="2031492562">
              <w:marLeft w:val="0"/>
              <w:marRight w:val="0"/>
              <w:marTop w:val="0"/>
              <w:marBottom w:val="0"/>
              <w:divBdr>
                <w:top w:val="none" w:sz="0" w:space="0" w:color="auto"/>
                <w:left w:val="none" w:sz="0" w:space="0" w:color="auto"/>
                <w:bottom w:val="none" w:sz="0" w:space="0" w:color="auto"/>
                <w:right w:val="none" w:sz="0" w:space="0" w:color="auto"/>
              </w:divBdr>
              <w:divsChild>
                <w:div w:id="12701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3979">
          <w:marLeft w:val="0"/>
          <w:marRight w:val="0"/>
          <w:marTop w:val="0"/>
          <w:marBottom w:val="0"/>
          <w:divBdr>
            <w:top w:val="none" w:sz="0" w:space="0" w:color="auto"/>
            <w:left w:val="none" w:sz="0" w:space="0" w:color="auto"/>
            <w:bottom w:val="none" w:sz="0" w:space="0" w:color="auto"/>
            <w:right w:val="none" w:sz="0" w:space="0" w:color="auto"/>
          </w:divBdr>
          <w:divsChild>
            <w:div w:id="1692874417">
              <w:marLeft w:val="0"/>
              <w:marRight w:val="0"/>
              <w:marTop w:val="0"/>
              <w:marBottom w:val="0"/>
              <w:divBdr>
                <w:top w:val="none" w:sz="0" w:space="0" w:color="auto"/>
                <w:left w:val="none" w:sz="0" w:space="0" w:color="auto"/>
                <w:bottom w:val="none" w:sz="0" w:space="0" w:color="auto"/>
                <w:right w:val="none" w:sz="0" w:space="0" w:color="auto"/>
              </w:divBdr>
              <w:divsChild>
                <w:div w:id="20642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sabled-world.com/fitness/longe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us.springeropen.com/articles/10.1186/s41118-019-0071-0" TargetMode="External"/><Relationship Id="rId5" Type="http://schemas.openxmlformats.org/officeDocument/2006/relationships/hyperlink" Target="https://www.cdc.gov/vaccines/parents/by-age/newborn-birt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Musumba</dc:creator>
  <cp:keywords/>
  <dc:description/>
  <cp:lastModifiedBy>Ian Musumba</cp:lastModifiedBy>
  <cp:revision>3</cp:revision>
  <dcterms:created xsi:type="dcterms:W3CDTF">2023-03-05T14:43:00Z</dcterms:created>
  <dcterms:modified xsi:type="dcterms:W3CDTF">2023-04-04T14:41:00Z</dcterms:modified>
</cp:coreProperties>
</file>