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Cross-Border Transaction Review</w:t>
      </w:r>
    </w:p>
    <w:p>
      <w:r>
        <w:rPr>
          <w:b/>
        </w:rPr>
        <w:t xml:space="preserve">Purpose: </w:t>
      </w:r>
      <w:r>
        <w:t>This fictional example demonstrates how the same information can be represented in different document formats.</w:t>
      </w:r>
    </w:p>
    <w:p>
      <w:r>
        <w:rPr>
          <w:b/>
        </w:rPr>
        <w:t xml:space="preserve">Case ID: </w:t>
      </w:r>
      <w:r>
        <w:t>CBR-2026-0142</w:t>
      </w:r>
    </w:p>
    <w:p>
      <w:r>
        <w:rPr>
          <w:b/>
        </w:rPr>
        <w:t xml:space="preserve">Customer type: </w:t>
      </w:r>
      <w:r>
        <w:t>Corporate trading company</w:t>
      </w:r>
    </w:p>
    <w:p>
      <w:r>
        <w:rPr>
          <w:b/>
        </w:rPr>
        <w:t xml:space="preserve">Review period: </w:t>
      </w:r>
      <w:r>
        <w:t>12–14 October 2026</w:t>
      </w:r>
    </w:p>
    <w:p>
      <w:r>
        <w:rPr>
          <w:b/>
        </w:rPr>
        <w:t xml:space="preserve">Transactions reviewed: </w:t>
      </w:r>
      <w:r>
        <w:t>3</w:t>
      </w:r>
    </w:p>
    <w:p>
      <w:r>
        <w:rPr>
          <w:b/>
        </w:rPr>
        <w:t xml:space="preserve">Total value: </w:t>
      </w:r>
      <w:r>
        <w:t>USD 525,000</w:t>
      </w:r>
    </w:p>
    <w:p>
      <w:r>
        <w:rPr>
          <w:b/>
        </w:rPr>
        <w:t xml:space="preserve">Originator countries: </w:t>
      </w:r>
      <w:r>
        <w:t>United States and United Arab Emirates</w:t>
      </w:r>
    </w:p>
    <w:p>
      <w:r>
        <w:rPr>
          <w:b/>
        </w:rPr>
        <w:t xml:space="preserve">Beneficiary countries: </w:t>
      </w:r>
      <w:r>
        <w:t>United Arab Emirates and Hong Kong</w:t>
      </w:r>
    </w:p>
    <w:p>
      <w:r>
        <w:rPr>
          <w:b/>
        </w:rPr>
        <w:t xml:space="preserve">Review note: </w:t>
      </w:r>
      <w:r>
        <w:t>The transfers require assessment against the customer profile, stated business purpose, counterparties, and supporting documentation.</w:t>
      </w:r>
    </w:p>
    <w:p>
      <w:r>
        <w:rPr>
          <w:b/>
        </w:rPr>
        <w:t xml:space="preserve">Conclusion: </w:t>
      </w:r>
      <w:r>
        <w:t>Transaction value or country exposure alone does not prove wrongdoing. An analyst should document both supporting and contradictory evidence before deciding an outcome.</w:t>
      </w:r>
    </w:p>
    <w:p>
      <w:pPr>
        <w:pStyle w:val="Heading2"/>
      </w:pPr>
      <w:r>
        <w:t>Transaction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Transaction ID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Originator country</w:t>
            </w:r>
          </w:p>
        </w:tc>
        <w:tc>
          <w:tcPr>
            <w:tcW w:type="dxa" w:w="1440"/>
          </w:tcPr>
          <w:p>
            <w:r>
              <w:t>Beneficiary country</w:t>
            </w:r>
          </w:p>
        </w:tc>
        <w:tc>
          <w:tcPr>
            <w:tcW w:type="dxa" w:w="1440"/>
          </w:tcPr>
          <w:p>
            <w:r>
              <w:t>Amount (USD)</w:t>
            </w:r>
          </w:p>
        </w:tc>
        <w:tc>
          <w:tcPr>
            <w:tcW w:type="dxa" w:w="1440"/>
          </w:tcPr>
          <w:p>
            <w:r>
              <w:t>Currency</w:t>
            </w:r>
          </w:p>
        </w:tc>
      </w:tr>
      <w:tr>
        <w:tc>
          <w:tcPr>
            <w:tcW w:type="dxa" w:w="1440"/>
          </w:tcPr>
          <w:p>
            <w:r>
              <w:t>TX-7001</w:t>
            </w:r>
          </w:p>
        </w:tc>
        <w:tc>
          <w:tcPr>
            <w:tcW w:type="dxa" w:w="1440"/>
          </w:tcPr>
          <w:p>
            <w:r>
              <w:t>12 Oct 2026</w:t>
            </w:r>
          </w:p>
        </w:tc>
        <w:tc>
          <w:tcPr>
            <w:tcW w:type="dxa" w:w="1440"/>
          </w:tcPr>
          <w:p>
            <w:r>
              <w:t>United States</w:t>
            </w:r>
          </w:p>
        </w:tc>
        <w:tc>
          <w:tcPr>
            <w:tcW w:type="dxa" w:w="1440"/>
          </w:tcPr>
          <w:p>
            <w:r>
              <w:t>United Arab Emirates</w:t>
            </w:r>
          </w:p>
        </w:tc>
        <w:tc>
          <w:tcPr>
            <w:tcW w:type="dxa" w:w="1440"/>
          </w:tcPr>
          <w:p>
            <w:r>
              <w:t>250000</w:t>
            </w:r>
          </w:p>
        </w:tc>
        <w:tc>
          <w:tcPr>
            <w:tcW w:type="dxa" w:w="1440"/>
          </w:tcPr>
          <w:p>
            <w:r>
              <w:t>USD</w:t>
            </w:r>
          </w:p>
        </w:tc>
      </w:tr>
      <w:tr>
        <w:tc>
          <w:tcPr>
            <w:tcW w:type="dxa" w:w="1440"/>
          </w:tcPr>
          <w:p>
            <w:r>
              <w:t>TX-7002</w:t>
            </w:r>
          </w:p>
        </w:tc>
        <w:tc>
          <w:tcPr>
            <w:tcW w:type="dxa" w:w="1440"/>
          </w:tcPr>
          <w:p>
            <w:r>
              <w:t>13 Oct 2026</w:t>
            </w:r>
          </w:p>
        </w:tc>
        <w:tc>
          <w:tcPr>
            <w:tcW w:type="dxa" w:w="1440"/>
          </w:tcPr>
          <w:p>
            <w:r>
              <w:t>United Arab Emirates</w:t>
            </w:r>
          </w:p>
        </w:tc>
        <w:tc>
          <w:tcPr>
            <w:tcW w:type="dxa" w:w="1440"/>
          </w:tcPr>
          <w:p>
            <w:r>
              <w:t>Hong Kong</w:t>
            </w:r>
          </w:p>
        </w:tc>
        <w:tc>
          <w:tcPr>
            <w:tcW w:type="dxa" w:w="1440"/>
          </w:tcPr>
          <w:p>
            <w:r>
              <w:t>180000</w:t>
            </w:r>
          </w:p>
        </w:tc>
        <w:tc>
          <w:tcPr>
            <w:tcW w:type="dxa" w:w="1440"/>
          </w:tcPr>
          <w:p>
            <w:r>
              <w:t>USD</w:t>
            </w:r>
          </w:p>
        </w:tc>
      </w:tr>
      <w:tr>
        <w:tc>
          <w:tcPr>
            <w:tcW w:type="dxa" w:w="1440"/>
          </w:tcPr>
          <w:p>
            <w:r>
              <w:t>TX-7003</w:t>
            </w:r>
          </w:p>
        </w:tc>
        <w:tc>
          <w:tcPr>
            <w:tcW w:type="dxa" w:w="1440"/>
          </w:tcPr>
          <w:p>
            <w:r>
              <w:t>14 Oct 2026</w:t>
            </w:r>
          </w:p>
        </w:tc>
        <w:tc>
          <w:tcPr>
            <w:tcW w:type="dxa" w:w="1440"/>
          </w:tcPr>
          <w:p>
            <w:r>
              <w:t>United States</w:t>
            </w:r>
          </w:p>
        </w:tc>
        <w:tc>
          <w:tcPr>
            <w:tcW w:type="dxa" w:w="1440"/>
          </w:tcPr>
          <w:p>
            <w:r>
              <w:t>Hong Kong</w:t>
            </w:r>
          </w:p>
        </w:tc>
        <w:tc>
          <w:tcPr>
            <w:tcW w:type="dxa" w:w="1440"/>
          </w:tcPr>
          <w:p>
            <w:r>
              <w:t>95000</w:t>
            </w:r>
          </w:p>
        </w:tc>
        <w:tc>
          <w:tcPr>
            <w:tcW w:type="dxa" w:w="1440"/>
          </w:tcPr>
          <w:p>
            <w:r>
              <w:t>USD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