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4E79"/>
          <w:sz w:val="44"/>
          <w:szCs w:val="44"/>
        </w:rPr>
        <w:t xml:space="preserve">PROJECT PROPOSAL</w:t>
      </w:r>
    </w:p>
    <w:p>
      <w:pPr>
        <w:spacing w:after="400" w:before="200"/>
        <w:jc w:val="center"/>
      </w:pPr>
      <w:r>
        <w:rPr>
          <w:b/>
          <w:bCs/>
          <w:sz w:val="30"/>
          <w:szCs w:val="30"/>
        </w:rPr>
        <w:t xml:space="preserve">Predicting Customer Churn in the Telecommunications Industry Using Python</w:t>
      </w:r>
    </w:p>
    <w:p>
      <w:pPr>
        <w:spacing w:after="120"/>
        <w:jc w:val="center"/>
      </w:pPr>
      <w:r>
        <w:rPr>
          <w:i/>
          <w:iCs/>
          <w:color w:val="595959"/>
          <w:sz w:val="24"/>
          <w:szCs w:val="24"/>
        </w:rPr>
        <w:t xml:space="preserve">Week 1 Task: Project Planning and Dataset Scoping</w:t>
      </w:r>
    </w:p>
    <w:p>
      <w:pPr>
        <w:spacing w:after="80" w:before="800"/>
        <w:jc w:val="center"/>
      </w:pPr>
      <w:r>
        <w:rPr>
          <w:sz w:val="22"/>
          <w:szCs w:val="22"/>
        </w:rPr>
        <w:t xml:space="preserve">Internship Program: Virtual Data Science Apprentice – Python Specialist Intern</w:t>
      </w:r>
    </w:p>
    <w:p>
      <w:pPr>
        <w:spacing w:after="80"/>
        <w:jc w:val="center"/>
      </w:pPr>
      <w:r>
        <w:rPr>
          <w:sz w:val="22"/>
          <w:szCs w:val="22"/>
        </w:rPr>
        <w:t xml:space="preserve">Duration: 4 Weeks (31 August 2026 – 28 September 2026)</w:t>
      </w:r>
    </w:p>
    <w:p>
      <w:pPr>
        <w:spacing w:after="80"/>
        <w:jc w:val="center"/>
      </w:pPr>
      <w:r>
        <w:rPr>
          <w:sz w:val="22"/>
          <w:szCs w:val="22"/>
        </w:rPr>
        <w:t xml:space="preserve">Prepared by: Vishal</w:t>
      </w:r>
    </w:p>
    <w:p>
      <w:pPr>
        <w:spacing w:after="80"/>
        <w:jc w:val="center"/>
      </w:pPr>
      <w:r>
        <w:rPr>
          <w:sz w:val="22"/>
          <w:szCs w:val="22"/>
        </w:rPr>
        <w:t xml:space="preserve">Submission Date: Week 1</w:t>
      </w:r>
    </w:p>
    <w:p>
      <w:r>
        <w:br w:type="page"/>
      </w:r>
    </w:p>
    <w:p>
      <w:pPr>
        <w:pStyle w:val="Heading1"/>
        <w:spacing w:after="160" w:before="360"/>
      </w:pPr>
      <w:r>
        <w:t xml:space="preserve">Table of Contents</w:t>
      </w:r>
    </w:p>
    <w:p>
      <w:pPr>
        <w:spacing w:after="140"/>
      </w:pPr>
      <w:r>
        <w:rPr>
          <w:sz w:val="24"/>
          <w:szCs w:val="24"/>
        </w:rPr>
        <w:t xml:space="preserve">1. Introduction and Background</w:t>
      </w:r>
    </w:p>
    <w:p>
      <w:pPr>
        <w:spacing w:after="140"/>
      </w:pPr>
      <w:r>
        <w:rPr>
          <w:sz w:val="24"/>
          <w:szCs w:val="24"/>
        </w:rPr>
        <w:t xml:space="preserve">2. Project Objectives and Goals</w:t>
      </w:r>
    </w:p>
    <w:p>
      <w:pPr>
        <w:spacing w:after="140"/>
      </w:pPr>
      <w:r>
        <w:rPr>
          <w:sz w:val="24"/>
          <w:szCs w:val="24"/>
        </w:rPr>
        <w:t xml:space="preserve">3. Scope of the Analysis</w:t>
      </w:r>
    </w:p>
    <w:p>
      <w:pPr>
        <w:spacing w:after="140"/>
      </w:pPr>
      <w:r>
        <w:rPr>
          <w:sz w:val="24"/>
          <w:szCs w:val="24"/>
        </w:rPr>
        <w:t xml:space="preserve">4. Anticipated Challenges</w:t>
      </w:r>
    </w:p>
    <w:p>
      <w:pPr>
        <w:spacing w:after="140"/>
      </w:pPr>
      <w:r>
        <w:rPr>
          <w:sz w:val="24"/>
          <w:szCs w:val="24"/>
        </w:rPr>
        <w:t xml:space="preserve">5. Data Sources and Rationale</w:t>
      </w:r>
    </w:p>
    <w:p>
      <w:pPr>
        <w:spacing w:after="140"/>
      </w:pPr>
      <w:r>
        <w:rPr>
          <w:sz w:val="24"/>
          <w:szCs w:val="24"/>
        </w:rPr>
        <w:t xml:space="preserve">6. High-Level Methodology and Workflow</w:t>
      </w:r>
    </w:p>
    <w:p>
      <w:pPr>
        <w:spacing w:after="140"/>
      </w:pPr>
      <w:r>
        <w:rPr>
          <w:sz w:val="24"/>
          <w:szCs w:val="24"/>
        </w:rPr>
        <w:t xml:space="preserve">7. Methodologies and Tools</w:t>
      </w:r>
    </w:p>
    <w:p>
      <w:pPr>
        <w:spacing w:after="140"/>
      </w:pPr>
      <w:r>
        <w:rPr>
          <w:sz w:val="24"/>
          <w:szCs w:val="24"/>
        </w:rPr>
        <w:t xml:space="preserve">8. Project Timeline and Checkpoints</w:t>
      </w:r>
    </w:p>
    <w:p>
      <w:pPr>
        <w:spacing w:after="140"/>
      </w:pPr>
      <w:r>
        <w:rPr>
          <w:sz w:val="24"/>
          <w:szCs w:val="24"/>
        </w:rPr>
        <w:t xml:space="preserve">9. Success Metrics and Evaluation Criteria</w:t>
      </w:r>
    </w:p>
    <w:p>
      <w:pPr>
        <w:spacing w:after="140"/>
      </w:pPr>
      <w:r>
        <w:rPr>
          <w:sz w:val="24"/>
          <w:szCs w:val="24"/>
        </w:rPr>
        <w:t xml:space="preserve">10. Conclusion</w:t>
      </w:r>
    </w:p>
    <w:p>
      <w:r>
        <w:br w:type="page"/>
      </w:r>
    </w:p>
    <w:p>
      <w:pPr>
        <w:pStyle w:val="Heading1"/>
        <w:spacing w:after="160" w:before="360"/>
      </w:pPr>
      <w:r>
        <w:t xml:space="preserve">1. Introduction and Background</w:t>
      </w:r>
    </w:p>
    <w:p>
      <w:pPr>
        <w:spacing w:after="160" w:line="276"/>
        <w:jc w:val="both"/>
      </w:pPr>
      <w:r>
        <w:rPr>
          <w:sz w:val="22"/>
          <w:szCs w:val="22"/>
        </w:rPr>
        <w:t xml:space="preserve">Customer churn — the loss of subscribers to a competitor or service cancellation — is one of the most pressing challenges facing the telecommunications industry. Acquiring a new customer typically costs significantly more than retaining an existing one, which makes early identification of at-risk customers a high-value business problem. This project applies a structured, Python-based data science workflow to analyze customer behavior, identify the key drivers of churn, and build a predictive model that flags customers likely to leave before they do.</w:t>
      </w:r>
    </w:p>
    <w:p>
      <w:pPr>
        <w:spacing w:after="160" w:line="276"/>
        <w:jc w:val="both"/>
      </w:pPr>
      <w:r>
        <w:rPr>
          <w:sz w:val="22"/>
          <w:szCs w:val="22"/>
        </w:rPr>
        <w:t xml:space="preserve">As a Python Specialist Intern, this project is designed to demonstrate proficiency across the full analytics lifecycle: sourcing and validating a public dataset, cleaning and exploring the data, engineering meaningful features, building and evaluating machine learning models, and communicating findings in a way that a non-technical stakeholder could act on.</w:t>
      </w:r>
    </w:p>
    <w:p>
      <w:pPr>
        <w:pStyle w:val="Heading1"/>
        <w:spacing w:after="160" w:before="360"/>
      </w:pPr>
      <w:r>
        <w:t xml:space="preserve">2. Project Objectives and Goals</w:t>
      </w:r>
    </w:p>
    <w:p>
      <w:pPr>
        <w:spacing w:after="160" w:line="276"/>
        <w:jc w:val="both"/>
      </w:pPr>
      <w:r>
        <w:rPr>
          <w:sz w:val="22"/>
          <w:szCs w:val="22"/>
        </w:rPr>
        <w:t xml:space="preserve">This project is guided by the following objectives:</w:t>
      </w:r>
    </w:p>
    <w:p>
      <w:pPr>
        <w:pStyle w:val="ListParagraph"/>
        <w:numPr>
          <w:ilvl w:val="0"/>
          <w:numId w:val="2"/>
        </w:numPr>
        <w:spacing w:after="80"/>
      </w:pPr>
      <w:r>
        <w:t xml:space="preserve">Identify a public, well-documented dataset suitable for a supervised classification problem in the customer-retention domain.</w:t>
      </w:r>
    </w:p>
    <w:p>
      <w:pPr>
        <w:pStyle w:val="ListParagraph"/>
        <w:numPr>
          <w:ilvl w:val="0"/>
          <w:numId w:val="2"/>
        </w:numPr>
        <w:spacing w:after="80"/>
      </w:pPr>
      <w:r>
        <w:t xml:space="preserve">Perform thorough exploratory data analysis (EDA) to understand customer demographics, service usage, and billing patterns associated with churn.</w:t>
      </w:r>
    </w:p>
    <w:p>
      <w:pPr>
        <w:pStyle w:val="ListParagraph"/>
        <w:numPr>
          <w:ilvl w:val="0"/>
          <w:numId w:val="2"/>
        </w:numPr>
        <w:spacing w:after="80"/>
      </w:pPr>
      <w:r>
        <w:t xml:space="preserve">Engineer features that capture behavioral and contractual signals (e.g., tenure, contract type, monthly charges) known to influence churn.</w:t>
      </w:r>
    </w:p>
    <w:p>
      <w:pPr>
        <w:pStyle w:val="ListParagraph"/>
        <w:numPr>
          <w:ilvl w:val="0"/>
          <w:numId w:val="2"/>
        </w:numPr>
        <w:spacing w:after="80"/>
      </w:pPr>
      <w:r>
        <w:t xml:space="preserve">Build, compare, and evaluate multiple classification models to predict churn likelihood.</w:t>
      </w:r>
    </w:p>
    <w:p>
      <w:pPr>
        <w:pStyle w:val="ListParagraph"/>
        <w:numPr>
          <w:ilvl w:val="0"/>
          <w:numId w:val="2"/>
        </w:numPr>
        <w:spacing w:after="80"/>
      </w:pPr>
      <w:r>
        <w:t xml:space="preserve">Translate model outputs into clear, actionable business recommendations for a hypothetical retention team.</w:t>
      </w:r>
    </w:p>
    <w:p>
      <w:pPr>
        <w:pStyle w:val="ListParagraph"/>
        <w:numPr>
          <w:ilvl w:val="0"/>
          <w:numId w:val="2"/>
        </w:numPr>
        <w:spacing w:after="80"/>
      </w:pPr>
      <w:r>
        <w:t xml:space="preserve">Produce documentation and code that is reproducible, well-commented, and portfolio-ready.</w:t>
      </w:r>
    </w:p>
    <w:p>
      <w:pPr>
        <w:pStyle w:val="Heading1"/>
        <w:spacing w:after="160" w:before="360"/>
      </w:pPr>
      <w:r>
        <w:t xml:space="preserve">3. Scope of the Analysis</w:t>
      </w:r>
    </w:p>
    <w:p>
      <w:pPr>
        <w:pStyle w:val="Heading2"/>
        <w:spacing w:after="120" w:before="240"/>
      </w:pPr>
      <w:r>
        <w:t xml:space="preserve">3.1 In Scope</w:t>
      </w:r>
    </w:p>
    <w:p>
      <w:pPr>
        <w:pStyle w:val="ListParagraph"/>
        <w:numPr>
          <w:ilvl w:val="0"/>
          <w:numId w:val="2"/>
        </w:numPr>
        <w:spacing w:after="80"/>
      </w:pPr>
      <w:r>
        <w:t xml:space="preserve">Binary classification of customer churn (Yes/No) using structured, tabular data.</w:t>
      </w:r>
    </w:p>
    <w:p>
      <w:pPr>
        <w:pStyle w:val="ListParagraph"/>
        <w:numPr>
          <w:ilvl w:val="0"/>
          <w:numId w:val="2"/>
        </w:numPr>
        <w:spacing w:after="80"/>
      </w:pPr>
      <w:r>
        <w:t xml:space="preserve">Exploratory analysis of demographic, account, and service-usage features.</w:t>
      </w:r>
    </w:p>
    <w:p>
      <w:pPr>
        <w:pStyle w:val="ListParagraph"/>
        <w:numPr>
          <w:ilvl w:val="0"/>
          <w:numId w:val="2"/>
        </w:numPr>
        <w:spacing w:after="80"/>
      </w:pPr>
      <w:r>
        <w:t xml:space="preserve">Comparison of at least three classification algorithms (e.g., Logistic Regression, Random Forest, Gradient Boosting).</w:t>
      </w:r>
    </w:p>
    <w:p>
      <w:pPr>
        <w:pStyle w:val="ListParagraph"/>
        <w:numPr>
          <w:ilvl w:val="0"/>
          <w:numId w:val="2"/>
        </w:numPr>
        <w:spacing w:after="80"/>
      </w:pPr>
      <w:r>
        <w:t xml:space="preserve">Evaluation using standard classification metrics and feature-importance analysis.</w:t>
      </w:r>
    </w:p>
    <w:p>
      <w:pPr>
        <w:pStyle w:val="ListParagraph"/>
        <w:numPr>
          <w:ilvl w:val="0"/>
          <w:numId w:val="2"/>
        </w:numPr>
        <w:spacing w:after="80"/>
      </w:pPr>
      <w:r>
        <w:t xml:space="preserve">A final written report summarizing methodology, findings, and recommendations.</w:t>
      </w:r>
    </w:p>
    <w:p>
      <w:pPr>
        <w:pStyle w:val="Heading2"/>
        <w:spacing w:after="120" w:before="240"/>
      </w:pPr>
      <w:r>
        <w:t xml:space="preserve">3.2 Out of Scope</w:t>
      </w:r>
    </w:p>
    <w:p>
      <w:pPr>
        <w:pStyle w:val="ListParagraph"/>
        <w:numPr>
          <w:ilvl w:val="0"/>
          <w:numId w:val="2"/>
        </w:numPr>
        <w:spacing w:after="80"/>
      </w:pPr>
      <w:r>
        <w:t xml:space="preserve">Real-time or streaming prediction deployment (e.g., building a production API).</w:t>
      </w:r>
    </w:p>
    <w:p>
      <w:pPr>
        <w:pStyle w:val="ListParagraph"/>
        <w:numPr>
          <w:ilvl w:val="0"/>
          <w:numId w:val="2"/>
        </w:numPr>
        <w:spacing w:after="80"/>
      </w:pPr>
      <w:r>
        <w:t xml:space="preserve">Integration with live company systems or proprietary/customer-identifiable data.</w:t>
      </w:r>
    </w:p>
    <w:p>
      <w:pPr>
        <w:pStyle w:val="ListParagraph"/>
        <w:numPr>
          <w:ilvl w:val="0"/>
          <w:numId w:val="2"/>
        </w:numPr>
        <w:spacing w:after="80"/>
      </w:pPr>
      <w:r>
        <w:t xml:space="preserve">Deep learning approaches, which are unnecessary given the dataset's size and structure.</w:t>
      </w:r>
    </w:p>
    <w:p>
      <w:pPr>
        <w:pStyle w:val="Heading1"/>
        <w:spacing w:after="160" w:before="360"/>
      </w:pPr>
      <w:r>
        <w:t xml:space="preserve">4. Anticipated Challenges</w:t>
      </w:r>
    </w:p>
    <w:p>
      <w:pPr>
        <w:pStyle w:val="ListParagraph"/>
        <w:numPr>
          <w:ilvl w:val="0"/>
          <w:numId w:val="2"/>
        </w:numPr>
        <w:spacing w:after="80"/>
      </w:pPr>
      <w:r>
        <w:t xml:space="preserve">Class imbalance: churned customers are typically a minority class, which can bias model performance toward the majority class if not addressed (e.g., via resampling or class weighting).</w:t>
      </w:r>
    </w:p>
    <w:p>
      <w:pPr>
        <w:pStyle w:val="ListParagraph"/>
        <w:numPr>
          <w:ilvl w:val="0"/>
          <w:numId w:val="2"/>
        </w:numPr>
        <w:spacing w:after="80"/>
      </w:pPr>
      <w:r>
        <w:t xml:space="preserve">Data quality issues: inconsistent data types (such as charges stored as text), blank strings instead of nulls, and mixed categorical encodings.</w:t>
      </w:r>
    </w:p>
    <w:p>
      <w:pPr>
        <w:pStyle w:val="ListParagraph"/>
        <w:numPr>
          <w:ilvl w:val="0"/>
          <w:numId w:val="2"/>
        </w:numPr>
        <w:spacing w:after="80"/>
      </w:pPr>
      <w:r>
        <w:t xml:space="preserve">Feature correlation: some billing-related features may be highly correlated, requiring careful handling to avoid multicollinearity in linear models.</w:t>
      </w:r>
    </w:p>
    <w:p>
      <w:pPr>
        <w:pStyle w:val="ListParagraph"/>
        <w:numPr>
          <w:ilvl w:val="0"/>
          <w:numId w:val="2"/>
        </w:numPr>
        <w:spacing w:after="80"/>
      </w:pPr>
      <w:r>
        <w:t xml:space="preserve">Interpretability vs. performance trade-off: more complex models (e.g., boosted trees) may outperform simpler ones but require additional effort (e.g., SHAP values) to remain explainable to business stakeholders.</w:t>
      </w:r>
    </w:p>
    <w:p>
      <w:pPr>
        <w:pStyle w:val="ListParagraph"/>
        <w:numPr>
          <w:ilvl w:val="0"/>
          <w:numId w:val="2"/>
        </w:numPr>
        <w:spacing w:after="80"/>
      </w:pPr>
      <w:r>
        <w:t xml:space="preserve">Time management: balancing the depth of exploratory analysis with the need to progress to modeling within the 4-week timeline.</w:t>
      </w:r>
    </w:p>
    <w:p>
      <w:pPr>
        <w:pStyle w:val="Heading1"/>
        <w:spacing w:after="160" w:before="360"/>
      </w:pPr>
      <w:r>
        <w:t xml:space="preserve">5. Data Sources and Rationale</w:t>
      </w:r>
    </w:p>
    <w:p>
      <w:pPr>
        <w:spacing w:after="160" w:line="276"/>
        <w:jc w:val="both"/>
      </w:pPr>
      <w:r>
        <w:rPr>
          <w:sz w:val="22"/>
          <w:szCs w:val="22"/>
        </w:rPr>
        <w:t xml:space="preserve">Three publicly available datasets were reviewed before finalizing a candidate. The comparison below summarizes the trade-offs considered.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800"/>
      </w:tblGrid>
      <w:tr>
        <w:trPr>
          <w:tblHeader/>
        </w:trPr>
        <w:tc>
          <w:tcPr>
            <w:tcW w:type="dxa" w:w="2400"/>
            <w:shd w:fill="1F4E79" w:val="clear"/>
            <w:tcMar>
              <w:top w:type="dxa" w:w="100"/>
              <w:left w:type="dxa" w:w="120"/>
              <w:bottom w:type="dxa" w:w="100"/>
              <w:right w:type="dxa" w:w="120"/>
            </w:tcMar>
            <w:vAlign w:val="center"/>
          </w:tcPr>
          <w:p>
            <w:r>
              <w:rPr>
                <w:b/>
                <w:bCs/>
                <w:color w:val="FFFFFF"/>
                <w:sz w:val="20"/>
                <w:szCs w:val="20"/>
              </w:rPr>
              <w:t xml:space="preserve">Candidate Dataset</w:t>
            </w:r>
          </w:p>
        </w:tc>
        <w:tc>
          <w:tcPr>
            <w:tcW w:type="dxa" w:w="1600"/>
            <w:shd w:fill="1F4E79" w:val="clear"/>
            <w:tcMar>
              <w:top w:type="dxa" w:w="100"/>
              <w:left w:type="dxa" w:w="120"/>
              <w:bottom w:type="dxa" w:w="100"/>
              <w:right w:type="dxa" w:w="120"/>
            </w:tcMar>
            <w:vAlign w:val="center"/>
          </w:tcPr>
          <w:p>
            <w:r>
              <w:rPr>
                <w:b/>
                <w:bCs/>
                <w:color w:val="FFFFFF"/>
                <w:sz w:val="20"/>
                <w:szCs w:val="20"/>
              </w:rPr>
              <w:t xml:space="preserve">Source</w:t>
            </w:r>
          </w:p>
        </w:tc>
        <w:tc>
          <w:tcPr>
            <w:tcW w:type="dxa" w:w="1600"/>
            <w:shd w:fill="1F4E79" w:val="clear"/>
            <w:tcMar>
              <w:top w:type="dxa" w:w="100"/>
              <w:left w:type="dxa" w:w="120"/>
              <w:bottom w:type="dxa" w:w="100"/>
              <w:right w:type="dxa" w:w="120"/>
            </w:tcMar>
            <w:vAlign w:val="center"/>
          </w:tcPr>
          <w:p>
            <w:r>
              <w:rPr>
                <w:b/>
                <w:bCs/>
                <w:color w:val="FFFFFF"/>
                <w:sz w:val="20"/>
                <w:szCs w:val="20"/>
              </w:rPr>
              <w:t xml:space="preserve">Size / Scope</w:t>
            </w:r>
          </w:p>
        </w:tc>
        <w:tc>
          <w:tcPr>
            <w:tcW w:type="dxa" w:w="3800"/>
            <w:shd w:fill="1F4E79" w:val="clear"/>
            <w:tcMar>
              <w:top w:type="dxa" w:w="100"/>
              <w:left w:type="dxa" w:w="120"/>
              <w:bottom w:type="dxa" w:w="100"/>
              <w:right w:type="dxa" w:w="120"/>
            </w:tcMar>
            <w:vAlign w:val="center"/>
          </w:tcPr>
          <w:p>
            <w:r>
              <w:rPr>
                <w:b/>
                <w:bCs/>
                <w:color w:val="FFFFFF"/>
                <w:sz w:val="20"/>
                <w:szCs w:val="20"/>
              </w:rPr>
              <w:t xml:space="preserve">Why Considered</w:t>
            </w:r>
          </w:p>
        </w:tc>
      </w:tr>
      <w:tr>
        <w:tc>
          <w:tcPr>
            <w:tcW w:type="dxa" w:w="2400"/>
            <w:tcMar>
              <w:top w:type="dxa" w:w="100"/>
              <w:left w:type="dxa" w:w="120"/>
              <w:bottom w:type="dxa" w:w="100"/>
              <w:right w:type="dxa" w:w="120"/>
            </w:tcMar>
            <w:vAlign w:val="center"/>
          </w:tcPr>
          <w:p>
            <w:r>
              <w:rPr>
                <w:sz w:val="20"/>
                <w:szCs w:val="20"/>
              </w:rPr>
              <w:t xml:space="preserve">Telco Customer Churn</w:t>
            </w:r>
          </w:p>
        </w:tc>
        <w:tc>
          <w:tcPr>
            <w:tcW w:type="dxa" w:w="1600"/>
            <w:tcMar>
              <w:top w:type="dxa" w:w="100"/>
              <w:left w:type="dxa" w:w="120"/>
              <w:bottom w:type="dxa" w:w="100"/>
              <w:right w:type="dxa" w:w="120"/>
            </w:tcMar>
            <w:vAlign w:val="center"/>
          </w:tcPr>
          <w:p>
            <w:r>
              <w:rPr>
                <w:sz w:val="20"/>
                <w:szCs w:val="20"/>
              </w:rPr>
              <w:t xml:space="preserve">IBM Sample Data / Kaggle</w:t>
            </w:r>
          </w:p>
        </w:tc>
        <w:tc>
          <w:tcPr>
            <w:tcW w:type="dxa" w:w="1600"/>
            <w:tcMar>
              <w:top w:type="dxa" w:w="100"/>
              <w:left w:type="dxa" w:w="120"/>
              <w:bottom w:type="dxa" w:w="100"/>
              <w:right w:type="dxa" w:w="120"/>
            </w:tcMar>
            <w:vAlign w:val="center"/>
          </w:tcPr>
          <w:p>
            <w:r>
              <w:rPr>
                <w:sz w:val="20"/>
                <w:szCs w:val="20"/>
              </w:rPr>
              <w:t xml:space="preserve">~7,043 rows, 21 columns</w:t>
            </w:r>
          </w:p>
        </w:tc>
        <w:tc>
          <w:tcPr>
            <w:tcW w:type="dxa" w:w="3800"/>
            <w:tcMar>
              <w:top w:type="dxa" w:w="100"/>
              <w:left w:type="dxa" w:w="120"/>
              <w:bottom w:type="dxa" w:w="100"/>
              <w:right w:type="dxa" w:w="120"/>
            </w:tcMar>
            <w:vAlign w:val="center"/>
          </w:tcPr>
          <w:p>
            <w:r>
              <w:rPr>
                <w:sz w:val="20"/>
                <w:szCs w:val="20"/>
              </w:rPr>
              <w:t xml:space="preserve">Clean, well-documented, realistic mix of numeric &amp; categorical features; ideal for classification practice</w:t>
            </w:r>
          </w:p>
        </w:tc>
      </w:tr>
      <w:tr>
        <w:tc>
          <w:tcPr>
            <w:tcW w:type="dxa" w:w="2400"/>
            <w:shd w:fill="DCE6F1" w:val="clear"/>
            <w:tcMar>
              <w:top w:type="dxa" w:w="100"/>
              <w:left w:type="dxa" w:w="120"/>
              <w:bottom w:type="dxa" w:w="100"/>
              <w:right w:type="dxa" w:w="120"/>
            </w:tcMar>
            <w:vAlign w:val="center"/>
          </w:tcPr>
          <w:p>
            <w:r>
              <w:rPr>
                <w:sz w:val="20"/>
                <w:szCs w:val="20"/>
              </w:rPr>
              <w:t xml:space="preserve">Bank Customer Churn Modelling</w:t>
            </w:r>
          </w:p>
        </w:tc>
        <w:tc>
          <w:tcPr>
            <w:tcW w:type="dxa" w:w="1600"/>
            <w:shd w:fill="DCE6F1" w:val="clear"/>
            <w:tcMar>
              <w:top w:type="dxa" w:w="100"/>
              <w:left w:type="dxa" w:w="120"/>
              <w:bottom w:type="dxa" w:w="100"/>
              <w:right w:type="dxa" w:w="120"/>
            </w:tcMar>
            <w:vAlign w:val="center"/>
          </w:tcPr>
          <w:p>
            <w:r>
              <w:rPr>
                <w:sz w:val="20"/>
                <w:szCs w:val="20"/>
              </w:rPr>
              <w:t xml:space="preserve">Kaggle</w:t>
            </w:r>
          </w:p>
        </w:tc>
        <w:tc>
          <w:tcPr>
            <w:tcW w:type="dxa" w:w="1600"/>
            <w:shd w:fill="DCE6F1" w:val="clear"/>
            <w:tcMar>
              <w:top w:type="dxa" w:w="100"/>
              <w:left w:type="dxa" w:w="120"/>
              <w:bottom w:type="dxa" w:w="100"/>
              <w:right w:type="dxa" w:w="120"/>
            </w:tcMar>
            <w:vAlign w:val="center"/>
          </w:tcPr>
          <w:p>
            <w:r>
              <w:rPr>
                <w:sz w:val="20"/>
                <w:szCs w:val="20"/>
              </w:rPr>
              <w:t xml:space="preserve">~10,000 rows, 14 columns</w:t>
            </w:r>
          </w:p>
        </w:tc>
        <w:tc>
          <w:tcPr>
            <w:tcW w:type="dxa" w:w="3800"/>
            <w:shd w:fill="DCE6F1" w:val="clear"/>
            <w:tcMar>
              <w:top w:type="dxa" w:w="100"/>
              <w:left w:type="dxa" w:w="120"/>
              <w:bottom w:type="dxa" w:w="100"/>
              <w:right w:type="dxa" w:w="120"/>
            </w:tcMar>
            <w:vAlign w:val="center"/>
          </w:tcPr>
          <w:p>
            <w:r>
              <w:rPr>
                <w:sz w:val="20"/>
                <w:szCs w:val="20"/>
              </w:rPr>
              <w:t xml:space="preserve">Alternative churn domain; considered but less feature diversity than telecom dataset</w:t>
            </w:r>
          </w:p>
        </w:tc>
      </w:tr>
      <w:tr>
        <w:tc>
          <w:tcPr>
            <w:tcW w:type="dxa" w:w="2400"/>
            <w:tcMar>
              <w:top w:type="dxa" w:w="100"/>
              <w:left w:type="dxa" w:w="120"/>
              <w:bottom w:type="dxa" w:w="100"/>
              <w:right w:type="dxa" w:w="120"/>
            </w:tcMar>
            <w:vAlign w:val="center"/>
          </w:tcPr>
          <w:p>
            <w:r>
              <w:rPr>
                <w:sz w:val="20"/>
                <w:szCs w:val="20"/>
              </w:rPr>
              <w:t xml:space="preserve">Online Retail II (E-commerce)</w:t>
            </w:r>
          </w:p>
        </w:tc>
        <w:tc>
          <w:tcPr>
            <w:tcW w:type="dxa" w:w="1600"/>
            <w:tcMar>
              <w:top w:type="dxa" w:w="100"/>
              <w:left w:type="dxa" w:w="120"/>
              <w:bottom w:type="dxa" w:w="100"/>
              <w:right w:type="dxa" w:w="120"/>
            </w:tcMar>
            <w:vAlign w:val="center"/>
          </w:tcPr>
          <w:p>
            <w:r>
              <w:rPr>
                <w:sz w:val="20"/>
                <w:szCs w:val="20"/>
              </w:rPr>
              <w:t xml:space="preserve">UCI ML Repository</w:t>
            </w:r>
          </w:p>
        </w:tc>
        <w:tc>
          <w:tcPr>
            <w:tcW w:type="dxa" w:w="1600"/>
            <w:tcMar>
              <w:top w:type="dxa" w:w="100"/>
              <w:left w:type="dxa" w:w="120"/>
              <w:bottom w:type="dxa" w:w="100"/>
              <w:right w:type="dxa" w:w="120"/>
            </w:tcMar>
            <w:vAlign w:val="center"/>
          </w:tcPr>
          <w:p>
            <w:r>
              <w:rPr>
                <w:sz w:val="20"/>
                <w:szCs w:val="20"/>
              </w:rPr>
              <w:t xml:space="preserve">~1M transactions</w:t>
            </w:r>
          </w:p>
        </w:tc>
        <w:tc>
          <w:tcPr>
            <w:tcW w:type="dxa" w:w="3800"/>
            <w:tcMar>
              <w:top w:type="dxa" w:w="100"/>
              <w:left w:type="dxa" w:w="120"/>
              <w:bottom w:type="dxa" w:w="100"/>
              <w:right w:type="dxa" w:w="120"/>
            </w:tcMar>
            <w:vAlign w:val="center"/>
          </w:tcPr>
          <w:p>
            <w:r>
              <w:rPr>
                <w:sz w:val="20"/>
                <w:szCs w:val="20"/>
              </w:rPr>
              <w:t xml:space="preserve">Rich for RFM/behavioral analysis but requires heavier cleaning; set aside for future work</w:t>
            </w:r>
          </w:p>
        </w:tc>
      </w:tr>
    </w:tbl>
    <w:p>
      <w:pPr>
        <w:spacing w:before="200"/>
      </w:pPr>
    </w:p>
    <w:p>
      <w:pPr>
        <w:pStyle w:val="Heading2"/>
        <w:spacing w:after="120" w:before="240"/>
      </w:pPr>
      <w:r>
        <w:t xml:space="preserve">5.1 Selected Dataset: Telco Customer Churn</w:t>
      </w:r>
    </w:p>
    <w:p>
      <w:pPr>
        <w:spacing w:after="160" w:line="276"/>
        <w:jc w:val="both"/>
      </w:pPr>
      <w:r>
        <w:rPr>
          <w:sz w:val="22"/>
          <w:szCs w:val="22"/>
        </w:rPr>
        <w:t xml:space="preserve">The Telco Customer Churn dataset (originally published by IBM as a sample dataset and widely mirrored on Kaggle) was selected as the primary data source. It contains records for roughly 7,000 customers of a telecommunications provider, including demographic attributes (gender, senior citizen status, dependents), account information (tenure, contract type, payment method), service subscriptions (internet, streaming, tech support), and billing details (monthly and total charges), alongside a binary churn label.</w:t>
      </w:r>
    </w:p>
    <w:p>
      <w:pPr>
        <w:spacing w:after="160" w:line="276"/>
        <w:jc w:val="both"/>
      </w:pPr>
      <w:r>
        <w:rPr>
          <w:sz w:val="22"/>
          <w:szCs w:val="22"/>
        </w:rPr>
        <w:t xml:space="preserve">This dataset was selected over the alternatives for the following reasons:</w:t>
      </w:r>
    </w:p>
    <w:p>
      <w:pPr>
        <w:pStyle w:val="ListParagraph"/>
        <w:numPr>
          <w:ilvl w:val="0"/>
          <w:numId w:val="2"/>
        </w:numPr>
        <w:spacing w:after="80"/>
      </w:pPr>
      <w:r>
        <w:t xml:space="preserve">It is small enough to analyze thoroughly within the internship timeline yet large and varied enough to yield meaningful patterns.</w:t>
      </w:r>
    </w:p>
    <w:p>
      <w:pPr>
        <w:pStyle w:val="ListParagraph"/>
        <w:numPr>
          <w:ilvl w:val="0"/>
          <w:numId w:val="2"/>
        </w:numPr>
        <w:spacing w:after="80"/>
      </w:pPr>
      <w:r>
        <w:t xml:space="preserve">It contains a realistic mix of categorical and numerical features, giving practice with encoding, scaling, and feature engineering.</w:t>
      </w:r>
    </w:p>
    <w:p>
      <w:pPr>
        <w:pStyle w:val="ListParagraph"/>
        <w:numPr>
          <w:ilvl w:val="0"/>
          <w:numId w:val="2"/>
        </w:numPr>
        <w:spacing w:after="80"/>
      </w:pPr>
      <w:r>
        <w:t xml:space="preserve">Churn prediction is a well-established business problem, making it easier to validate findings against domain knowledge and prior published analyses.</w:t>
      </w:r>
    </w:p>
    <w:p>
      <w:pPr>
        <w:pStyle w:val="ListParagraph"/>
        <w:numPr>
          <w:ilvl w:val="0"/>
          <w:numId w:val="2"/>
        </w:numPr>
        <w:spacing w:after="80"/>
      </w:pPr>
      <w:r>
        <w:t xml:space="preserve">It is freely and legally available for educational and portfolio use, with no personally identifiable information.</w:t>
      </w:r>
    </w:p>
    <w:p>
      <w:pPr>
        <w:pStyle w:val="Heading1"/>
        <w:spacing w:after="160" w:before="360"/>
      </w:pPr>
      <w:r>
        <w:t xml:space="preserve">6. High-Level Methodology and Workflow</w:t>
      </w:r>
    </w:p>
    <w:p>
      <w:pPr>
        <w:spacing w:after="160" w:line="276"/>
        <w:jc w:val="both"/>
      </w:pPr>
      <w:r>
        <w:rPr>
          <w:sz w:val="22"/>
          <w:szCs w:val="22"/>
        </w:rPr>
        <w:t xml:space="preserve">The project follows a linear but iterative analytical pipeline, moving from raw data to a validated model and final report. Each stage below feeds into the next, with earlier stages revisited as new insights emerge (for example, EDA findings may prompt additional cleaning steps).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600"/>
      </w:tblGrid>
      <w:tr>
        <w:trPr>
          <w:tblHeader/>
        </w:trPr>
        <w:tc>
          <w:tcPr>
            <w:tcW w:type="dxa" w:w="1800"/>
            <w:shd w:fill="1F4E79" w:val="clear"/>
            <w:tcMar>
              <w:top w:type="dxa" w:w="100"/>
              <w:left w:type="dxa" w:w="120"/>
              <w:bottom w:type="dxa" w:w="100"/>
              <w:right w:type="dxa" w:w="120"/>
            </w:tcMar>
            <w:vAlign w:val="center"/>
          </w:tcPr>
          <w:p>
            <w:r>
              <w:rPr>
                <w:b/>
                <w:bCs/>
                <w:color w:val="FFFFFF"/>
                <w:sz w:val="20"/>
                <w:szCs w:val="20"/>
              </w:rPr>
              <w:t xml:space="preserve">Stage</w:t>
            </w:r>
          </w:p>
        </w:tc>
        <w:tc>
          <w:tcPr>
            <w:tcW w:type="dxa" w:w="5000"/>
            <w:shd w:fill="1F4E79" w:val="clear"/>
            <w:tcMar>
              <w:top w:type="dxa" w:w="100"/>
              <w:left w:type="dxa" w:w="120"/>
              <w:bottom w:type="dxa" w:w="100"/>
              <w:right w:type="dxa" w:w="120"/>
            </w:tcMar>
            <w:vAlign w:val="center"/>
          </w:tcPr>
          <w:p>
            <w:r>
              <w:rPr>
                <w:b/>
                <w:bCs/>
                <w:color w:val="FFFFFF"/>
                <w:sz w:val="20"/>
                <w:szCs w:val="20"/>
              </w:rPr>
              <w:t xml:space="preserve">Key Activities</w:t>
            </w:r>
          </w:p>
        </w:tc>
        <w:tc>
          <w:tcPr>
            <w:tcW w:type="dxa" w:w="2600"/>
            <w:shd w:fill="1F4E79" w:val="clear"/>
            <w:tcMar>
              <w:top w:type="dxa" w:w="100"/>
              <w:left w:type="dxa" w:w="120"/>
              <w:bottom w:type="dxa" w:w="100"/>
              <w:right w:type="dxa" w:w="120"/>
            </w:tcMar>
            <w:vAlign w:val="center"/>
          </w:tcPr>
          <w:p>
            <w:r>
              <w:rPr>
                <w:b/>
                <w:bCs/>
                <w:color w:val="FFFFFF"/>
                <w:sz w:val="20"/>
                <w:szCs w:val="20"/>
              </w:rPr>
              <w:t xml:space="preserve">Output</w:t>
            </w:r>
          </w:p>
        </w:tc>
      </w:tr>
      <w:tr>
        <w:tc>
          <w:tcPr>
            <w:tcW w:type="dxa" w:w="1800"/>
            <w:tcMar>
              <w:top w:type="dxa" w:w="100"/>
              <w:left w:type="dxa" w:w="120"/>
              <w:bottom w:type="dxa" w:w="100"/>
              <w:right w:type="dxa" w:w="120"/>
            </w:tcMar>
            <w:vAlign w:val="center"/>
          </w:tcPr>
          <w:p>
            <w:r>
              <w:rPr>
                <w:sz w:val="20"/>
                <w:szCs w:val="20"/>
              </w:rPr>
              <w:t xml:space="preserve">1. Data Acquisition</w:t>
            </w:r>
          </w:p>
        </w:tc>
        <w:tc>
          <w:tcPr>
            <w:tcW w:type="dxa" w:w="5000"/>
            <w:tcMar>
              <w:top w:type="dxa" w:w="100"/>
              <w:left w:type="dxa" w:w="120"/>
              <w:bottom w:type="dxa" w:w="100"/>
              <w:right w:type="dxa" w:w="120"/>
            </w:tcMar>
            <w:vAlign w:val="center"/>
          </w:tcPr>
          <w:p>
            <w:r>
              <w:rPr>
                <w:sz w:val="20"/>
                <w:szCs w:val="20"/>
              </w:rPr>
              <w:t xml:space="preserve">Download dataset; verify licensing/usage terms; perform initial structural inspection (shape, dtypes, missing values)</w:t>
            </w:r>
          </w:p>
        </w:tc>
        <w:tc>
          <w:tcPr>
            <w:tcW w:type="dxa" w:w="2600"/>
            <w:tcMar>
              <w:top w:type="dxa" w:w="100"/>
              <w:left w:type="dxa" w:w="120"/>
              <w:bottom w:type="dxa" w:w="100"/>
              <w:right w:type="dxa" w:w="120"/>
            </w:tcMar>
            <w:vAlign w:val="center"/>
          </w:tcPr>
          <w:p>
            <w:r>
              <w:rPr>
                <w:sz w:val="20"/>
                <w:szCs w:val="20"/>
              </w:rPr>
              <w:t xml:space="preserve">Raw dataset loaded into pandas DataFrame</w:t>
            </w:r>
          </w:p>
        </w:tc>
      </w:tr>
      <w:tr>
        <w:tc>
          <w:tcPr>
            <w:tcW w:type="dxa" w:w="1800"/>
            <w:shd w:fill="DCE6F1" w:val="clear"/>
            <w:tcMar>
              <w:top w:type="dxa" w:w="100"/>
              <w:left w:type="dxa" w:w="120"/>
              <w:bottom w:type="dxa" w:w="100"/>
              <w:right w:type="dxa" w:w="120"/>
            </w:tcMar>
            <w:vAlign w:val="center"/>
          </w:tcPr>
          <w:p>
            <w:r>
              <w:rPr>
                <w:sz w:val="20"/>
                <w:szCs w:val="20"/>
              </w:rPr>
              <w:t xml:space="preserve">2. Data Cleaning</w:t>
            </w:r>
          </w:p>
        </w:tc>
        <w:tc>
          <w:tcPr>
            <w:tcW w:type="dxa" w:w="5000"/>
            <w:shd w:fill="DCE6F1" w:val="clear"/>
            <w:tcMar>
              <w:top w:type="dxa" w:w="100"/>
              <w:left w:type="dxa" w:w="120"/>
              <w:bottom w:type="dxa" w:w="100"/>
              <w:right w:type="dxa" w:w="120"/>
            </w:tcMar>
            <w:vAlign w:val="center"/>
          </w:tcPr>
          <w:p>
            <w:r>
              <w:rPr>
                <w:sz w:val="20"/>
                <w:szCs w:val="20"/>
              </w:rPr>
              <w:t xml:space="preserve">Handle missing/blank values, correct data types (e.g., TotalCharges to numeric), remove duplicates, standardize categorical labels</w:t>
            </w:r>
          </w:p>
        </w:tc>
        <w:tc>
          <w:tcPr>
            <w:tcW w:type="dxa" w:w="2600"/>
            <w:shd w:fill="DCE6F1" w:val="clear"/>
            <w:tcMar>
              <w:top w:type="dxa" w:w="100"/>
              <w:left w:type="dxa" w:w="120"/>
              <w:bottom w:type="dxa" w:w="100"/>
              <w:right w:type="dxa" w:w="120"/>
            </w:tcMar>
            <w:vAlign w:val="center"/>
          </w:tcPr>
          <w:p>
            <w:r>
              <w:rPr>
                <w:sz w:val="20"/>
                <w:szCs w:val="20"/>
              </w:rPr>
              <w:t xml:space="preserve">Clean, analysis-ready dataset</w:t>
            </w:r>
          </w:p>
        </w:tc>
      </w:tr>
      <w:tr>
        <w:tc>
          <w:tcPr>
            <w:tcW w:type="dxa" w:w="1800"/>
            <w:tcMar>
              <w:top w:type="dxa" w:w="100"/>
              <w:left w:type="dxa" w:w="120"/>
              <w:bottom w:type="dxa" w:w="100"/>
              <w:right w:type="dxa" w:w="120"/>
            </w:tcMar>
            <w:vAlign w:val="center"/>
          </w:tcPr>
          <w:p>
            <w:r>
              <w:rPr>
                <w:sz w:val="20"/>
                <w:szCs w:val="20"/>
              </w:rPr>
              <w:t xml:space="preserve">3. Exploratory Analysis</w:t>
            </w:r>
          </w:p>
        </w:tc>
        <w:tc>
          <w:tcPr>
            <w:tcW w:type="dxa" w:w="5000"/>
            <w:tcMar>
              <w:top w:type="dxa" w:w="100"/>
              <w:left w:type="dxa" w:w="120"/>
              <w:bottom w:type="dxa" w:w="100"/>
              <w:right w:type="dxa" w:w="120"/>
            </w:tcMar>
            <w:vAlign w:val="center"/>
          </w:tcPr>
          <w:p>
            <w:r>
              <w:rPr>
                <w:sz w:val="20"/>
                <w:szCs w:val="20"/>
              </w:rPr>
              <w:t xml:space="preserve">Univariate &amp; bivariate analysis, churn-rate breakdowns by tenure/contract/charges, correlation checks</w:t>
            </w:r>
          </w:p>
        </w:tc>
        <w:tc>
          <w:tcPr>
            <w:tcW w:type="dxa" w:w="2600"/>
            <w:tcMar>
              <w:top w:type="dxa" w:w="100"/>
              <w:left w:type="dxa" w:w="120"/>
              <w:bottom w:type="dxa" w:w="100"/>
              <w:right w:type="dxa" w:w="120"/>
            </w:tcMar>
            <w:vAlign w:val="center"/>
          </w:tcPr>
          <w:p>
            <w:r>
              <w:rPr>
                <w:sz w:val="20"/>
                <w:szCs w:val="20"/>
              </w:rPr>
              <w:t xml:space="preserve">EDA notebook with visual insights</w:t>
            </w:r>
          </w:p>
        </w:tc>
      </w:tr>
      <w:tr>
        <w:tc>
          <w:tcPr>
            <w:tcW w:type="dxa" w:w="1800"/>
            <w:shd w:fill="DCE6F1" w:val="clear"/>
            <w:tcMar>
              <w:top w:type="dxa" w:w="100"/>
              <w:left w:type="dxa" w:w="120"/>
              <w:bottom w:type="dxa" w:w="100"/>
              <w:right w:type="dxa" w:w="120"/>
            </w:tcMar>
            <w:vAlign w:val="center"/>
          </w:tcPr>
          <w:p>
            <w:r>
              <w:rPr>
                <w:sz w:val="20"/>
                <w:szCs w:val="20"/>
              </w:rPr>
              <w:t xml:space="preserve">4. Feature Engineering</w:t>
            </w:r>
          </w:p>
        </w:tc>
        <w:tc>
          <w:tcPr>
            <w:tcW w:type="dxa" w:w="5000"/>
            <w:shd w:fill="DCE6F1" w:val="clear"/>
            <w:tcMar>
              <w:top w:type="dxa" w:w="100"/>
              <w:left w:type="dxa" w:w="120"/>
              <w:bottom w:type="dxa" w:w="100"/>
              <w:right w:type="dxa" w:w="120"/>
            </w:tcMar>
            <w:vAlign w:val="center"/>
          </w:tcPr>
          <w:p>
            <w:r>
              <w:rPr>
                <w:sz w:val="20"/>
                <w:szCs w:val="20"/>
              </w:rPr>
              <w:t xml:space="preserve">Encode categorical variables, create tenure buckets, scale numeric features, address class imbalance (e.g., SMOTE)</w:t>
            </w:r>
          </w:p>
        </w:tc>
        <w:tc>
          <w:tcPr>
            <w:tcW w:type="dxa" w:w="2600"/>
            <w:shd w:fill="DCE6F1" w:val="clear"/>
            <w:tcMar>
              <w:top w:type="dxa" w:w="100"/>
              <w:left w:type="dxa" w:w="120"/>
              <w:bottom w:type="dxa" w:w="100"/>
              <w:right w:type="dxa" w:w="120"/>
            </w:tcMar>
            <w:vAlign w:val="center"/>
          </w:tcPr>
          <w:p>
            <w:r>
              <w:rPr>
                <w:sz w:val="20"/>
                <w:szCs w:val="20"/>
              </w:rPr>
              <w:t xml:space="preserve">Model-ready feature set</w:t>
            </w:r>
          </w:p>
        </w:tc>
      </w:tr>
      <w:tr>
        <w:tc>
          <w:tcPr>
            <w:tcW w:type="dxa" w:w="1800"/>
            <w:tcMar>
              <w:top w:type="dxa" w:w="100"/>
              <w:left w:type="dxa" w:w="120"/>
              <w:bottom w:type="dxa" w:w="100"/>
              <w:right w:type="dxa" w:w="120"/>
            </w:tcMar>
            <w:vAlign w:val="center"/>
          </w:tcPr>
          <w:p>
            <w:r>
              <w:rPr>
                <w:sz w:val="20"/>
                <w:szCs w:val="20"/>
              </w:rPr>
              <w:t xml:space="preserve">5. Modeling</w:t>
            </w:r>
          </w:p>
        </w:tc>
        <w:tc>
          <w:tcPr>
            <w:tcW w:type="dxa" w:w="5000"/>
            <w:tcMar>
              <w:top w:type="dxa" w:w="100"/>
              <w:left w:type="dxa" w:w="120"/>
              <w:bottom w:type="dxa" w:w="100"/>
              <w:right w:type="dxa" w:w="120"/>
            </w:tcMar>
            <w:vAlign w:val="center"/>
          </w:tcPr>
          <w:p>
            <w:r>
              <w:rPr>
                <w:sz w:val="20"/>
                <w:szCs w:val="20"/>
              </w:rPr>
              <w:t xml:space="preserve">Train baseline (Logistic Regression) and comparison models (Random Forest, Gradient Boosting); cross-validation</w:t>
            </w:r>
          </w:p>
        </w:tc>
        <w:tc>
          <w:tcPr>
            <w:tcW w:type="dxa" w:w="2600"/>
            <w:tcMar>
              <w:top w:type="dxa" w:w="100"/>
              <w:left w:type="dxa" w:w="120"/>
              <w:bottom w:type="dxa" w:w="100"/>
              <w:right w:type="dxa" w:w="120"/>
            </w:tcMar>
            <w:vAlign w:val="center"/>
          </w:tcPr>
          <w:p>
            <w:r>
              <w:rPr>
                <w:sz w:val="20"/>
                <w:szCs w:val="20"/>
              </w:rPr>
              <w:t xml:space="preserve">Trained candidate models</w:t>
            </w:r>
          </w:p>
        </w:tc>
      </w:tr>
      <w:tr>
        <w:tc>
          <w:tcPr>
            <w:tcW w:type="dxa" w:w="1800"/>
            <w:shd w:fill="DCE6F1" w:val="clear"/>
            <w:tcMar>
              <w:top w:type="dxa" w:w="100"/>
              <w:left w:type="dxa" w:w="120"/>
              <w:bottom w:type="dxa" w:w="100"/>
              <w:right w:type="dxa" w:w="120"/>
            </w:tcMar>
            <w:vAlign w:val="center"/>
          </w:tcPr>
          <w:p>
            <w:r>
              <w:rPr>
                <w:sz w:val="20"/>
                <w:szCs w:val="20"/>
              </w:rPr>
              <w:t xml:space="preserve">6. Evaluation</w:t>
            </w:r>
          </w:p>
        </w:tc>
        <w:tc>
          <w:tcPr>
            <w:tcW w:type="dxa" w:w="5000"/>
            <w:shd w:fill="DCE6F1" w:val="clear"/>
            <w:tcMar>
              <w:top w:type="dxa" w:w="100"/>
              <w:left w:type="dxa" w:w="120"/>
              <w:bottom w:type="dxa" w:w="100"/>
              <w:right w:type="dxa" w:w="120"/>
            </w:tcMar>
            <w:vAlign w:val="center"/>
          </w:tcPr>
          <w:p>
            <w:r>
              <w:rPr>
                <w:sz w:val="20"/>
                <w:szCs w:val="20"/>
              </w:rPr>
              <w:t xml:space="preserve">Assess accuracy, precision, recall, F1, ROC-AUC; analyze feature importance; select best model</w:t>
            </w:r>
          </w:p>
        </w:tc>
        <w:tc>
          <w:tcPr>
            <w:tcW w:type="dxa" w:w="2600"/>
            <w:shd w:fill="DCE6F1" w:val="clear"/>
            <w:tcMar>
              <w:top w:type="dxa" w:w="100"/>
              <w:left w:type="dxa" w:w="120"/>
              <w:bottom w:type="dxa" w:w="100"/>
              <w:right w:type="dxa" w:w="120"/>
            </w:tcMar>
            <w:vAlign w:val="center"/>
          </w:tcPr>
          <w:p>
            <w:r>
              <w:rPr>
                <w:sz w:val="20"/>
                <w:szCs w:val="20"/>
              </w:rPr>
              <w:t xml:space="preserve">Evaluation report &amp; chosen model</w:t>
            </w:r>
          </w:p>
        </w:tc>
      </w:tr>
      <w:tr>
        <w:tc>
          <w:tcPr>
            <w:tcW w:type="dxa" w:w="1800"/>
            <w:tcMar>
              <w:top w:type="dxa" w:w="100"/>
              <w:left w:type="dxa" w:w="120"/>
              <w:bottom w:type="dxa" w:w="100"/>
              <w:right w:type="dxa" w:w="120"/>
            </w:tcMar>
            <w:vAlign w:val="center"/>
          </w:tcPr>
          <w:p>
            <w:r>
              <w:rPr>
                <w:sz w:val="20"/>
                <w:szCs w:val="20"/>
              </w:rPr>
              <w:t xml:space="preserve">7. Reporting</w:t>
            </w:r>
          </w:p>
        </w:tc>
        <w:tc>
          <w:tcPr>
            <w:tcW w:type="dxa" w:w="5000"/>
            <w:tcMar>
              <w:top w:type="dxa" w:w="100"/>
              <w:left w:type="dxa" w:w="120"/>
              <w:bottom w:type="dxa" w:w="100"/>
              <w:right w:type="dxa" w:w="120"/>
            </w:tcMar>
            <w:vAlign w:val="center"/>
          </w:tcPr>
          <w:p>
            <w:r>
              <w:rPr>
                <w:sz w:val="20"/>
                <w:szCs w:val="20"/>
              </w:rPr>
              <w:t xml:space="preserve">Summarize findings, business recommendations, limitations, and next steps</w:t>
            </w:r>
          </w:p>
        </w:tc>
        <w:tc>
          <w:tcPr>
            <w:tcW w:type="dxa" w:w="2600"/>
            <w:tcMar>
              <w:top w:type="dxa" w:w="100"/>
              <w:left w:type="dxa" w:w="120"/>
              <w:bottom w:type="dxa" w:w="100"/>
              <w:right w:type="dxa" w:w="120"/>
            </w:tcMar>
            <w:vAlign w:val="center"/>
          </w:tcPr>
          <w:p>
            <w:r>
              <w:rPr>
                <w:sz w:val="20"/>
                <w:szCs w:val="20"/>
              </w:rPr>
              <w:t xml:space="preserve">Final analytical report / presentation</w:t>
            </w:r>
          </w:p>
        </w:tc>
      </w:tr>
    </w:tbl>
    <w:p>
      <w:pPr>
        <w:spacing w:before="240"/>
      </w:pPr>
    </w:p>
    <w:p>
      <w:pPr>
        <w:spacing w:after="160" w:line="276"/>
        <w:jc w:val="both"/>
      </w:pPr>
      <w:r>
        <w:rPr>
          <w:i/>
          <w:iCs/>
          <w:sz w:val="22"/>
          <w:szCs w:val="22"/>
        </w:rPr>
        <w:t xml:space="preserve">Conceptually, the pipeline can be visualized as a linear flow: Data Acquisition → Data Cleaning → Exploratory Analysis → Feature Engineering → Modeling → Evaluation → Reporting, with a feedback loop from Evaluation back to Feature Engineering if model performance is unsatisfactory.</w:t>
      </w:r>
    </w:p>
    <w:p>
      <w:pPr>
        <w:pStyle w:val="Heading1"/>
        <w:spacing w:after="160" w:before="360"/>
      </w:pPr>
      <w:r>
        <w:t xml:space="preserve">7. Methodologies and Tools</w:t>
      </w:r>
    </w:p>
    <w:p>
      <w:pPr>
        <w:spacing w:after="160" w:line="276"/>
        <w:jc w:val="both"/>
      </w:pPr>
      <w:r>
        <w:rPr>
          <w:sz w:val="22"/>
          <w:szCs w:val="22"/>
        </w:rPr>
        <w:t xml:space="preserve">The analysis will rely on the standard Python data science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rPr>
          <w:tblHeader/>
        </w:trPr>
        <w:tc>
          <w:tcPr>
            <w:tcW w:type="dxa" w:w="2200"/>
            <w:shd w:fill="1F4E79" w:val="clear"/>
            <w:tcMar>
              <w:top w:type="dxa" w:w="100"/>
              <w:left w:type="dxa" w:w="120"/>
              <w:bottom w:type="dxa" w:w="100"/>
              <w:right w:type="dxa" w:w="120"/>
            </w:tcMar>
            <w:vAlign w:val="center"/>
          </w:tcPr>
          <w:p>
            <w:r>
              <w:rPr>
                <w:b/>
                <w:bCs/>
                <w:color w:val="FFFFFF"/>
                <w:sz w:val="20"/>
                <w:szCs w:val="20"/>
              </w:rPr>
              <w:t xml:space="preserve">Category</w:t>
            </w:r>
          </w:p>
        </w:tc>
        <w:tc>
          <w:tcPr>
            <w:tcW w:type="dxa" w:w="3200"/>
            <w:shd w:fill="1F4E79" w:val="clear"/>
            <w:tcMar>
              <w:top w:type="dxa" w:w="100"/>
              <w:left w:type="dxa" w:w="120"/>
              <w:bottom w:type="dxa" w:w="100"/>
              <w:right w:type="dxa" w:w="120"/>
            </w:tcMar>
            <w:vAlign w:val="center"/>
          </w:tcPr>
          <w:p>
            <w:r>
              <w:rPr>
                <w:b/>
                <w:bCs/>
                <w:color w:val="FFFFFF"/>
                <w:sz w:val="20"/>
                <w:szCs w:val="20"/>
              </w:rPr>
              <w:t xml:space="preserve">Tools / Libraries</w:t>
            </w:r>
          </w:p>
        </w:tc>
        <w:tc>
          <w:tcPr>
            <w:tcW w:type="dxa" w:w="4000"/>
            <w:shd w:fill="1F4E79" w:val="clear"/>
            <w:tcMar>
              <w:top w:type="dxa" w:w="100"/>
              <w:left w:type="dxa" w:w="120"/>
              <w:bottom w:type="dxa" w:w="100"/>
              <w:right w:type="dxa" w:w="120"/>
            </w:tcMar>
            <w:vAlign w:val="center"/>
          </w:tcPr>
          <w:p>
            <w:r>
              <w:rPr>
                <w:b/>
                <w:bCs/>
                <w:color w:val="FFFFFF"/>
                <w:sz w:val="20"/>
                <w:szCs w:val="20"/>
              </w:rPr>
              <w:t xml:space="preserve">Purpose</w:t>
            </w:r>
          </w:p>
        </w:tc>
      </w:tr>
      <w:tr>
        <w:tc>
          <w:tcPr>
            <w:tcW w:type="dxa" w:w="2200"/>
            <w:tcMar>
              <w:top w:type="dxa" w:w="100"/>
              <w:left w:type="dxa" w:w="120"/>
              <w:bottom w:type="dxa" w:w="100"/>
              <w:right w:type="dxa" w:w="120"/>
            </w:tcMar>
            <w:vAlign w:val="center"/>
          </w:tcPr>
          <w:p>
            <w:r>
              <w:rPr>
                <w:sz w:val="20"/>
                <w:szCs w:val="20"/>
              </w:rPr>
              <w:t xml:space="preserve">Data Handling</w:t>
            </w:r>
          </w:p>
        </w:tc>
        <w:tc>
          <w:tcPr>
            <w:tcW w:type="dxa" w:w="3200"/>
            <w:tcMar>
              <w:top w:type="dxa" w:w="100"/>
              <w:left w:type="dxa" w:w="120"/>
              <w:bottom w:type="dxa" w:w="100"/>
              <w:right w:type="dxa" w:w="120"/>
            </w:tcMar>
            <w:vAlign w:val="center"/>
          </w:tcPr>
          <w:p>
            <w:r>
              <w:rPr>
                <w:sz w:val="20"/>
                <w:szCs w:val="20"/>
              </w:rPr>
              <w:t xml:space="preserve">Python, pandas, NumPy</w:t>
            </w:r>
          </w:p>
        </w:tc>
        <w:tc>
          <w:tcPr>
            <w:tcW w:type="dxa" w:w="4000"/>
            <w:tcMar>
              <w:top w:type="dxa" w:w="100"/>
              <w:left w:type="dxa" w:w="120"/>
              <w:bottom w:type="dxa" w:w="100"/>
              <w:right w:type="dxa" w:w="120"/>
            </w:tcMar>
            <w:vAlign w:val="center"/>
          </w:tcPr>
          <w:p>
            <w:r>
              <w:rPr>
                <w:sz w:val="20"/>
                <w:szCs w:val="20"/>
              </w:rPr>
              <w:t xml:space="preserve">Loading, cleaning, and transforming the dataset</w:t>
            </w:r>
          </w:p>
        </w:tc>
      </w:tr>
      <w:tr>
        <w:tc>
          <w:tcPr>
            <w:tcW w:type="dxa" w:w="2200"/>
            <w:shd w:fill="DCE6F1" w:val="clear"/>
            <w:tcMar>
              <w:top w:type="dxa" w:w="100"/>
              <w:left w:type="dxa" w:w="120"/>
              <w:bottom w:type="dxa" w:w="100"/>
              <w:right w:type="dxa" w:w="120"/>
            </w:tcMar>
            <w:vAlign w:val="center"/>
          </w:tcPr>
          <w:p>
            <w:r>
              <w:rPr>
                <w:sz w:val="20"/>
                <w:szCs w:val="20"/>
              </w:rPr>
              <w:t xml:space="preserve">Visualization</w:t>
            </w:r>
          </w:p>
        </w:tc>
        <w:tc>
          <w:tcPr>
            <w:tcW w:type="dxa" w:w="3200"/>
            <w:shd w:fill="DCE6F1" w:val="clear"/>
            <w:tcMar>
              <w:top w:type="dxa" w:w="100"/>
              <w:left w:type="dxa" w:w="120"/>
              <w:bottom w:type="dxa" w:w="100"/>
              <w:right w:type="dxa" w:w="120"/>
            </w:tcMar>
            <w:vAlign w:val="center"/>
          </w:tcPr>
          <w:p>
            <w:r>
              <w:rPr>
                <w:sz w:val="20"/>
                <w:szCs w:val="20"/>
              </w:rPr>
              <w:t xml:space="preserve">Matplotlib, Seaborn, Plotly</w:t>
            </w:r>
          </w:p>
        </w:tc>
        <w:tc>
          <w:tcPr>
            <w:tcW w:type="dxa" w:w="4000"/>
            <w:shd w:fill="DCE6F1" w:val="clear"/>
            <w:tcMar>
              <w:top w:type="dxa" w:w="100"/>
              <w:left w:type="dxa" w:w="120"/>
              <w:bottom w:type="dxa" w:w="100"/>
              <w:right w:type="dxa" w:w="120"/>
            </w:tcMar>
            <w:vAlign w:val="center"/>
          </w:tcPr>
          <w:p>
            <w:r>
              <w:rPr>
                <w:sz w:val="20"/>
                <w:szCs w:val="20"/>
              </w:rPr>
              <w:t xml:space="preserve">Exploratory data analysis and communicating findings</w:t>
            </w:r>
          </w:p>
        </w:tc>
      </w:tr>
      <w:tr>
        <w:tc>
          <w:tcPr>
            <w:tcW w:type="dxa" w:w="2200"/>
            <w:tcMar>
              <w:top w:type="dxa" w:w="100"/>
              <w:left w:type="dxa" w:w="120"/>
              <w:bottom w:type="dxa" w:w="100"/>
              <w:right w:type="dxa" w:w="120"/>
            </w:tcMar>
            <w:vAlign w:val="center"/>
          </w:tcPr>
          <w:p>
            <w:r>
              <w:rPr>
                <w:sz w:val="20"/>
                <w:szCs w:val="20"/>
              </w:rPr>
              <w:t xml:space="preserve">Machine Learning</w:t>
            </w:r>
          </w:p>
        </w:tc>
        <w:tc>
          <w:tcPr>
            <w:tcW w:type="dxa" w:w="3200"/>
            <w:tcMar>
              <w:top w:type="dxa" w:w="100"/>
              <w:left w:type="dxa" w:w="120"/>
              <w:bottom w:type="dxa" w:w="100"/>
              <w:right w:type="dxa" w:w="120"/>
            </w:tcMar>
            <w:vAlign w:val="center"/>
          </w:tcPr>
          <w:p>
            <w:r>
              <w:rPr>
                <w:sz w:val="20"/>
                <w:szCs w:val="20"/>
              </w:rPr>
              <w:t xml:space="preserve">scikit-learn</w:t>
            </w:r>
          </w:p>
        </w:tc>
        <w:tc>
          <w:tcPr>
            <w:tcW w:type="dxa" w:w="4000"/>
            <w:tcMar>
              <w:top w:type="dxa" w:w="100"/>
              <w:left w:type="dxa" w:w="120"/>
              <w:bottom w:type="dxa" w:w="100"/>
              <w:right w:type="dxa" w:w="120"/>
            </w:tcMar>
            <w:vAlign w:val="center"/>
          </w:tcPr>
          <w:p>
            <w:r>
              <w:rPr>
                <w:sz w:val="20"/>
                <w:szCs w:val="20"/>
              </w:rPr>
              <w:t xml:space="preserve">Feature engineering, model training, evaluation</w:t>
            </w:r>
          </w:p>
        </w:tc>
      </w:tr>
      <w:tr>
        <w:tc>
          <w:tcPr>
            <w:tcW w:type="dxa" w:w="2200"/>
            <w:shd w:fill="DCE6F1" w:val="clear"/>
            <w:tcMar>
              <w:top w:type="dxa" w:w="100"/>
              <w:left w:type="dxa" w:w="120"/>
              <w:bottom w:type="dxa" w:w="100"/>
              <w:right w:type="dxa" w:w="120"/>
            </w:tcMar>
            <w:vAlign w:val="center"/>
          </w:tcPr>
          <w:p>
            <w:r>
              <w:rPr>
                <w:sz w:val="20"/>
                <w:szCs w:val="20"/>
              </w:rPr>
              <w:t xml:space="preserve">Model Tracking</w:t>
            </w:r>
          </w:p>
        </w:tc>
        <w:tc>
          <w:tcPr>
            <w:tcW w:type="dxa" w:w="3200"/>
            <w:shd w:fill="DCE6F1" w:val="clear"/>
            <w:tcMar>
              <w:top w:type="dxa" w:w="100"/>
              <w:left w:type="dxa" w:w="120"/>
              <w:bottom w:type="dxa" w:w="100"/>
              <w:right w:type="dxa" w:w="120"/>
            </w:tcMar>
            <w:vAlign w:val="center"/>
          </w:tcPr>
          <w:p>
            <w:r>
              <w:rPr>
                <w:sz w:val="20"/>
                <w:szCs w:val="20"/>
              </w:rPr>
              <w:t xml:space="preserve">Jupyter Notebook</w:t>
            </w:r>
          </w:p>
        </w:tc>
        <w:tc>
          <w:tcPr>
            <w:tcW w:type="dxa" w:w="4000"/>
            <w:shd w:fill="DCE6F1" w:val="clear"/>
            <w:tcMar>
              <w:top w:type="dxa" w:w="100"/>
              <w:left w:type="dxa" w:w="120"/>
              <w:bottom w:type="dxa" w:w="100"/>
              <w:right w:type="dxa" w:w="120"/>
            </w:tcMar>
            <w:vAlign w:val="center"/>
          </w:tcPr>
          <w:p>
            <w:r>
              <w:rPr>
                <w:sz w:val="20"/>
                <w:szCs w:val="20"/>
              </w:rPr>
              <w:t xml:space="preserve">Iterative development and documentation of experiments</w:t>
            </w:r>
          </w:p>
        </w:tc>
      </w:tr>
      <w:tr>
        <w:tc>
          <w:tcPr>
            <w:tcW w:type="dxa" w:w="2200"/>
            <w:tcMar>
              <w:top w:type="dxa" w:w="100"/>
              <w:left w:type="dxa" w:w="120"/>
              <w:bottom w:type="dxa" w:w="100"/>
              <w:right w:type="dxa" w:w="120"/>
            </w:tcMar>
            <w:vAlign w:val="center"/>
          </w:tcPr>
          <w:p>
            <w:r>
              <w:rPr>
                <w:sz w:val="20"/>
                <w:szCs w:val="20"/>
              </w:rPr>
              <w:t xml:space="preserve">Version Control</w:t>
            </w:r>
          </w:p>
        </w:tc>
        <w:tc>
          <w:tcPr>
            <w:tcW w:type="dxa" w:w="3200"/>
            <w:tcMar>
              <w:top w:type="dxa" w:w="100"/>
              <w:left w:type="dxa" w:w="120"/>
              <w:bottom w:type="dxa" w:w="100"/>
              <w:right w:type="dxa" w:w="120"/>
            </w:tcMar>
            <w:vAlign w:val="center"/>
          </w:tcPr>
          <w:p>
            <w:r>
              <w:rPr>
                <w:sz w:val="20"/>
                <w:szCs w:val="20"/>
              </w:rPr>
              <w:t xml:space="preserve">Git / GitHub</w:t>
            </w:r>
          </w:p>
        </w:tc>
        <w:tc>
          <w:tcPr>
            <w:tcW w:type="dxa" w:w="4000"/>
            <w:tcMar>
              <w:top w:type="dxa" w:w="100"/>
              <w:left w:type="dxa" w:w="120"/>
              <w:bottom w:type="dxa" w:w="100"/>
              <w:right w:type="dxa" w:w="120"/>
            </w:tcMar>
            <w:vAlign w:val="center"/>
          </w:tcPr>
          <w:p>
            <w:r>
              <w:rPr>
                <w:sz w:val="20"/>
                <w:szCs w:val="20"/>
              </w:rPr>
              <w:t xml:space="preserve">Tracking code changes and maintaining reproducibility</w:t>
            </w:r>
          </w:p>
        </w:tc>
      </w:tr>
      <w:tr>
        <w:tc>
          <w:tcPr>
            <w:tcW w:type="dxa" w:w="2200"/>
            <w:shd w:fill="DCE6F1" w:val="clear"/>
            <w:tcMar>
              <w:top w:type="dxa" w:w="100"/>
              <w:left w:type="dxa" w:w="120"/>
              <w:bottom w:type="dxa" w:w="100"/>
              <w:right w:type="dxa" w:w="120"/>
            </w:tcMar>
            <w:vAlign w:val="center"/>
          </w:tcPr>
          <w:p>
            <w:r>
              <w:rPr>
                <w:sz w:val="20"/>
                <w:szCs w:val="20"/>
              </w:rPr>
              <w:t xml:space="preserve">Reporting</w:t>
            </w:r>
          </w:p>
        </w:tc>
        <w:tc>
          <w:tcPr>
            <w:tcW w:type="dxa" w:w="3200"/>
            <w:shd w:fill="DCE6F1" w:val="clear"/>
            <w:tcMar>
              <w:top w:type="dxa" w:w="100"/>
              <w:left w:type="dxa" w:w="120"/>
              <w:bottom w:type="dxa" w:w="100"/>
              <w:right w:type="dxa" w:w="120"/>
            </w:tcMar>
            <w:vAlign w:val="center"/>
          </w:tcPr>
          <w:p>
            <w:r>
              <w:rPr>
                <w:sz w:val="20"/>
                <w:szCs w:val="20"/>
              </w:rPr>
              <w:t xml:space="preserve">Microsoft Word, Markdown</w:t>
            </w:r>
          </w:p>
        </w:tc>
        <w:tc>
          <w:tcPr>
            <w:tcW w:type="dxa" w:w="4000"/>
            <w:shd w:fill="DCE6F1" w:val="clear"/>
            <w:tcMar>
              <w:top w:type="dxa" w:w="100"/>
              <w:left w:type="dxa" w:w="120"/>
              <w:bottom w:type="dxa" w:w="100"/>
              <w:right w:type="dxa" w:w="120"/>
            </w:tcMar>
            <w:vAlign w:val="center"/>
          </w:tcPr>
          <w:p>
            <w:r>
              <w:rPr>
                <w:sz w:val="20"/>
                <w:szCs w:val="20"/>
              </w:rPr>
              <w:t xml:space="preserve">Documenting the proposal and final analytical report</w:t>
            </w:r>
          </w:p>
        </w:tc>
      </w:tr>
    </w:tbl>
    <w:p>
      <w:pPr>
        <w:spacing w:before="200"/>
      </w:pPr>
    </w:p>
    <w:p>
      <w:pPr>
        <w:pStyle w:val="Heading2"/>
        <w:spacing w:after="120" w:before="240"/>
      </w:pPr>
      <w:r>
        <w:t xml:space="preserve">7.1 Modeling Approach</w:t>
      </w:r>
    </w:p>
    <w:p>
      <w:pPr>
        <w:pStyle w:val="ListParagraph"/>
        <w:numPr>
          <w:ilvl w:val="0"/>
          <w:numId w:val="2"/>
        </w:numPr>
        <w:spacing w:after="80"/>
      </w:pPr>
      <w:r>
        <w:t xml:space="preserve">Baseline model: Logistic Regression, chosen for interpretability and as a performance benchmark.</w:t>
      </w:r>
    </w:p>
    <w:p>
      <w:pPr>
        <w:pStyle w:val="ListParagraph"/>
        <w:numPr>
          <w:ilvl w:val="0"/>
          <w:numId w:val="2"/>
        </w:numPr>
        <w:spacing w:after="80"/>
      </w:pPr>
      <w:r>
        <w:t xml:space="preserve">Comparison models: Random Forest and Gradient Boosting (e.g., XGBoost or scikit-learn's GradientBoostingClassifier), chosen for their ability to capture non-linear relationships.</w:t>
      </w:r>
    </w:p>
    <w:p>
      <w:pPr>
        <w:pStyle w:val="ListParagraph"/>
        <w:numPr>
          <w:ilvl w:val="0"/>
          <w:numId w:val="2"/>
        </w:numPr>
        <w:spacing w:after="80"/>
      </w:pPr>
      <w:r>
        <w:t xml:space="preserve">Validation strategy: stratified k-fold cross-validation to preserve churn-class proportions across folds.</w:t>
      </w:r>
    </w:p>
    <w:p>
      <w:pPr>
        <w:pStyle w:val="ListParagraph"/>
        <w:numPr>
          <w:ilvl w:val="0"/>
          <w:numId w:val="2"/>
        </w:numPr>
        <w:spacing w:after="80"/>
      </w:pPr>
      <w:r>
        <w:t xml:space="preserve">Class imbalance handling: comparison of class-weighting versus SMOTE oversampling.</w:t>
      </w:r>
    </w:p>
    <w:p>
      <w:pPr>
        <w:pStyle w:val="Heading1"/>
        <w:spacing w:after="160" w:before="360"/>
      </w:pPr>
      <w:r>
        <w:t xml:space="preserve">8. Project Timeline and Checkpoints</w:t>
      </w:r>
    </w:p>
    <w:p>
      <w:pPr>
        <w:spacing w:after="160" w:line="276"/>
        <w:jc w:val="both"/>
      </w:pPr>
      <w:r>
        <w:rPr>
          <w:sz w:val="22"/>
          <w:szCs w:val="22"/>
        </w:rPr>
        <w:t xml:space="preserve">The 4-week engagement is structured around the following checkpoints, aligned to the internship's weekly task structure: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4700"/>
        <w:gridCol w:w="3500"/>
      </w:tblGrid>
      <w:tr>
        <w:trPr>
          <w:tblHeader/>
        </w:trPr>
        <w:tc>
          <w:tcPr>
            <w:tcW w:type="dxa" w:w="1200"/>
            <w:shd w:fill="1F4E79" w:val="clear"/>
            <w:tcMar>
              <w:top w:type="dxa" w:w="100"/>
              <w:left w:type="dxa" w:w="120"/>
              <w:bottom w:type="dxa" w:w="100"/>
              <w:right w:type="dxa" w:w="120"/>
            </w:tcMar>
            <w:vAlign w:val="center"/>
          </w:tcPr>
          <w:p>
            <w:r>
              <w:rPr>
                <w:b/>
                <w:bCs/>
                <w:color w:val="FFFFFF"/>
                <w:sz w:val="20"/>
                <w:szCs w:val="20"/>
              </w:rPr>
              <w:t xml:space="preserve">Week</w:t>
            </w:r>
          </w:p>
        </w:tc>
        <w:tc>
          <w:tcPr>
            <w:tcW w:type="dxa" w:w="4700"/>
            <w:shd w:fill="1F4E79" w:val="clear"/>
            <w:tcMar>
              <w:top w:type="dxa" w:w="100"/>
              <w:left w:type="dxa" w:w="120"/>
              <w:bottom w:type="dxa" w:w="100"/>
              <w:right w:type="dxa" w:w="120"/>
            </w:tcMar>
            <w:vAlign w:val="center"/>
          </w:tcPr>
          <w:p>
            <w:r>
              <w:rPr>
                <w:b/>
                <w:bCs/>
                <w:color w:val="FFFFFF"/>
                <w:sz w:val="20"/>
                <w:szCs w:val="20"/>
              </w:rPr>
              <w:t xml:space="preserve">Focus</w:t>
            </w:r>
          </w:p>
        </w:tc>
        <w:tc>
          <w:tcPr>
            <w:tcW w:type="dxa" w:w="3500"/>
            <w:shd w:fill="1F4E79" w:val="clear"/>
            <w:tcMar>
              <w:top w:type="dxa" w:w="100"/>
              <w:left w:type="dxa" w:w="120"/>
              <w:bottom w:type="dxa" w:w="100"/>
              <w:right w:type="dxa" w:w="120"/>
            </w:tcMar>
            <w:vAlign w:val="center"/>
          </w:tcPr>
          <w:p>
            <w:r>
              <w:rPr>
                <w:b/>
                <w:bCs/>
                <w:color w:val="FFFFFF"/>
                <w:sz w:val="20"/>
                <w:szCs w:val="20"/>
              </w:rPr>
              <w:t xml:space="preserve">Checkpoint / Deliverable</w:t>
            </w:r>
          </w:p>
        </w:tc>
      </w:tr>
      <w:tr>
        <w:tc>
          <w:tcPr>
            <w:tcW w:type="dxa" w:w="1200"/>
            <w:tcMar>
              <w:top w:type="dxa" w:w="100"/>
              <w:left w:type="dxa" w:w="120"/>
              <w:bottom w:type="dxa" w:w="100"/>
              <w:right w:type="dxa" w:w="120"/>
            </w:tcMar>
            <w:vAlign w:val="center"/>
          </w:tcPr>
          <w:p>
            <w:r>
              <w:rPr>
                <w:sz w:val="20"/>
                <w:szCs w:val="20"/>
              </w:rPr>
              <w:t xml:space="preserve">Week 1</w:t>
            </w:r>
          </w:p>
        </w:tc>
        <w:tc>
          <w:tcPr>
            <w:tcW w:type="dxa" w:w="4700"/>
            <w:tcMar>
              <w:top w:type="dxa" w:w="100"/>
              <w:left w:type="dxa" w:w="120"/>
              <w:bottom w:type="dxa" w:w="100"/>
              <w:right w:type="dxa" w:w="120"/>
            </w:tcMar>
            <w:vAlign w:val="center"/>
          </w:tcPr>
          <w:p>
            <w:r>
              <w:rPr>
                <w:sz w:val="20"/>
                <w:szCs w:val="20"/>
              </w:rPr>
              <w:t xml:space="preserve">Project planning, dataset scoping, proposal drafting</w:t>
            </w:r>
          </w:p>
        </w:tc>
        <w:tc>
          <w:tcPr>
            <w:tcW w:type="dxa" w:w="3500"/>
            <w:tcMar>
              <w:top w:type="dxa" w:w="100"/>
              <w:left w:type="dxa" w:w="120"/>
              <w:bottom w:type="dxa" w:w="100"/>
              <w:right w:type="dxa" w:w="120"/>
            </w:tcMar>
            <w:vAlign w:val="center"/>
          </w:tcPr>
          <w:p>
            <w:r>
              <w:rPr>
                <w:sz w:val="20"/>
                <w:szCs w:val="20"/>
              </w:rPr>
              <w:t xml:space="preserve">Project proposal DOC (this document)</w:t>
            </w:r>
          </w:p>
        </w:tc>
      </w:tr>
      <w:tr>
        <w:tc>
          <w:tcPr>
            <w:tcW w:type="dxa" w:w="1200"/>
            <w:shd w:fill="DCE6F1" w:val="clear"/>
            <w:tcMar>
              <w:top w:type="dxa" w:w="100"/>
              <w:left w:type="dxa" w:w="120"/>
              <w:bottom w:type="dxa" w:w="100"/>
              <w:right w:type="dxa" w:w="120"/>
            </w:tcMar>
            <w:vAlign w:val="center"/>
          </w:tcPr>
          <w:p>
            <w:r>
              <w:rPr>
                <w:sz w:val="20"/>
                <w:szCs w:val="20"/>
              </w:rPr>
              <w:t xml:space="preserve">Week 2</w:t>
            </w:r>
          </w:p>
        </w:tc>
        <w:tc>
          <w:tcPr>
            <w:tcW w:type="dxa" w:w="4700"/>
            <w:shd w:fill="DCE6F1" w:val="clear"/>
            <w:tcMar>
              <w:top w:type="dxa" w:w="100"/>
              <w:left w:type="dxa" w:w="120"/>
              <w:bottom w:type="dxa" w:w="100"/>
              <w:right w:type="dxa" w:w="120"/>
            </w:tcMar>
            <w:vAlign w:val="center"/>
          </w:tcPr>
          <w:p>
            <w:r>
              <w:rPr>
                <w:sz w:val="20"/>
                <w:szCs w:val="20"/>
              </w:rPr>
              <w:t xml:space="preserve">Data acquisition, cleaning, and exploratory data analysis</w:t>
            </w:r>
          </w:p>
        </w:tc>
        <w:tc>
          <w:tcPr>
            <w:tcW w:type="dxa" w:w="3500"/>
            <w:shd w:fill="DCE6F1" w:val="clear"/>
            <w:tcMar>
              <w:top w:type="dxa" w:w="100"/>
              <w:left w:type="dxa" w:w="120"/>
              <w:bottom w:type="dxa" w:w="100"/>
              <w:right w:type="dxa" w:w="120"/>
            </w:tcMar>
            <w:vAlign w:val="center"/>
          </w:tcPr>
          <w:p>
            <w:r>
              <w:rPr>
                <w:sz w:val="20"/>
                <w:szCs w:val="20"/>
              </w:rPr>
              <w:t xml:space="preserve">EDA notebook with visualizations &amp; insights summary</w:t>
            </w:r>
          </w:p>
        </w:tc>
      </w:tr>
      <w:tr>
        <w:tc>
          <w:tcPr>
            <w:tcW w:type="dxa" w:w="1200"/>
            <w:tcMar>
              <w:top w:type="dxa" w:w="100"/>
              <w:left w:type="dxa" w:w="120"/>
              <w:bottom w:type="dxa" w:w="100"/>
              <w:right w:type="dxa" w:w="120"/>
            </w:tcMar>
            <w:vAlign w:val="center"/>
          </w:tcPr>
          <w:p>
            <w:r>
              <w:rPr>
                <w:sz w:val="20"/>
                <w:szCs w:val="20"/>
              </w:rPr>
              <w:t xml:space="preserve">Week 3</w:t>
            </w:r>
          </w:p>
        </w:tc>
        <w:tc>
          <w:tcPr>
            <w:tcW w:type="dxa" w:w="4700"/>
            <w:tcMar>
              <w:top w:type="dxa" w:w="100"/>
              <w:left w:type="dxa" w:w="120"/>
              <w:bottom w:type="dxa" w:w="100"/>
              <w:right w:type="dxa" w:w="120"/>
            </w:tcMar>
            <w:vAlign w:val="center"/>
          </w:tcPr>
          <w:p>
            <w:r>
              <w:rPr>
                <w:sz w:val="20"/>
                <w:szCs w:val="20"/>
              </w:rPr>
              <w:t xml:space="preserve">Feature engineering and model development</w:t>
            </w:r>
          </w:p>
        </w:tc>
        <w:tc>
          <w:tcPr>
            <w:tcW w:type="dxa" w:w="3500"/>
            <w:tcMar>
              <w:top w:type="dxa" w:w="100"/>
              <w:left w:type="dxa" w:w="120"/>
              <w:bottom w:type="dxa" w:w="100"/>
              <w:right w:type="dxa" w:w="120"/>
            </w:tcMar>
            <w:vAlign w:val="center"/>
          </w:tcPr>
          <w:p>
            <w:r>
              <w:rPr>
                <w:sz w:val="20"/>
                <w:szCs w:val="20"/>
              </w:rPr>
              <w:t xml:space="preserve">Trained models with initial performance metrics</w:t>
            </w:r>
          </w:p>
        </w:tc>
      </w:tr>
      <w:tr>
        <w:tc>
          <w:tcPr>
            <w:tcW w:type="dxa" w:w="1200"/>
            <w:shd w:fill="DCE6F1" w:val="clear"/>
            <w:tcMar>
              <w:top w:type="dxa" w:w="100"/>
              <w:left w:type="dxa" w:w="120"/>
              <w:bottom w:type="dxa" w:w="100"/>
              <w:right w:type="dxa" w:w="120"/>
            </w:tcMar>
            <w:vAlign w:val="center"/>
          </w:tcPr>
          <w:p>
            <w:r>
              <w:rPr>
                <w:sz w:val="20"/>
                <w:szCs w:val="20"/>
              </w:rPr>
              <w:t xml:space="preserve">Week 4</w:t>
            </w:r>
          </w:p>
        </w:tc>
        <w:tc>
          <w:tcPr>
            <w:tcW w:type="dxa" w:w="4700"/>
            <w:shd w:fill="DCE6F1" w:val="clear"/>
            <w:tcMar>
              <w:top w:type="dxa" w:w="100"/>
              <w:left w:type="dxa" w:w="120"/>
              <w:bottom w:type="dxa" w:w="100"/>
              <w:right w:type="dxa" w:w="120"/>
            </w:tcMar>
            <w:vAlign w:val="center"/>
          </w:tcPr>
          <w:p>
            <w:r>
              <w:rPr>
                <w:sz w:val="20"/>
                <w:szCs w:val="20"/>
              </w:rPr>
              <w:t xml:space="preserve">Model evaluation, refinement, and final reporting</w:t>
            </w:r>
          </w:p>
        </w:tc>
        <w:tc>
          <w:tcPr>
            <w:tcW w:type="dxa" w:w="3500"/>
            <w:shd w:fill="DCE6F1" w:val="clear"/>
            <w:tcMar>
              <w:top w:type="dxa" w:w="100"/>
              <w:left w:type="dxa" w:w="120"/>
              <w:bottom w:type="dxa" w:w="100"/>
              <w:right w:type="dxa" w:w="120"/>
            </w:tcMar>
            <w:vAlign w:val="center"/>
          </w:tcPr>
          <w:p>
            <w:r>
              <w:rPr>
                <w:sz w:val="20"/>
                <w:szCs w:val="20"/>
              </w:rPr>
              <w:t xml:space="preserve">Final report, presentation, and code repository</w:t>
            </w:r>
          </w:p>
        </w:tc>
      </w:tr>
    </w:tbl>
    <w:p>
      <w:pPr>
        <w:pStyle w:val="Heading1"/>
        <w:spacing w:after="160" w:before="360"/>
      </w:pPr>
      <w:r>
        <w:t xml:space="preserve">9. Success Metrics and Evaluation Criteria</w:t>
      </w:r>
    </w:p>
    <w:p>
      <w:pPr>
        <w:spacing w:after="160" w:line="276"/>
        <w:jc w:val="both"/>
      </w:pPr>
      <w:r>
        <w:rPr>
          <w:sz w:val="22"/>
          <w:szCs w:val="22"/>
        </w:rPr>
        <w:t xml:space="preserve">Model performance will be assessed primarily using:</w:t>
      </w:r>
    </w:p>
    <w:p>
      <w:pPr>
        <w:pStyle w:val="ListParagraph"/>
        <w:numPr>
          <w:ilvl w:val="0"/>
          <w:numId w:val="2"/>
        </w:numPr>
        <w:spacing w:after="80"/>
      </w:pPr>
      <w:r>
        <w:t xml:space="preserve">Recall on the churn class — prioritized because failing to identify a true churner is costlier to the business than a false alarm.</w:t>
      </w:r>
    </w:p>
    <w:p>
      <w:pPr>
        <w:pStyle w:val="ListParagraph"/>
        <w:numPr>
          <w:ilvl w:val="0"/>
          <w:numId w:val="2"/>
        </w:numPr>
        <w:spacing w:after="80"/>
      </w:pPr>
      <w:r>
        <w:t xml:space="preserve">Precision and F1-score — to ensure retention efforts are not spread too thin on false positives.</w:t>
      </w:r>
    </w:p>
    <w:p>
      <w:pPr>
        <w:pStyle w:val="ListParagraph"/>
        <w:numPr>
          <w:ilvl w:val="0"/>
          <w:numId w:val="2"/>
        </w:numPr>
        <w:spacing w:after="80"/>
      </w:pPr>
      <w:r>
        <w:t xml:space="preserve">ROC-AUC — as an overall, threshold-independent measure of model discrimination.</w:t>
      </w:r>
    </w:p>
    <w:p>
      <w:pPr>
        <w:pStyle w:val="ListParagraph"/>
        <w:numPr>
          <w:ilvl w:val="0"/>
          <w:numId w:val="2"/>
        </w:numPr>
        <w:spacing w:after="80"/>
      </w:pPr>
      <w:r>
        <w:t xml:space="preserve">Feature importance / coefficients — to translate model behavior into business-relevant drivers of churn.</w:t>
      </w:r>
    </w:p>
    <w:p>
      <w:pPr>
        <w:pStyle w:val="Heading1"/>
        <w:spacing w:after="160" w:before="360"/>
      </w:pPr>
      <w:r>
        <w:t xml:space="preserve">10. Conclusion</w:t>
      </w:r>
    </w:p>
    <w:p>
      <w:pPr>
        <w:spacing w:after="160" w:line="276"/>
        <w:jc w:val="both"/>
      </w:pPr>
      <w:r>
        <w:rPr>
          <w:sz w:val="22"/>
          <w:szCs w:val="22"/>
        </w:rPr>
        <w:t xml:space="preserve">This proposal establishes a clear, achievable plan for a churn-prediction project grounded in a realistic, publicly available dataset. By combining structured data cleaning, thorough exploratory analysis, and a comparison of interpretable versus higher-performing models, the resulting work will demonstrate core Python data science competencies while producing a genuinely useful analytical artifact: a model and set of insights that could inform a real customer-retention strategy.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Virtual Data Science Apprentice – Python Specialist Intern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pPr>
    <w:rPr>
      <w:rFonts w:ascii="Calibri" w:cs="Calibri" w:eastAsia="Calibri" w:hAnsi="Calibri"/>
      <w:b/>
      <w:bCs/>
      <w:color w:val="1F4E79"/>
      <w:sz w:val="30"/>
      <w:szCs w:val="30"/>
    </w:rPr>
  </w:style>
  <w:style w:type="paragraph" w:styleId="Heading2">
    <w:name w:val="Heading 2"/>
    <w:basedOn w:val="Normal"/>
    <w:next w:val="Normal"/>
    <w:qFormat/>
    <w:pPr>
      <w:spacing w:after="120" w:before="240"/>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2026-08-31T13:48:24.348Z</dcterms:created>
  <dcterms:modified xsi:type="dcterms:W3CDTF">2026-08-31T13:48:24.348Z</dcterms:modified>
</cp:coreProperties>
</file>

<file path=docProps/custom.xml><?xml version="1.0" encoding="utf-8"?>
<Properties xmlns="http://schemas.openxmlformats.org/officeDocument/2006/custom-properties" xmlns:vt="http://schemas.openxmlformats.org/officeDocument/2006/docPropsVTypes"/>
</file>