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26B92">
      <w:pPr>
        <w:spacing w:line="240" w:lineRule="auto"/>
      </w:pPr>
      <w:r>
        <w:rPr>
          <w:rFonts w:ascii="微软雅黑" w:hAnsi="微软雅黑" w:eastAsia="微软雅黑"/>
          <w:b/>
          <w:sz w:val="20"/>
        </w:rPr>
        <w:t>三、招聘管理模块</w:t>
      </w:r>
    </w:p>
    <w:p w14:paraId="3FD226ED">
      <w:pPr>
        <w:spacing w:line="240" w:lineRule="auto"/>
      </w:pPr>
      <w:r>
        <w:rPr>
          <w:rFonts w:ascii="微软雅黑" w:hAnsi="微软雅黑" w:eastAsia="微软雅黑"/>
          <w:sz w:val="20"/>
        </w:rPr>
        <w:t xml:space="preserve">    3.1 简历库管理    3.2 用人需求发布    3.3 面试流程管理</w:t>
      </w:r>
    </w:p>
    <w:p w14:paraId="1565A6F1">
      <w:pPr>
        <w:spacing w:line="240" w:lineRule="auto"/>
      </w:pPr>
      <w:r>
        <w:rPr>
          <w:rFonts w:ascii="微软雅黑" w:hAnsi="微软雅黑" w:eastAsia="微软雅黑"/>
          <w:sz w:val="20"/>
        </w:rPr>
        <w:t xml:space="preserve">    3.4 求职申请表管理    3.5 Offer发送与追踪    3.6 招聘流程全链路</w:t>
      </w:r>
    </w:p>
    <w:p w14:paraId="403E2091">
      <w:pPr>
        <w:spacing w:line="240" w:lineRule="auto"/>
      </w:pPr>
      <w:r>
        <w:rPr>
          <w:rFonts w:ascii="微软雅黑" w:hAnsi="微软雅黑" w:eastAsia="微软雅黑"/>
          <w:b/>
          <w:sz w:val="20"/>
        </w:rPr>
        <w:t>四、职位管理模块</w:t>
      </w:r>
    </w:p>
    <w:p w14:paraId="2148FAA1">
      <w:pPr>
        <w:spacing w:line="240" w:lineRule="auto"/>
      </w:pPr>
      <w:r>
        <w:rPr>
          <w:rFonts w:ascii="微软雅黑" w:hAnsi="微软雅黑" w:eastAsia="微软雅黑"/>
          <w:sz w:val="20"/>
        </w:rPr>
        <w:t xml:space="preserve">    4.1 组织架构管理    4.2 职位信息管理    4.3 汇报关系管理</w:t>
      </w:r>
    </w:p>
    <w:p w14:paraId="35BCD7B5">
      <w:pPr>
        <w:spacing w:line="240" w:lineRule="auto"/>
      </w:pPr>
      <w:r>
        <w:rPr>
          <w:rFonts w:ascii="微软雅黑" w:hAnsi="微软雅黑" w:eastAsia="微软雅黑"/>
          <w:b/>
          <w:sz w:val="20"/>
        </w:rPr>
        <w:t>五、入职管理模块</w:t>
      </w:r>
    </w:p>
    <w:p w14:paraId="6FAD78F1">
      <w:pPr>
        <w:spacing w:line="240" w:lineRule="auto"/>
      </w:pPr>
      <w:r>
        <w:rPr>
          <w:rFonts w:ascii="微软雅黑" w:hAnsi="微软雅黑" w:eastAsia="微软雅黑"/>
          <w:sz w:val="20"/>
        </w:rPr>
        <w:t xml:space="preserve">    5.1 入职准备流程    5.2 入职文件电子化    5.3 合同与用印管理</w:t>
      </w:r>
    </w:p>
    <w:p w14:paraId="5C4DB53B">
      <w:pPr>
        <w:spacing w:line="240" w:lineRule="auto"/>
      </w:pPr>
      <w:r>
        <w:rPr>
          <w:rFonts w:ascii="微软雅黑" w:hAnsi="微软雅黑" w:eastAsia="微软雅黑"/>
          <w:sz w:val="20"/>
        </w:rPr>
        <w:t xml:space="preserve">    5.4 行政安排    5.5 钉钉入职    5.6 培训入职</w:t>
      </w:r>
    </w:p>
    <w:p w14:paraId="222174E9">
      <w:pPr>
        <w:spacing w:line="240" w:lineRule="auto"/>
      </w:pPr>
      <w:r>
        <w:rPr>
          <w:rFonts w:ascii="微软雅黑" w:hAnsi="微软雅黑" w:eastAsia="微软雅黑"/>
          <w:sz w:val="20"/>
        </w:rPr>
        <w:t xml:space="preserve">    5.7 录用审批单与Offer关系建议</w:t>
      </w:r>
    </w:p>
    <w:p w14:paraId="2ECF0CD5">
      <w:pPr>
        <w:spacing w:line="240" w:lineRule="auto"/>
      </w:pPr>
      <w:r>
        <w:rPr>
          <w:rFonts w:ascii="微软雅黑" w:hAnsi="微软雅黑" w:eastAsia="微软雅黑"/>
          <w:b/>
          <w:sz w:val="20"/>
        </w:rPr>
        <w:t>六、在职管理模块</w:t>
      </w:r>
    </w:p>
    <w:p w14:paraId="4EEF6602">
      <w:pPr>
        <w:spacing w:line="240" w:lineRule="auto"/>
      </w:pPr>
      <w:r>
        <w:rPr>
          <w:rFonts w:ascii="微软雅黑" w:hAnsi="微软雅黑" w:eastAsia="微软雅黑"/>
          <w:sz w:val="20"/>
        </w:rPr>
        <w:t xml:space="preserve">    6.1 试用期管理    6.2 转正管理    6.3 合同续签管理</w:t>
      </w:r>
    </w:p>
    <w:p w14:paraId="2F76F581">
      <w:pPr>
        <w:spacing w:line="240" w:lineRule="auto"/>
      </w:pPr>
      <w:r>
        <w:rPr>
          <w:rFonts w:ascii="微软雅黑" w:hAnsi="微软雅黑" w:eastAsia="微软雅黑"/>
          <w:sz w:val="20"/>
        </w:rPr>
        <w:t xml:space="preserve">    6.4 调岗管理    6.5 调薪管理    6.6 员工档案管理</w:t>
      </w:r>
    </w:p>
    <w:p w14:paraId="3228AD7E">
      <w:pPr>
        <w:spacing w:line="240" w:lineRule="auto"/>
      </w:pPr>
      <w:r>
        <w:rPr>
          <w:rFonts w:ascii="微软雅黑" w:hAnsi="微软雅黑" w:eastAsia="微软雅黑"/>
          <w:b/>
          <w:sz w:val="20"/>
        </w:rPr>
        <w:t>七、日常管理模块</w:t>
      </w:r>
    </w:p>
    <w:p w14:paraId="565F235A">
      <w:pPr>
        <w:spacing w:line="240" w:lineRule="auto"/>
      </w:pPr>
      <w:r>
        <w:rPr>
          <w:rFonts w:ascii="微软雅黑" w:hAnsi="微软雅黑" w:eastAsia="微软雅黑"/>
          <w:sz w:val="20"/>
        </w:rPr>
        <w:t xml:space="preserve">    7.1 钉钉假期管理    7.2 请假管理    7.3 排班管理    7.4 发薪管理</w:t>
      </w:r>
    </w:p>
    <w:p w14:paraId="29E72CE2">
      <w:pPr>
        <w:spacing w:line="240" w:lineRule="auto"/>
      </w:pPr>
      <w:r>
        <w:rPr>
          <w:rFonts w:ascii="微软雅黑" w:hAnsi="微软雅黑" w:eastAsia="微软雅黑"/>
          <w:b/>
          <w:sz w:val="20"/>
        </w:rPr>
        <w:t>八、离职管理模块</w:t>
      </w:r>
    </w:p>
    <w:p w14:paraId="6E125AC6">
      <w:pPr>
        <w:spacing w:line="240" w:lineRule="auto"/>
      </w:pPr>
      <w:r>
        <w:rPr>
          <w:rFonts w:ascii="微软雅黑" w:hAnsi="微软雅黑" w:eastAsia="微软雅黑"/>
          <w:sz w:val="20"/>
        </w:rPr>
        <w:t xml:space="preserve">    8.1 离职申请    8.2 离职交接    8.3 社保减员与保险通知</w:t>
      </w:r>
    </w:p>
    <w:p w14:paraId="6D07B520">
      <w:pPr>
        <w:spacing w:line="240" w:lineRule="auto"/>
      </w:pPr>
      <w:r>
        <w:rPr>
          <w:rFonts w:ascii="微软雅黑" w:hAnsi="微软雅黑" w:eastAsia="微软雅黑"/>
          <w:b/>
          <w:sz w:val="20"/>
        </w:rPr>
        <w:t>九、保险管理</w:t>
      </w:r>
    </w:p>
    <w:p w14:paraId="694A7EBA">
      <w:pPr>
        <w:spacing w:line="240" w:lineRule="auto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w:t xml:space="preserve">9.1 保险管理    </w:t>
      </w:r>
    </w:p>
    <w:p w14:paraId="188FBE83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十.退休管理</w:t>
      </w:r>
    </w:p>
    <w:p w14:paraId="45F30417">
      <w:pPr>
        <w:spacing w:line="240" w:lineRule="auto"/>
      </w:pPr>
      <w:r>
        <w:rPr>
          <w:rFonts w:hint="eastAsia"/>
          <w:sz w:val="20"/>
          <w:lang w:val="en-US" w:eastAsia="zh-CN"/>
        </w:rPr>
        <w:t>10.1</w:t>
      </w:r>
      <w:r>
        <w:rPr>
          <w:rFonts w:ascii="微软雅黑" w:hAnsi="微软雅黑" w:eastAsia="微软雅黑"/>
          <w:sz w:val="20"/>
        </w:rPr>
        <w:t xml:space="preserve"> 退休管理</w:t>
      </w:r>
      <w:bookmarkStart w:id="0" w:name="_GoBack"/>
      <w:bookmarkEnd w:id="0"/>
    </w:p>
    <w:p w14:paraId="51BD1D24">
      <w:pPr>
        <w:spacing w:line="240" w:lineRule="auto"/>
        <w:rPr>
          <w:rFonts w:hint="default"/>
          <w:lang w:val="en-US" w:eastAsia="zh-CN"/>
        </w:rPr>
      </w:pPr>
    </w:p>
    <w:p w14:paraId="46A1B616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先跑通招聘板块</w:t>
      </w:r>
    </w:p>
    <w:p w14:paraId="0433F97C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需要实现的是</w:t>
      </w:r>
    </w:p>
    <w:p w14:paraId="546C4AF8"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1.用人部门有发布用人需求的入口，填入基本字段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5851"/>
      </w:tblGrid>
      <w:tr w14:paraId="0BDE3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2B579A"/>
          </w:tcPr>
          <w:p w14:paraId="57BAA3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字段名称</w:t>
            </w:r>
          </w:p>
        </w:tc>
        <w:tc>
          <w:tcPr>
            <w:tcW w:w="6236" w:type="dxa"/>
            <w:shd w:val="clear" w:color="auto" w:fill="2B579A"/>
          </w:tcPr>
          <w:p w14:paraId="351A22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52CE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6B52B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申请部门</w:t>
            </w:r>
          </w:p>
        </w:tc>
        <w:tc>
          <w:tcPr>
            <w:tcW w:w="6236" w:type="dxa"/>
          </w:tcPr>
          <w:p w14:paraId="63DD7D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自动关联当前登录用户所属部门</w:t>
            </w:r>
          </w:p>
        </w:tc>
      </w:tr>
      <w:tr w14:paraId="01B9A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595302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需求岗位</w:t>
            </w:r>
          </w:p>
        </w:tc>
        <w:tc>
          <w:tcPr>
            <w:tcW w:w="6236" w:type="dxa"/>
            <w:shd w:val="clear" w:color="auto" w:fill="F2F2F2"/>
          </w:tcPr>
          <w:p w14:paraId="0C2CC4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岗位名称</w:t>
            </w:r>
          </w:p>
        </w:tc>
      </w:tr>
      <w:tr w14:paraId="2771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8DAAF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需求人数</w:t>
            </w:r>
          </w:p>
        </w:tc>
        <w:tc>
          <w:tcPr>
            <w:tcW w:w="6236" w:type="dxa"/>
          </w:tcPr>
          <w:p w14:paraId="0E9481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数值输入</w:t>
            </w:r>
          </w:p>
        </w:tc>
      </w:tr>
      <w:tr w14:paraId="4617A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018161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工作地点</w:t>
            </w:r>
          </w:p>
        </w:tc>
        <w:tc>
          <w:tcPr>
            <w:tcW w:w="6236" w:type="dxa"/>
            <w:shd w:val="clear" w:color="auto" w:fill="F2F2F2"/>
          </w:tcPr>
          <w:p w14:paraId="2A1FA7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下拉选择</w:t>
            </w:r>
          </w:p>
        </w:tc>
      </w:tr>
      <w:tr w14:paraId="7CE13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DC579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期望到岗日期</w:t>
            </w:r>
          </w:p>
        </w:tc>
        <w:tc>
          <w:tcPr>
            <w:tcW w:w="6236" w:type="dxa"/>
          </w:tcPr>
          <w:p w14:paraId="13A17E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日期选择器（工作时效基准）</w:t>
            </w:r>
          </w:p>
        </w:tc>
      </w:tr>
      <w:tr w14:paraId="1B550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05F131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岗位职责</w:t>
            </w:r>
          </w:p>
        </w:tc>
        <w:tc>
          <w:tcPr>
            <w:tcW w:w="6236" w:type="dxa"/>
            <w:shd w:val="clear" w:color="auto" w:fill="F2F2F2"/>
          </w:tcPr>
          <w:p w14:paraId="1C1D91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富文本编辑器</w:t>
            </w:r>
          </w:p>
        </w:tc>
      </w:tr>
      <w:tr w14:paraId="78E35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642A1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任职要求</w:t>
            </w:r>
          </w:p>
        </w:tc>
        <w:tc>
          <w:tcPr>
            <w:tcW w:w="6236" w:type="dxa"/>
          </w:tcPr>
          <w:p w14:paraId="7477F6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富文本编辑器（学历、经验、技能等）</w:t>
            </w:r>
          </w:p>
        </w:tc>
      </w:tr>
      <w:tr w14:paraId="7FE19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70C623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薪资范围</w:t>
            </w:r>
          </w:p>
        </w:tc>
        <w:tc>
          <w:tcPr>
            <w:tcW w:w="6236" w:type="dxa"/>
            <w:shd w:val="clear" w:color="auto" w:fill="F2F2F2"/>
          </w:tcPr>
          <w:p w14:paraId="5E3647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薪资下限和上限</w:t>
            </w:r>
          </w:p>
        </w:tc>
      </w:tr>
      <w:tr w14:paraId="0FF1D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55E10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用工性质</w:t>
            </w:r>
          </w:p>
        </w:tc>
        <w:tc>
          <w:tcPr>
            <w:tcW w:w="6236" w:type="dxa"/>
          </w:tcPr>
          <w:p w14:paraId="719E22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全职/实习/劳务/退休返聘</w:t>
            </w:r>
          </w:p>
        </w:tc>
      </w:tr>
      <w:tr w14:paraId="7B157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45C370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需求紧急程度</w:t>
            </w:r>
          </w:p>
        </w:tc>
        <w:tc>
          <w:tcPr>
            <w:tcW w:w="6236" w:type="dxa"/>
            <w:shd w:val="clear" w:color="auto" w:fill="F2F2F2"/>
          </w:tcPr>
          <w:p w14:paraId="423431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紧急/常规/储备</w:t>
            </w:r>
          </w:p>
        </w:tc>
      </w:tr>
      <w:tr w14:paraId="6F551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AF744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替代/新增</w:t>
            </w:r>
          </w:p>
        </w:tc>
        <w:tc>
          <w:tcPr>
            <w:tcW w:w="6236" w:type="dxa"/>
          </w:tcPr>
          <w:p w14:paraId="62FC14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替代离职人员还是新增编制</w:t>
            </w:r>
          </w:p>
        </w:tc>
      </w:tr>
    </w:tbl>
    <w:p w14:paraId="2C49EBA4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填写完成后到hr负责人审批，审批通过后到Jenny确认，确认后发布用人需求</w:t>
      </w:r>
    </w:p>
    <w:p w14:paraId="6AE2DA1D"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609626E5"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jenny：接受录用审批单的确认通知，</w:t>
      </w:r>
    </w:p>
    <w:p w14:paraId="60FCE0B6">
      <w:pPr>
        <w:spacing w:line="240" w:lineRule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CB19D2"/>
    <w:rsid w:val="0D1F0495"/>
    <w:rsid w:val="5ECB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2026-06-09T11:37:00Z</dcterms:created>
  <dc:creator>JK.</dc:creator>
  <cp:lastModifiedBy>JK.</cp:lastModifiedBy>
  <dcterms:modified xsi:type="dcterms:W3CDTF">2026-06-10T02:23:00Z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28D39DFC09D54270949D5F52AB17FB55_11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