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B51761">
      <w:pPr>
        <w:rPr>
          <w:rFonts w:hint="eastAsia"/>
        </w:rPr>
      </w:pPr>
    </w:p>
    <w:tbl>
      <w:tblPr>
        <w:tblStyle w:val="7"/>
        <w:tblpPr w:leftFromText="181" w:rightFromText="181" w:vertAnchor="text" w:horzAnchor="page" w:tblpX="2253" w:tblpY="160"/>
        <w:tblW w:w="19813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0"/>
        <w:gridCol w:w="8640"/>
        <w:gridCol w:w="1293"/>
        <w:gridCol w:w="2880"/>
      </w:tblGrid>
      <w:tr w14:paraId="683BB3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7000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99DF030">
            <w:pPr>
              <w:snapToGrid w:val="0"/>
              <w:spacing w:line="180" w:lineRule="atLeast"/>
              <w:jc w:val="center"/>
              <w:rPr>
                <w:rFonts w:hint="eastAsia" w:ascii="华文行楷" w:hAnsi="华文行楷" w:eastAsia="华文行楷"/>
                <w:b/>
                <w:sz w:val="30"/>
                <w:szCs w:val="30"/>
              </w:rPr>
            </w:pPr>
          </w:p>
          <w:p w14:paraId="131D0170">
            <w:pPr>
              <w:snapToGrid w:val="0"/>
              <w:spacing w:line="180" w:lineRule="atLeast"/>
              <w:jc w:val="center"/>
              <w:rPr>
                <w:rFonts w:hint="eastAsia" w:ascii="华文行楷" w:hAnsi="华文行楷" w:eastAsia="华文行楷"/>
                <w:b/>
                <w:sz w:val="24"/>
              </w:rPr>
            </w:pPr>
            <w:r>
              <w:rPr>
                <w:rFonts w:hint="eastAsia" w:ascii="华文行楷" w:hAnsi="华文行楷" w:eastAsia="华文行楷"/>
                <w:b/>
                <w:sz w:val="30"/>
                <w:szCs w:val="30"/>
              </w:rPr>
              <w:t>第十届中国大学生工程实践创新能力大赛</w:t>
            </w:r>
          </w:p>
          <w:p w14:paraId="7FE46D46">
            <w:pPr>
              <w:snapToGrid w:val="0"/>
              <w:spacing w:line="180" w:lineRule="atLeast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8640" w:type="dxa"/>
            <w:vMerge w:val="restart"/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036E0EC">
            <w:pPr>
              <w:spacing w:line="480" w:lineRule="exact"/>
              <w:jc w:val="center"/>
              <w:rPr>
                <w:rFonts w:hint="eastAsia" w:ascii="黑体" w:hAnsi="黑体" w:eastAsia="黑体"/>
                <w:b/>
                <w:sz w:val="44"/>
                <w:szCs w:val="44"/>
              </w:rPr>
            </w:pPr>
            <w:r>
              <w:rPr>
                <w:rFonts w:hint="eastAsia" w:ascii="黑体" w:hAnsi="黑体" w:eastAsia="黑体"/>
                <w:b/>
                <w:sz w:val="44"/>
                <w:szCs w:val="44"/>
              </w:rPr>
              <w:t>作品设计方案</w:t>
            </w:r>
          </w:p>
          <w:p w14:paraId="315BEC76">
            <w:pPr>
              <w:snapToGrid w:val="0"/>
              <w:spacing w:line="180" w:lineRule="atLeas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sz w:val="28"/>
                <w:szCs w:val="28"/>
              </w:rPr>
              <w:t xml:space="preserve">Structure </w:t>
            </w:r>
            <w:r>
              <w:rPr>
                <w:rFonts w:hint="eastAsia" w:ascii="宋体" w:hAnsi="宋体" w:cs="宋体"/>
                <w:sz w:val="28"/>
                <w:szCs w:val="28"/>
              </w:rPr>
              <w:t>D</w:t>
            </w:r>
            <w:r>
              <w:rPr>
                <w:rFonts w:ascii="宋体" w:hAnsi="宋体" w:cs="宋体"/>
                <w:sz w:val="28"/>
                <w:szCs w:val="28"/>
              </w:rPr>
              <w:t xml:space="preserve">esign </w:t>
            </w:r>
            <w:r>
              <w:rPr>
                <w:rFonts w:hint="eastAsia" w:ascii="宋体" w:hAnsi="宋体" w:cs="宋体"/>
                <w:sz w:val="28"/>
                <w:szCs w:val="28"/>
              </w:rPr>
              <w:t>S</w:t>
            </w:r>
            <w:r>
              <w:rPr>
                <w:rFonts w:ascii="宋体" w:hAnsi="宋体" w:cs="宋体"/>
                <w:sz w:val="28"/>
                <w:szCs w:val="28"/>
              </w:rPr>
              <w:t>cheme</w:t>
            </w:r>
          </w:p>
        </w:tc>
        <w:tc>
          <w:tcPr>
            <w:tcW w:w="1293" w:type="dxa"/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B2ABF50">
            <w:pPr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方正仿宋_GB2312" w:hAnsi="方正仿宋_GB2312" w:eastAsia="方正仿宋_GB2312" w:cs="宋体"/>
              </w:rPr>
              <w:t>共   页</w:t>
            </w:r>
          </w:p>
        </w:tc>
        <w:tc>
          <w:tcPr>
            <w:tcW w:w="2880" w:type="dxa"/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vAlign w:val="center"/>
          </w:tcPr>
          <w:p w14:paraId="22B974D6">
            <w:pPr>
              <w:jc w:val="center"/>
              <w:rPr>
                <w:rFonts w:hint="eastAsia" w:ascii="方正仿宋_GB2312" w:hAnsi="方正仿宋_GB2312" w:eastAsia="方正仿宋_GB2312" w:cs="宋体"/>
              </w:rPr>
            </w:pPr>
            <w:r>
              <w:rPr>
                <w:rFonts w:hint="eastAsia" w:ascii="方正仿宋_GB2312" w:hAnsi="方正仿宋_GB2312" w:eastAsia="方正仿宋_GB2312" w:cs="宋体"/>
              </w:rPr>
              <w:t>第 1 页</w:t>
            </w:r>
          </w:p>
        </w:tc>
      </w:tr>
      <w:tr w14:paraId="0B1FCD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7000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64E4A9E">
            <w:pPr>
              <w:snapToGrid w:val="0"/>
              <w:spacing w:line="180" w:lineRule="atLeast"/>
              <w:jc w:val="center"/>
              <w:rPr>
                <w:rFonts w:hint="eastAsia" w:ascii="华文行楷" w:hAnsi="华文行楷" w:eastAsia="华文行楷"/>
                <w:b/>
                <w:sz w:val="24"/>
              </w:rPr>
            </w:pPr>
          </w:p>
        </w:tc>
        <w:tc>
          <w:tcPr>
            <w:tcW w:w="8640" w:type="dxa"/>
            <w:vMerge w:val="continue"/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35BF31">
            <w:pPr>
              <w:snapToGrid w:val="0"/>
              <w:spacing w:line="480" w:lineRule="exact"/>
              <w:jc w:val="center"/>
              <w:rPr>
                <w:rFonts w:hint="eastAsia" w:ascii="黑体" w:hAnsi="黑体" w:eastAsia="黑体"/>
                <w:b/>
                <w:sz w:val="44"/>
                <w:szCs w:val="44"/>
              </w:rPr>
            </w:pPr>
          </w:p>
        </w:tc>
        <w:tc>
          <w:tcPr>
            <w:tcW w:w="1293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E6E6E6"/>
            <w:vAlign w:val="center"/>
          </w:tcPr>
          <w:p w14:paraId="3AF6AF50">
            <w:pPr>
              <w:ind w:left="0" w:leftChars="0" w:right="0" w:rightChars="0" w:firstLineChars="100"/>
              <w:jc w:val="both"/>
              <w:rPr>
                <w:rFonts w:hint="eastAsia" w:ascii="方正仿宋_GB2312" w:hAnsi="方正仿宋_GB2312" w:eastAsia="方正仿宋_GB2312" w:cs="宋体"/>
                <w:szCs w:val="21"/>
              </w:rPr>
            </w:pPr>
            <w:r>
              <w:rPr>
                <w:rFonts w:hint="eastAsia" w:ascii="方正仿宋_GB2312" w:hAnsi="方正仿宋_GB2312" w:eastAsia="方正仿宋_GB2312" w:cs="宋体"/>
                <w:szCs w:val="21"/>
              </w:rPr>
              <w:t>赛   项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12" w:space="0"/>
            </w:tcBorders>
            <w:shd w:val="clear" w:color="auto" w:fill="E6E6E6"/>
          </w:tcPr>
          <w:p w14:paraId="1BFCD57A">
            <w:pPr>
              <w:rPr>
                <w:rFonts w:ascii="方正仿宋_GB2312" w:hAnsi="方正仿宋_GB2312" w:eastAsia="方正仿宋_GB2312" w:cs="宋体"/>
                <w:sz w:val="18"/>
                <w:szCs w:val="18"/>
              </w:rPr>
            </w:pPr>
            <w:r>
              <w:rPr>
                <w:rFonts w:hint="eastAsia" w:ascii="方正仿宋_GB2312" w:hAnsi="方正仿宋_GB2312" w:eastAsia="方正仿宋_GB2312" w:cs="宋体"/>
                <w:sz w:val="32"/>
                <w:szCs w:val="32"/>
              </w:rPr>
              <w:t>智能救援赛项</w:t>
            </w:r>
          </w:p>
        </w:tc>
      </w:tr>
      <w:tr w14:paraId="7B7C66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7" w:hRule="atLeast"/>
        </w:trPr>
        <w:tc>
          <w:tcPr>
            <w:tcW w:w="7000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center"/>
          </w:tcPr>
          <w:p w14:paraId="62ECA94E">
            <w:pPr>
              <w:spacing w:line="400" w:lineRule="exact"/>
              <w:jc w:val="center"/>
              <w:rPr>
                <w:rFonts w:hint="eastAsia" w:ascii="方正仿宋_GB2312" w:hAnsi="方正仿宋_GB2312" w:eastAsia="方正仿宋_GB2312" w:cs="宋体"/>
                <w:color w:val="0000FF"/>
                <w:szCs w:val="21"/>
              </w:rPr>
            </w:pPr>
            <w:r>
              <w:rPr>
                <w:rFonts w:hint="eastAsia" w:ascii="方正仿宋_GB2312" w:hAnsi="方正仿宋_GB2312" w:eastAsia="方正仿宋_GB2312" w:cs="宋体"/>
                <w:color w:val="0000FF"/>
                <w:szCs w:val="21"/>
              </w:rPr>
              <w:t>第一幅照片（机械设计图小车正面）</w:t>
            </w:r>
          </w:p>
          <w:p w14:paraId="49F68912">
            <w:pPr>
              <w:spacing w:line="400" w:lineRule="exact"/>
              <w:jc w:val="center"/>
              <w:rPr>
                <w:rFonts w:hint="eastAsia" w:ascii="方正仿宋_GB2312" w:hAnsi="方正仿宋_GB2312" w:eastAsia="方正仿宋_GB2312" w:cs="宋体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宋体"/>
                <w:lang w:val="en-US" w:eastAsia="zh-CN"/>
              </w:rPr>
              <w:t>5</w:t>
            </w:r>
            <w:bookmarkStart w:id="0" w:name="_GoBack"/>
            <w:bookmarkEnd w:id="0"/>
          </w:p>
        </w:tc>
        <w:tc>
          <w:tcPr>
            <w:tcW w:w="12813" w:type="dxa"/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</w:tcPr>
          <w:p w14:paraId="17A65D21">
            <w:pPr>
              <w:spacing w:before="0" w:after="0" w:line="400" w:lineRule="exact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1、设计思路（控制与算法）</w:t>
            </w:r>
          </w:p>
          <w:p w14:paraId="58980FF1">
            <w:pPr>
              <w:spacing w:before="0" w:after="0" w:line="400" w:lineRule="exact"/>
              <w:ind w:firstLineChars="20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本车采用“传感器主定位、视觉辅助、分层控制”的方案。STM32F407采集编码器、BMI088、双ToF和HMC5883L，执行轮速PI、舵机动作与失联停车；ESP32-S3分别透传图像和运动数据；笔记本完成多传感器EKF、目标识别、障碍栅格、A*规划、纯追踪和任务状态机。编码器与陀螺仪连续推算位姿，双ToF依据已知墙面修正位置，HMC5883L仅以低权重辅助航向，固定边界和墙角的视觉观测用于低频校正。系统按“搜索—前往目标—收集确认—返回安全区—投放确认”闭环运行；数据过期、位姿无效或路径不可达时停车并重新规划。</w:t>
            </w:r>
          </w:p>
        </w:tc>
      </w:tr>
      <w:tr w14:paraId="4A8033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5" w:hRule="atLeast"/>
        </w:trPr>
        <w:tc>
          <w:tcPr>
            <w:tcW w:w="7000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center"/>
          </w:tcPr>
          <w:p w14:paraId="7565A4E0">
            <w:pPr>
              <w:snapToGrid w:val="0"/>
              <w:spacing w:line="400" w:lineRule="exact"/>
              <w:jc w:val="center"/>
              <w:rPr>
                <w:rFonts w:hint="eastAsia" w:ascii="方正仿宋_GB2312" w:hAnsi="方正仿宋_GB2312" w:eastAsia="方正仿宋_GB2312" w:cs="宋体"/>
                <w:color w:val="FF0000"/>
                <w:sz w:val="36"/>
                <w:szCs w:val="36"/>
              </w:rPr>
            </w:pPr>
          </w:p>
        </w:tc>
        <w:tc>
          <w:tcPr>
            <w:tcW w:w="12813" w:type="dxa"/>
            <w:gridSpan w:val="3"/>
            <w:vMerge w:val="restart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</w:tcPr>
          <w:p w14:paraId="6D48B9D3">
            <w:pPr>
              <w:spacing w:before="0" w:after="0" w:line="400" w:lineRule="exact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2、小车底盘路径规划、定位及速度控制方案</w:t>
            </w:r>
          </w:p>
          <w:p w14:paraId="64276AE7">
            <w:pPr>
              <w:spacing w:before="0" w:after="0" w:line="400" w:lineRule="exact"/>
              <w:ind w:firstLineChars="20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底盘采用两轮差速结构。笔记本在3 m×3 m场地上建立50 mm栅格地图，对危险目标、对手机器人及未知障碍按车体外廓和安全余量膨胀，使用8邻域A*搜索并禁止斜穿障碍角。纯追踪根据路径输出线速度和角速度：航向误差较大时先原地转向，弯道、障碍附近及目标接近阶段主动降速，再按实测轮距换算左右轮目标速度。定位由编码器和BMI088高频预测，双ToF在确认命中已知墙面时提供主要位置约束，HMC5883L经整车标定后仅提供低频航向辅助，视觉只使用固定边界、墙角和安全区作低频校正。笔记本端EKF状态包含x、y、θ、速度和陀螺零偏；STM32端采用双轮PI、加速度与占空比限幅，并在命令租约到期、传感器异常或急停触发时将轮速归零。</w:t>
            </w:r>
          </w:p>
        </w:tc>
      </w:tr>
      <w:tr w14:paraId="559129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5" w:hRule="atLeast"/>
        </w:trPr>
        <w:tc>
          <w:tcPr>
            <w:tcW w:w="7000" w:type="dxa"/>
            <w:vMerge w:val="restart"/>
            <w:tcBorders>
              <w:top w:val="single" w:color="000000" w:sz="4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center"/>
          </w:tcPr>
          <w:p w14:paraId="6A72391D">
            <w:pPr>
              <w:spacing w:line="400" w:lineRule="exact"/>
              <w:jc w:val="center"/>
              <w:rPr>
                <w:rFonts w:hint="eastAsia" w:ascii="方正仿宋_GB2312" w:hAnsi="方正仿宋_GB2312" w:eastAsia="方正仿宋_GB2312" w:cs="宋体"/>
                <w:color w:val="0000FF"/>
                <w:szCs w:val="21"/>
              </w:rPr>
            </w:pPr>
            <w:r>
              <w:rPr>
                <w:rFonts w:hint="eastAsia" w:ascii="方正仿宋_GB2312" w:hAnsi="方正仿宋_GB2312" w:eastAsia="方正仿宋_GB2312" w:cs="宋体"/>
                <w:color w:val="0000FF"/>
                <w:szCs w:val="21"/>
              </w:rPr>
              <w:t>第二幅照片（机械设计图小车侧面）</w:t>
            </w:r>
          </w:p>
          <w:p w14:paraId="01C4E215">
            <w:pPr>
              <w:spacing w:line="400" w:lineRule="exact"/>
              <w:jc w:val="center"/>
              <w:rPr>
                <w:rFonts w:hint="eastAsia" w:ascii="方正仿宋_GB2312" w:hAnsi="方正仿宋_GB2312" w:eastAsia="方正仿宋_GB2312" w:cs="宋体"/>
                <w:szCs w:val="21"/>
              </w:rPr>
            </w:pPr>
          </w:p>
        </w:tc>
        <w:tc>
          <w:tcPr>
            <w:tcW w:w="12813" w:type="dxa"/>
            <w:gridSpan w:val="3"/>
            <w:vMerge w:val="continue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</w:tcPr>
          <w:p w14:paraId="474B7ABC">
            <w:pPr>
              <w:snapToGrid w:val="0"/>
              <w:spacing w:line="400" w:lineRule="exact"/>
              <w:jc w:val="center"/>
              <w:rPr>
                <w:rFonts w:hint="eastAsia" w:ascii="方正仿宋_GB2312" w:hAnsi="方正仿宋_GB2312" w:eastAsia="方正仿宋_GB2312" w:cs="宋体"/>
                <w:szCs w:val="21"/>
              </w:rPr>
            </w:pPr>
          </w:p>
        </w:tc>
      </w:tr>
      <w:tr w14:paraId="54365A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0" w:hRule="atLeast"/>
        </w:trPr>
        <w:tc>
          <w:tcPr>
            <w:tcW w:w="7000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center"/>
          </w:tcPr>
          <w:p w14:paraId="1D301109">
            <w:pPr>
              <w:snapToGrid w:val="0"/>
              <w:spacing w:line="400" w:lineRule="exact"/>
              <w:jc w:val="center"/>
              <w:rPr>
                <w:rFonts w:hint="eastAsia" w:ascii="方正仿宋_GB2312" w:hAnsi="方正仿宋_GB2312" w:eastAsia="方正仿宋_GB2312" w:cs="宋体"/>
                <w:color w:val="FF0000"/>
                <w:sz w:val="36"/>
                <w:szCs w:val="36"/>
              </w:rPr>
            </w:pPr>
          </w:p>
        </w:tc>
        <w:tc>
          <w:tcPr>
            <w:tcW w:w="12813" w:type="dxa"/>
            <w:gridSpan w:val="3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</w:tcPr>
          <w:p w14:paraId="26FED775">
            <w:pPr>
              <w:spacing w:before="0" w:after="0" w:line="400" w:lineRule="exact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3、转运结构的控制方案</w:t>
            </w:r>
          </w:p>
          <w:p w14:paraId="3740D8E2">
            <w:pPr>
              <w:spacing w:before="0" w:after="0" w:line="400" w:lineRule="exact"/>
              <w:ind w:firstLineChars="20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转运机构采用前端导向收集口、车内暂存空间和MG90S舵机驱动挡板。小车先规划至目标前方的预接触位置，再利用视觉相对位置完成末端对准，以低速直行将目标导入收集口；车体停止后关闭挡板，防止转运过程中目标滑出。到达指定安全区后，小车停车并打开挡板，配合短距离低速前进或后退完成投放和退出。底盘运动与舵机动作采用互锁状态机，转向或高速运动时禁止开闭挡板；每个动作均设置超时和失败回退，只有收到收集或投放确认后才更新任务进度。任务规则中首趟单独转运一个普通物资，之后普通物资与核心物资每趟合计不超过三个，伤员单独转运；危险目标和对手机器人只作为障碍，不进入收集流程。</w:t>
            </w:r>
          </w:p>
        </w:tc>
      </w:tr>
      <w:tr w14:paraId="6F179D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7000" w:type="dxa"/>
            <w:vMerge w:val="restart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81725D0">
            <w:pPr>
              <w:snapToGrid w:val="0"/>
              <w:spacing w:line="180" w:lineRule="atLeast"/>
              <w:jc w:val="center"/>
              <w:rPr>
                <w:rFonts w:hint="eastAsia" w:ascii="华文行楷" w:hAnsi="华文行楷" w:eastAsia="华文行楷"/>
                <w:b/>
                <w:sz w:val="30"/>
                <w:szCs w:val="30"/>
              </w:rPr>
            </w:pPr>
            <w:r>
              <w:rPr>
                <w:rFonts w:hint="eastAsia" w:ascii="华文行楷" w:hAnsi="华文行楷" w:eastAsia="华文行楷"/>
                <w:b/>
                <w:sz w:val="30"/>
                <w:szCs w:val="30"/>
              </w:rPr>
              <w:t>第十届中国大学生工程实践创新能力大赛</w:t>
            </w:r>
          </w:p>
          <w:p w14:paraId="277AEF2D">
            <w:pPr>
              <w:snapToGrid w:val="0"/>
              <w:spacing w:line="180" w:lineRule="atLeast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864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10649D4">
            <w:pPr>
              <w:spacing w:line="480" w:lineRule="exact"/>
              <w:jc w:val="center"/>
              <w:rPr>
                <w:rFonts w:hint="eastAsia" w:ascii="黑体" w:hAnsi="黑体" w:eastAsia="黑体"/>
                <w:b/>
                <w:sz w:val="44"/>
                <w:szCs w:val="44"/>
              </w:rPr>
            </w:pPr>
            <w:r>
              <w:rPr>
                <w:rFonts w:hint="eastAsia" w:ascii="黑体" w:hAnsi="黑体" w:eastAsia="黑体"/>
                <w:b/>
                <w:sz w:val="44"/>
                <w:szCs w:val="44"/>
              </w:rPr>
              <w:t>作品设计方案</w:t>
            </w:r>
          </w:p>
          <w:p w14:paraId="558F81E2">
            <w:pPr>
              <w:snapToGrid w:val="0"/>
              <w:spacing w:line="180" w:lineRule="atLeas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sz w:val="28"/>
                <w:szCs w:val="28"/>
              </w:rPr>
              <w:t xml:space="preserve">Structure </w:t>
            </w:r>
            <w:r>
              <w:rPr>
                <w:rFonts w:hint="eastAsia" w:ascii="宋体" w:hAnsi="宋体" w:cs="宋体"/>
                <w:sz w:val="28"/>
                <w:szCs w:val="28"/>
              </w:rPr>
              <w:t>D</w:t>
            </w:r>
            <w:r>
              <w:rPr>
                <w:rFonts w:ascii="宋体" w:hAnsi="宋体" w:cs="宋体"/>
                <w:sz w:val="28"/>
                <w:szCs w:val="28"/>
              </w:rPr>
              <w:t xml:space="preserve">esign </w:t>
            </w:r>
            <w:r>
              <w:rPr>
                <w:rFonts w:hint="eastAsia" w:ascii="宋体" w:hAnsi="宋体" w:cs="宋体"/>
                <w:sz w:val="28"/>
                <w:szCs w:val="28"/>
              </w:rPr>
              <w:t>S</w:t>
            </w:r>
            <w:r>
              <w:rPr>
                <w:rFonts w:ascii="宋体" w:hAnsi="宋体" w:cs="宋体"/>
                <w:sz w:val="28"/>
                <w:szCs w:val="28"/>
              </w:rPr>
              <w:t>cheme</w:t>
            </w:r>
          </w:p>
        </w:tc>
        <w:tc>
          <w:tcPr>
            <w:tcW w:w="12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2C9FE59">
            <w:pPr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方正仿宋_GB2312" w:hAnsi="方正仿宋_GB2312" w:eastAsia="方正仿宋_GB2312" w:cs="宋体"/>
              </w:rPr>
              <w:t>共   页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vAlign w:val="center"/>
          </w:tcPr>
          <w:p w14:paraId="0537DA85">
            <w:pPr>
              <w:jc w:val="center"/>
              <w:rPr>
                <w:rFonts w:hint="eastAsia" w:ascii="方正仿宋_GB2312" w:hAnsi="方正仿宋_GB2312" w:eastAsia="方正仿宋_GB2312" w:cs="宋体"/>
              </w:rPr>
            </w:pPr>
            <w:r>
              <w:rPr>
                <w:rFonts w:hint="eastAsia" w:ascii="方正仿宋_GB2312" w:hAnsi="方正仿宋_GB2312" w:eastAsia="方正仿宋_GB2312" w:cs="宋体"/>
              </w:rPr>
              <w:t>第 2 页</w:t>
            </w:r>
          </w:p>
        </w:tc>
      </w:tr>
      <w:tr w14:paraId="2724BF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7000" w:type="dxa"/>
            <w:vMerge w:val="continue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67C7678">
            <w:pPr>
              <w:snapToGrid w:val="0"/>
              <w:spacing w:line="180" w:lineRule="atLeast"/>
              <w:jc w:val="center"/>
              <w:rPr>
                <w:rFonts w:hint="eastAsia" w:ascii="华文行楷" w:hAnsi="华文行楷" w:eastAsia="华文行楷"/>
                <w:b/>
                <w:sz w:val="24"/>
              </w:rPr>
            </w:pPr>
          </w:p>
        </w:tc>
        <w:tc>
          <w:tcPr>
            <w:tcW w:w="8640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2A737AE">
            <w:pPr>
              <w:snapToGrid w:val="0"/>
              <w:spacing w:line="480" w:lineRule="exact"/>
              <w:jc w:val="center"/>
              <w:rPr>
                <w:rFonts w:hint="eastAsia" w:ascii="黑体" w:hAnsi="黑体" w:eastAsia="黑体"/>
                <w:b/>
                <w:sz w:val="44"/>
                <w:szCs w:val="44"/>
              </w:rPr>
            </w:pPr>
          </w:p>
        </w:tc>
        <w:tc>
          <w:tcPr>
            <w:tcW w:w="1293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E6E6E6"/>
            <w:vAlign w:val="center"/>
          </w:tcPr>
          <w:p w14:paraId="5831D111">
            <w:pPr>
              <w:snapToGrid w:val="0"/>
              <w:jc w:val="center"/>
              <w:rPr>
                <w:rFonts w:hint="eastAsia" w:ascii="方正仿宋_GB2312" w:hAnsi="方正仿宋_GB2312" w:eastAsia="方正仿宋_GB2312" w:cs="宋体"/>
                <w:szCs w:val="21"/>
              </w:rPr>
            </w:pP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12" w:space="0"/>
            </w:tcBorders>
            <w:shd w:val="clear" w:color="auto" w:fill="E6E6E6"/>
          </w:tcPr>
          <w:p w14:paraId="7A2523B1">
            <w:pPr>
              <w:snapToGrid w:val="0"/>
              <w:rPr>
                <w:rFonts w:hint="eastAsia" w:ascii="方正仿宋_GB2312" w:hAnsi="方正仿宋_GB2312" w:eastAsia="方正仿宋_GB2312" w:cs="宋体"/>
                <w:sz w:val="18"/>
                <w:szCs w:val="18"/>
              </w:rPr>
            </w:pPr>
          </w:p>
        </w:tc>
      </w:tr>
      <w:tr w14:paraId="5D1BB5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7" w:hRule="atLeast"/>
        </w:trPr>
        <w:tc>
          <w:tcPr>
            <w:tcW w:w="19813" w:type="dxa"/>
            <w:gridSpan w:val="4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</w:tcPr>
          <w:p w14:paraId="1FB4629E">
            <w:pPr>
              <w:spacing w:before="0" w:after="0" w:line="400" w:lineRule="exact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4、硬件选型方案分析（为什么要选这个方案并列清单总额）</w:t>
            </w:r>
          </w:p>
          <w:p w14:paraId="2E94DC45">
            <w:pPr>
              <w:spacing w:before="0" w:after="0" w:line="400" w:lineRule="exact"/>
              <w:ind w:firstLineChars="20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控制核心选用STM32F407VET6，其定时器、UART和I²C资源可覆盖双轮编码器、双ToF、BMI088、磁力计、PWM和舵机，并保证实时闭环；OpenMV H7 Plus负责采图及可选轻量预处理，ESP32-S3利用Wi-Fi、双串口和PSRAM完成图像及控制数据转发，笔记本承担计算量较大的识别、融合与规划。带霍尔编码器减速电机便于轮速闭环，85 mm轮兼顾通过性与分辨率；双ToF提供墙距和近障约束，BMI088提供高频角速度，HMC5883L只作低权重航向辅助。TB6612用于低速样机验证，带载前必须实测电机峰值电流，余量不足时更换更高电流驱动。清单：3S锂电池12V 150×1=150元，编码器电机142×2=284元，85 mm轮及联轴器98×2=196元，MG90S舵机14×3=42元，ToF 3.2×2=6.40元；MG513X电机×2、TB6612×1、STM32×1、OpenMV×1、BMI088×1、ESP32-S3×1、电源模块×1、铜柱及3D打印件按已有或自制计0元。按明细重算总额为678.40元；HMC5883L未列入材料表，需补录后更新总额。</w:t>
            </w:r>
          </w:p>
        </w:tc>
      </w:tr>
      <w:tr w14:paraId="0B1FC4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5" w:hRule="atLeast"/>
        </w:trPr>
        <w:tc>
          <w:tcPr>
            <w:tcW w:w="19813" w:type="dxa"/>
            <w:gridSpan w:val="4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</w:tcPr>
          <w:p w14:paraId="284FFC9A">
            <w:pPr>
              <w:spacing w:before="0" w:after="0" w:line="400" w:lineRule="exact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5、小车避障控制决策方案说明</w:t>
            </w:r>
          </w:p>
          <w:p w14:paraId="3C417C3B">
            <w:pPr>
              <w:spacing w:before="0" w:after="0" w:line="400" w:lineRule="exact"/>
              <w:ind w:firstLineChars="20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系统采用“立即停车—减速绕行—全局重规划”三级决策。前向ToF进入紧急距离时直接输出零速；进入预警距离时降低线速度并限制转向角速度。侧向ToF、视觉检测到的危险目标、对手机器人和未知物体写入临时障碍层，并按车体尺寸和制动余量膨胀。当前路径被占用时先停车，再在更新后的栅格地图上重新执行A*；连续规划失败时保持停车，仅在边界和后方空间确认安全后执行短距离退让或原地转向。测距无效、视觉过期、定位协方差过大或通信中断时采用保守降级，不使用不可信观测驱动车辆。</w:t>
            </w:r>
          </w:p>
        </w:tc>
      </w:tr>
      <w:tr w14:paraId="6375BF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0" w:hRule="atLeast"/>
        </w:trPr>
        <w:tc>
          <w:tcPr>
            <w:tcW w:w="19813" w:type="dxa"/>
            <w:gridSpan w:val="4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</w:tcPr>
          <w:p w14:paraId="3572BF4A">
            <w:pPr>
              <w:spacing w:before="0" w:after="0" w:line="400" w:lineRule="exact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6、小车视觉方案分析</w:t>
            </w:r>
          </w:p>
          <w:p w14:paraId="742523ED">
            <w:pPr>
              <w:spacing w:before="0" w:after="0" w:line="400" w:lineRule="exact"/>
              <w:ind w:firstLineChars="20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OpenMV H7 Plus固定视角采集JPEG图像，经UART发送至ESP32-S3，再通过Wi-Fi/TCP传给笔记本。OpenMV可试运行颜色区域、边线、角点、图像质量检查或ROI裁剪；只有在帧率、内存、丢帧和误检测试通过后才启用，否则仅负责稳定采图。笔记本使用轻量YOLO识别普通物资、核心物资、伤员、危险目标和对手机器人，并用OpenCV完成畸变校正、地面单应投影和固定场地特征提取。检测框底边中心转换为机器人坐标，再结合融合位姿得到场地坐标。视觉只辅助定位和末端对准，可移动目标不作为定位地标；帧序号、采集时间戳、CRC和应答机制用于丢弃损坏或过期图像。</w:t>
            </w:r>
          </w:p>
        </w:tc>
      </w:tr>
      <w:tr w14:paraId="7CFBFA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1" w:hRule="atLeast"/>
        </w:trPr>
        <w:tc>
          <w:tcPr>
            <w:tcW w:w="19813" w:type="dxa"/>
            <w:gridSpan w:val="4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</w:tcPr>
          <w:p w14:paraId="2D17D20E">
            <w:pPr>
              <w:spacing w:line="400" w:lineRule="exact"/>
              <w:rPr>
                <w:rFonts w:hint="eastAsia" w:ascii="方正仿宋_GB2312" w:hAnsi="方正仿宋_GB2312" w:eastAsia="方正仿宋_GB2312" w:cs="宋体"/>
                <w:b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宋体"/>
                <w:b/>
                <w:sz w:val="28"/>
                <w:szCs w:val="28"/>
              </w:rPr>
              <w:t>7、参赛人员具体分工</w:t>
            </w:r>
            <w:r>
              <w:rPr>
                <w:rFonts w:hint="eastAsia" w:ascii="方正仿宋_GB2312" w:hAnsi="方正仿宋_GB2312" w:eastAsia="方正仿宋_GB2312" w:cs="宋体"/>
                <w:color w:val="0000FF"/>
                <w:szCs w:val="21"/>
              </w:rPr>
              <w:t>（字体，宋体，五号，行距为固定值20磅，阅后删除）</w:t>
            </w:r>
          </w:p>
          <w:p w14:paraId="392C6C48">
            <w:pPr>
              <w:spacing w:line="400" w:lineRule="exact"/>
              <w:rPr>
                <w:rFonts w:hint="eastAsia" w:ascii="方正仿宋_GB2312" w:hAnsi="方正仿宋_GB2312" w:eastAsia="方正仿宋_GB2312" w:cs="宋体"/>
              </w:rPr>
            </w:pPr>
          </w:p>
        </w:tc>
      </w:tr>
      <w:tr w14:paraId="73D66A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2" w:hRule="atLeast"/>
        </w:trPr>
        <w:tc>
          <w:tcPr>
            <w:tcW w:w="19813" w:type="dxa"/>
            <w:gridSpan w:val="4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</w:tcPr>
          <w:p w14:paraId="05CA16AC">
            <w:pPr>
              <w:spacing w:before="0" w:after="0" w:line="400" w:lineRule="exact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8、关键技术及创新点</w:t>
            </w:r>
          </w:p>
          <w:p w14:paraId="7782F063">
            <w:pPr>
              <w:spacing w:before="0" w:after="0" w:line="400" w:lineRule="exact"/>
              <w:ind w:firstLineChars="20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（1）采用“编码器和惯性连续预测、双ToF墙距主约束、磁航向与固定视觉特征辅助校正”的多源定位结构，并用有效标志、磁场模长和创新量门控异常观测。（2）将实时安全控制与高层算法分层：STM32负责确定周期的采样、轮速闭环和停车保护，笔记本负责EKF、语义识别、地图和规划，ESP32只做双通道网关，降低单节点负担。（3）图像链路和运动链路相互独立，使用帧序号、CRC、时间戳、命令序号和租约看门狗，避免旧图积压、重复命令和失联后继续运动。（4）把比赛转运规则直接写入任务状态机，以收集和投放确认作为进度条件，防止“到达坐标即判成功”。（5）OpenMV轻量处理采用可测量的启用门槛，可在算力、带宽和识别稳定性之间按实测结果分配任务。（6）定位失效、路径阻塞和传感器降级均有明确停车、重规划与主动重定位接口，便于逐步扩展而不破坏基础安全链。</w:t>
            </w:r>
          </w:p>
        </w:tc>
      </w:tr>
      <w:tr w14:paraId="4FF3AE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2" w:hRule="atLeast"/>
        </w:trPr>
        <w:tc>
          <w:tcPr>
            <w:tcW w:w="19813" w:type="dxa"/>
            <w:gridSpan w:val="4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</w:tcPr>
          <w:p w14:paraId="0158E639">
            <w:pPr>
              <w:spacing w:before="0" w:after="0" w:line="400" w:lineRule="exact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9、软件及算法优化</w:t>
            </w:r>
          </w:p>
          <w:p w14:paraId="3D1CD39D">
            <w:pPr>
              <w:spacing w:before="0" w:after="0" w:line="400" w:lineRule="exact"/>
              <w:ind w:firstLineChars="20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软件按采样、通信、融合、规划和执行划分不同频率任务。STM32以固定周期读取编码器和惯性数据并执行轮速PI；ToF、磁力计和视觉按各自有效频率异步更新，笔记本依据测量时间戳对齐数据，避免用接收时刻代替采集时刻。EKF根据速度、转弯状态和传感器质量调整观测权重，对超量程、跳变、磁干扰和墙面关联不明确的数据直接拒绝。地图分为静态层与每周期重建的临时障碍层，A*复用固定栅格，仅在目标或障碍变化时重规划；纯追踪使用动态前视距离、拐点限速和左右轮共同限幅，轮速PI加入积分限幅与输出斜率限制。视觉端优先处理最新帧，使用ROI、分辨率和JPEG质量调节降低带宽与推理延迟，并以逐类准确率、召回率、端到端时延和连续帧稳定性作为上线指标。通信采用环形缓冲、分片解码、CRC、防重放序号和超时租约；离线仿真与日志回放用于复现丢帧、动态障碍和急停场景，实车参数通过轮距、编码器、相机、ToF和磁力计标定后统一配置。</w:t>
            </w:r>
          </w:p>
        </w:tc>
      </w:tr>
    </w:tbl>
    <w:p w14:paraId="10744953">
      <w:pPr>
        <w:rPr>
          <w:rFonts w:hint="eastAsia"/>
        </w:rPr>
      </w:pPr>
    </w:p>
    <w:p w14:paraId="517E00B7">
      <w:pPr>
        <w:rPr>
          <w:rFonts w:hint="eastAsia"/>
        </w:rPr>
      </w:pPr>
    </w:p>
    <w:p w14:paraId="29F17669">
      <w:pPr>
        <w:rPr>
          <w:rFonts w:hint="eastAsia"/>
        </w:rPr>
      </w:pPr>
    </w:p>
    <w:p w14:paraId="700249D5">
      <w:pPr>
        <w:rPr>
          <w:rFonts w:hint="eastAsia"/>
        </w:rPr>
      </w:pPr>
    </w:p>
    <w:p w14:paraId="5F243052">
      <w:pPr>
        <w:rPr>
          <w:rFonts w:hint="eastAsia"/>
        </w:rPr>
      </w:pPr>
    </w:p>
    <w:p w14:paraId="328C59F8">
      <w:pPr>
        <w:rPr>
          <w:rFonts w:hint="eastAsia"/>
        </w:rPr>
      </w:pPr>
    </w:p>
    <w:p w14:paraId="633C6B6A">
      <w:pPr>
        <w:rPr>
          <w:rFonts w:hint="eastAsia"/>
        </w:rPr>
      </w:pPr>
    </w:p>
    <w:p w14:paraId="5F52AE50">
      <w:pPr>
        <w:rPr>
          <w:rFonts w:hint="eastAsia"/>
        </w:rPr>
      </w:pPr>
    </w:p>
    <w:p w14:paraId="2CF11A65">
      <w:pPr>
        <w:rPr>
          <w:rFonts w:hint="eastAsia"/>
        </w:rPr>
      </w:pPr>
    </w:p>
    <w:p w14:paraId="241E662B">
      <w:pPr>
        <w:rPr>
          <w:rFonts w:hint="eastAsia"/>
        </w:rPr>
      </w:pPr>
    </w:p>
    <w:p w14:paraId="7FF55565">
      <w:pPr>
        <w:rPr>
          <w:rFonts w:hint="eastAsia"/>
        </w:rPr>
      </w:pPr>
    </w:p>
    <w:p w14:paraId="02923A6D">
      <w:pPr>
        <w:rPr>
          <w:rFonts w:hint="eastAsia"/>
        </w:rPr>
      </w:pPr>
    </w:p>
    <w:p w14:paraId="1D4A9622">
      <w:pPr>
        <w:rPr>
          <w:rFonts w:hint="eastAsia"/>
        </w:rPr>
      </w:pPr>
    </w:p>
    <w:p w14:paraId="1FED11AB">
      <w:pPr>
        <w:rPr>
          <w:rFonts w:hint="eastAsia"/>
        </w:rPr>
      </w:pPr>
    </w:p>
    <w:p w14:paraId="31DE2D50"/>
    <w:p w14:paraId="4906BC14"/>
    <w:p w14:paraId="25430238"/>
    <w:p w14:paraId="68FAF01F"/>
    <w:p w14:paraId="4959DFA1"/>
    <w:p w14:paraId="7653B417"/>
    <w:p w14:paraId="2E2DFFE4"/>
    <w:p w14:paraId="2DE8F78B"/>
    <w:p w14:paraId="21BC0DEB"/>
    <w:p w14:paraId="757F7CD1"/>
    <w:p w14:paraId="0FB27622"/>
    <w:p w14:paraId="7F27DE63"/>
    <w:p w14:paraId="728BEBA5"/>
    <w:p w14:paraId="7110DE6C"/>
    <w:p w14:paraId="2DF8BEB9"/>
    <w:p w14:paraId="56D2F565"/>
    <w:p w14:paraId="75300B47"/>
    <w:p w14:paraId="4EE5026D"/>
    <w:p w14:paraId="46869210"/>
    <w:p w14:paraId="6AC56A6E"/>
    <w:p w14:paraId="02728DB1"/>
    <w:p w14:paraId="7543922A"/>
    <w:p w14:paraId="3F6FF188"/>
    <w:p w14:paraId="54F8AF5A"/>
    <w:p w14:paraId="3EFA949C"/>
    <w:p w14:paraId="2A5EF874">
      <w:pPr>
        <w:rPr>
          <w:rFonts w:hint="eastAsia"/>
        </w:rPr>
      </w:pPr>
    </w:p>
    <w:p w14:paraId="7480FB0F">
      <w:pPr>
        <w:rPr>
          <w:rFonts w:hint="eastAsia"/>
        </w:rPr>
      </w:pPr>
    </w:p>
    <w:p w14:paraId="024A05C4">
      <w:pPr>
        <w:rPr>
          <w:rFonts w:hint="eastAsia"/>
        </w:rPr>
      </w:pPr>
    </w:p>
    <w:p w14:paraId="37EA92FF">
      <w:pPr>
        <w:rPr>
          <w:rFonts w:hint="eastAsia"/>
        </w:rPr>
      </w:pPr>
    </w:p>
    <w:p w14:paraId="1CF0EAC6">
      <w:pPr>
        <w:rPr>
          <w:rFonts w:hint="eastAsia"/>
        </w:rPr>
      </w:pPr>
    </w:p>
    <w:p w14:paraId="2A461E6A">
      <w:pPr>
        <w:rPr>
          <w:rFonts w:hint="eastAsia"/>
        </w:rPr>
      </w:pPr>
    </w:p>
    <w:p w14:paraId="4536A6AE">
      <w:pPr>
        <w:rPr>
          <w:rFonts w:hint="eastAsia"/>
        </w:rPr>
      </w:pPr>
    </w:p>
    <w:p w14:paraId="529D5BE4">
      <w:pPr>
        <w:rPr>
          <w:rFonts w:hint="eastAsia"/>
        </w:rPr>
      </w:pPr>
    </w:p>
    <w:tbl>
      <w:tblPr>
        <w:tblStyle w:val="7"/>
        <w:tblpPr w:leftFromText="180" w:rightFromText="180" w:vertAnchor="text" w:horzAnchor="page" w:tblpX="2248" w:tblpY="158"/>
        <w:tblW w:w="20369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8"/>
        <w:gridCol w:w="4474"/>
        <w:gridCol w:w="1250"/>
        <w:gridCol w:w="1757"/>
      </w:tblGrid>
      <w:tr w14:paraId="5E7CD4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27" w:hRule="atLeast"/>
        </w:trPr>
        <w:tc>
          <w:tcPr>
            <w:tcW w:w="20369" w:type="dxa"/>
            <w:gridSpan w:val="4"/>
            <w:tcBorders>
              <w:top w:val="single" w:color="000000" w:sz="12" w:space="0"/>
              <w:left w:val="single" w:color="000000" w:sz="12" w:space="0"/>
              <w:right w:val="single" w:color="000000" w:sz="12" w:space="0"/>
            </w:tcBorders>
            <w:vAlign w:val="center"/>
          </w:tcPr>
          <w:p w14:paraId="350C8F01">
            <w:pPr>
              <w:tabs>
                <w:tab w:val="left" w:pos="1121"/>
              </w:tabs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cs="宋体"/>
              </w:rPr>
              <w:tab/>
            </w:r>
            <w:r>
              <w:rPr>
                <w:rFonts w:hint="eastAsia" w:ascii="宋体" w:hAnsi="宋体" w:cs="宋体"/>
                <w:color w:val="0000FF"/>
                <w:sz w:val="52"/>
                <w:szCs w:val="52"/>
              </w:rPr>
              <w:t>装配图（三维图：分解底盘+转运机构+视觉机构）</w:t>
            </w:r>
          </w:p>
        </w:tc>
      </w:tr>
      <w:tr w14:paraId="055FE2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12888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A3C44F3">
            <w:pPr>
              <w:snapToGrid w:val="0"/>
              <w:rPr>
                <w:rFonts w:hint="eastAsia" w:ascii="宋体" w:hAnsi="宋体" w:cs="宋体"/>
              </w:rPr>
            </w:pPr>
          </w:p>
        </w:tc>
        <w:tc>
          <w:tcPr>
            <w:tcW w:w="4474" w:type="dxa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8" w:space="0"/>
            </w:tcBorders>
            <w:vAlign w:val="center"/>
          </w:tcPr>
          <w:p w14:paraId="527045FA">
            <w:pPr>
              <w:jc w:val="center"/>
              <w:rPr>
                <w:rFonts w:hint="eastAsia" w:ascii="方正仿宋_GB2312" w:hAnsi="方正仿宋_GB2312" w:eastAsia="方正仿宋_GB2312" w:cs="宋体"/>
                <w:color w:val="0000FF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宋体"/>
                <w:sz w:val="28"/>
                <w:szCs w:val="28"/>
              </w:rPr>
              <w:t>小车装配图（三维图）</w:t>
            </w:r>
          </w:p>
        </w:tc>
        <w:tc>
          <w:tcPr>
            <w:tcW w:w="1250" w:type="dxa"/>
            <w:tcBorders>
              <w:top w:val="single" w:color="000000" w:sz="12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vAlign w:val="center"/>
          </w:tcPr>
          <w:p w14:paraId="736178EA">
            <w:pPr>
              <w:jc w:val="center"/>
              <w:rPr>
                <w:rFonts w:hint="eastAsia" w:ascii="方正仿宋_GB2312" w:hAnsi="方正仿宋_GB2312" w:eastAsia="方正仿宋_GB2312" w:cs="宋体"/>
              </w:rPr>
            </w:pPr>
            <w:r>
              <w:rPr>
                <w:rFonts w:hint="eastAsia" w:ascii="方正仿宋_GB2312" w:hAnsi="方正仿宋_GB2312" w:eastAsia="方正仿宋_GB2312" w:cs="宋体"/>
              </w:rPr>
              <w:t>比  例</w:t>
            </w:r>
          </w:p>
        </w:tc>
        <w:tc>
          <w:tcPr>
            <w:tcW w:w="1757" w:type="dxa"/>
            <w:tcBorders>
              <w:top w:val="single" w:color="000000" w:sz="12" w:space="0"/>
              <w:left w:val="single" w:color="000000" w:sz="8" w:space="0"/>
              <w:bottom w:val="single" w:color="000000" w:sz="6" w:space="0"/>
              <w:right w:val="single" w:color="000000" w:sz="12" w:space="0"/>
            </w:tcBorders>
            <w:vAlign w:val="center"/>
          </w:tcPr>
          <w:p w14:paraId="5AB17A12">
            <w:pPr>
              <w:snapToGrid w:val="0"/>
              <w:jc w:val="center"/>
              <w:rPr>
                <w:rFonts w:hint="eastAsia" w:ascii="方正仿宋_GB2312" w:hAnsi="方正仿宋_GB2312" w:eastAsia="方正仿宋_GB2312" w:cs="宋体"/>
              </w:rPr>
            </w:pPr>
          </w:p>
        </w:tc>
      </w:tr>
      <w:tr w14:paraId="3C3F0A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2888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3C06503B">
            <w:pPr>
              <w:snapToGrid w:val="0"/>
              <w:rPr>
                <w:rFonts w:hint="eastAsia" w:ascii="宋体" w:hAnsi="宋体" w:cs="宋体"/>
              </w:rPr>
            </w:pPr>
          </w:p>
        </w:tc>
        <w:tc>
          <w:tcPr>
            <w:tcW w:w="4474" w:type="dxa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  <w:vAlign w:val="center"/>
          </w:tcPr>
          <w:p w14:paraId="32D1870B">
            <w:pPr>
              <w:jc w:val="center"/>
              <w:rPr>
                <w:rFonts w:hint="eastAsia" w:ascii="华文行楷" w:hAnsi="华文行楷" w:eastAsia="华文行楷" w:cs="宋体"/>
                <w:szCs w:val="21"/>
              </w:rPr>
            </w:pPr>
            <w:r>
              <w:rPr>
                <w:rFonts w:hint="eastAsia" w:ascii="华文行楷" w:hAnsi="华文行楷" w:eastAsia="华文行楷"/>
                <w:szCs w:val="21"/>
              </w:rPr>
              <w:t>第十届中国大学生工程实践创新能力竞赛</w:t>
            </w:r>
          </w:p>
        </w:tc>
        <w:tc>
          <w:tcPr>
            <w:tcW w:w="1250" w:type="dxa"/>
            <w:tcBorders>
              <w:top w:val="single" w:color="000000" w:sz="6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  <w:vAlign w:val="center"/>
          </w:tcPr>
          <w:p w14:paraId="191A6ED1">
            <w:pPr>
              <w:jc w:val="center"/>
              <w:rPr>
                <w:rFonts w:hint="eastAsia" w:ascii="方正仿宋_GB2312" w:hAnsi="方正仿宋_GB2312" w:eastAsia="方正仿宋_GB2312" w:cs="宋体"/>
              </w:rPr>
            </w:pPr>
            <w:r>
              <w:rPr>
                <w:rFonts w:hint="eastAsia" w:ascii="方正仿宋_GB2312" w:hAnsi="方正仿宋_GB2312" w:eastAsia="方正仿宋_GB2312" w:cs="宋体"/>
              </w:rPr>
              <w:t>共   页</w:t>
            </w:r>
          </w:p>
        </w:tc>
        <w:tc>
          <w:tcPr>
            <w:tcW w:w="1757" w:type="dxa"/>
            <w:tcBorders>
              <w:top w:val="single" w:color="000000" w:sz="6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4ED85F45">
            <w:pPr>
              <w:jc w:val="center"/>
              <w:rPr>
                <w:rFonts w:hint="eastAsia" w:ascii="方正仿宋_GB2312" w:hAnsi="方正仿宋_GB2312" w:eastAsia="方正仿宋_GB2312" w:cs="宋体"/>
              </w:rPr>
            </w:pPr>
            <w:r>
              <w:rPr>
                <w:rFonts w:hint="eastAsia" w:ascii="方正仿宋_GB2312" w:hAnsi="方正仿宋_GB2312" w:eastAsia="方正仿宋_GB2312" w:cs="宋体"/>
              </w:rPr>
              <w:t>第 2 页</w:t>
            </w:r>
          </w:p>
        </w:tc>
      </w:tr>
    </w:tbl>
    <w:p w14:paraId="40F1DEE1">
      <w:pPr>
        <w:rPr>
          <w:rFonts w:hint="eastAsia"/>
        </w:rPr>
      </w:pPr>
    </w:p>
    <w:p w14:paraId="32E5EF9A">
      <w:pPr>
        <w:rPr>
          <w:rFonts w:hint="eastAsia"/>
        </w:rPr>
      </w:pPr>
    </w:p>
    <w:p w14:paraId="7C708153">
      <w:pPr>
        <w:rPr>
          <w:rFonts w:hint="eastAsia"/>
        </w:rPr>
      </w:pPr>
    </w:p>
    <w:p w14:paraId="67EBEF13">
      <w:pPr>
        <w:rPr>
          <w:rFonts w:hint="eastAsia"/>
        </w:rPr>
      </w:pPr>
    </w:p>
    <w:p w14:paraId="7A5CBD87">
      <w:pPr>
        <w:rPr>
          <w:rFonts w:hint="eastAsia"/>
        </w:rPr>
      </w:pPr>
    </w:p>
    <w:p w14:paraId="79957223">
      <w:pPr>
        <w:rPr>
          <w:rFonts w:hint="eastAsia"/>
        </w:rPr>
      </w:pPr>
    </w:p>
    <w:p w14:paraId="6268730B">
      <w:pPr>
        <w:rPr>
          <w:rFonts w:hint="eastAsia"/>
        </w:rPr>
      </w:pPr>
    </w:p>
    <w:p w14:paraId="63374C31">
      <w:pPr>
        <w:rPr>
          <w:rFonts w:hint="eastAsia"/>
        </w:rPr>
      </w:pPr>
    </w:p>
    <w:p w14:paraId="0DC99AC5">
      <w:pPr>
        <w:rPr>
          <w:rFonts w:hint="eastAsia"/>
        </w:rPr>
      </w:pPr>
    </w:p>
    <w:p w14:paraId="56453D4D">
      <w:pPr>
        <w:rPr>
          <w:rFonts w:hint="eastAsia"/>
        </w:rPr>
      </w:pPr>
    </w:p>
    <w:p w14:paraId="4D2882C0">
      <w:pPr>
        <w:rPr>
          <w:rFonts w:hint="eastAsia"/>
        </w:rPr>
      </w:pPr>
    </w:p>
    <w:p w14:paraId="612CD80B">
      <w:pPr>
        <w:rPr>
          <w:rFonts w:hint="eastAsia"/>
        </w:rPr>
      </w:pPr>
    </w:p>
    <w:p w14:paraId="68613B24">
      <w:pPr>
        <w:rPr>
          <w:rFonts w:hint="eastAsia"/>
        </w:rPr>
      </w:pPr>
    </w:p>
    <w:p w14:paraId="218617DF">
      <w:pPr>
        <w:rPr>
          <w:rFonts w:hint="eastAsia"/>
        </w:rPr>
      </w:pPr>
    </w:p>
    <w:p w14:paraId="3A8951ED">
      <w:pPr>
        <w:rPr>
          <w:rFonts w:hint="eastAsia"/>
        </w:rPr>
      </w:pPr>
    </w:p>
    <w:p w14:paraId="435F7043">
      <w:pPr>
        <w:rPr>
          <w:rFonts w:hint="eastAsia"/>
        </w:rPr>
      </w:pPr>
    </w:p>
    <w:p w14:paraId="4C6BFEED">
      <w:pPr>
        <w:rPr>
          <w:rFonts w:hint="eastAsia"/>
        </w:rPr>
      </w:pPr>
    </w:p>
    <w:p w14:paraId="1D6B79F4">
      <w:pPr>
        <w:rPr>
          <w:rFonts w:hint="eastAsia"/>
        </w:rPr>
      </w:pPr>
    </w:p>
    <w:p w14:paraId="4E7A7DA7">
      <w:pPr>
        <w:rPr>
          <w:rFonts w:hint="eastAsia"/>
        </w:rPr>
      </w:pPr>
    </w:p>
    <w:p w14:paraId="3F42690B">
      <w:pPr>
        <w:rPr>
          <w:rFonts w:hint="eastAsia"/>
        </w:rPr>
      </w:pPr>
    </w:p>
    <w:p w14:paraId="33F6F54F">
      <w:pPr>
        <w:rPr>
          <w:rFonts w:hint="eastAsia"/>
        </w:rPr>
      </w:pPr>
    </w:p>
    <w:p w14:paraId="74FE5275">
      <w:pPr>
        <w:rPr>
          <w:rFonts w:hint="eastAsia"/>
        </w:rPr>
      </w:pPr>
    </w:p>
    <w:p w14:paraId="6531AA45">
      <w:pPr>
        <w:rPr>
          <w:rFonts w:hint="eastAsia"/>
        </w:rPr>
      </w:pPr>
    </w:p>
    <w:p w14:paraId="3B6DAFC5">
      <w:pPr>
        <w:rPr>
          <w:rFonts w:hint="eastAsia"/>
        </w:rPr>
      </w:pPr>
    </w:p>
    <w:p w14:paraId="4B2BB34D">
      <w:pPr>
        <w:rPr>
          <w:rFonts w:hint="eastAsia"/>
        </w:rPr>
      </w:pPr>
    </w:p>
    <w:p w14:paraId="55EF73D1">
      <w:pPr>
        <w:rPr>
          <w:rFonts w:hint="eastAsia"/>
        </w:rPr>
      </w:pPr>
    </w:p>
    <w:p w14:paraId="193F7B07">
      <w:pPr>
        <w:rPr>
          <w:rFonts w:hint="eastAsia"/>
        </w:rPr>
      </w:pPr>
    </w:p>
    <w:p w14:paraId="65619C1E">
      <w:pPr>
        <w:rPr>
          <w:rFonts w:hint="eastAsia"/>
        </w:rPr>
      </w:pPr>
    </w:p>
    <w:p w14:paraId="3202C667">
      <w:pPr>
        <w:rPr>
          <w:rFonts w:hint="eastAsia"/>
        </w:rPr>
      </w:pPr>
    </w:p>
    <w:p w14:paraId="300400E4">
      <w:pPr>
        <w:rPr>
          <w:rFonts w:hint="eastAsia"/>
        </w:rPr>
      </w:pPr>
    </w:p>
    <w:p w14:paraId="7852F268">
      <w:pPr>
        <w:rPr>
          <w:rFonts w:hint="eastAsia"/>
        </w:rPr>
      </w:pPr>
    </w:p>
    <w:p w14:paraId="791BB9B6">
      <w:pPr>
        <w:rPr>
          <w:rFonts w:hint="eastAsia"/>
        </w:rPr>
      </w:pPr>
    </w:p>
    <w:p w14:paraId="1CDD05E8">
      <w:pPr>
        <w:rPr>
          <w:rFonts w:hint="eastAsia"/>
        </w:rPr>
      </w:pPr>
    </w:p>
    <w:p w14:paraId="625A683E">
      <w:pPr>
        <w:rPr>
          <w:rFonts w:hint="eastAsia"/>
        </w:rPr>
      </w:pPr>
    </w:p>
    <w:p w14:paraId="6381B597">
      <w:pPr>
        <w:rPr>
          <w:rFonts w:hint="eastAsia"/>
        </w:rPr>
      </w:pPr>
    </w:p>
    <w:p w14:paraId="3891B1D1">
      <w:pPr>
        <w:rPr>
          <w:rFonts w:hint="eastAsia"/>
        </w:rPr>
      </w:pPr>
    </w:p>
    <w:p w14:paraId="76F6FEDC">
      <w:pPr>
        <w:rPr>
          <w:rFonts w:hint="eastAsia"/>
        </w:rPr>
      </w:pPr>
    </w:p>
    <w:p w14:paraId="44CDFA43">
      <w:pPr>
        <w:rPr>
          <w:rFonts w:hint="eastAsia"/>
        </w:rPr>
      </w:pPr>
    </w:p>
    <w:p w14:paraId="31CD8B84">
      <w:pPr>
        <w:rPr>
          <w:rFonts w:hint="eastAsia"/>
        </w:rPr>
      </w:pPr>
    </w:p>
    <w:p w14:paraId="1D09EBE3">
      <w:pPr>
        <w:rPr>
          <w:rFonts w:hint="eastAsia"/>
        </w:rPr>
      </w:pPr>
    </w:p>
    <w:p w14:paraId="0B9EDA68">
      <w:pPr>
        <w:rPr>
          <w:rFonts w:hint="eastAsia"/>
        </w:rPr>
      </w:pPr>
    </w:p>
    <w:p w14:paraId="3A81E9A3">
      <w:pPr>
        <w:rPr>
          <w:rFonts w:hint="eastAsia"/>
        </w:rPr>
      </w:pPr>
    </w:p>
    <w:p w14:paraId="750FE390">
      <w:pPr>
        <w:rPr>
          <w:rFonts w:hint="eastAsia"/>
        </w:rPr>
      </w:pPr>
    </w:p>
    <w:p w14:paraId="564887BC">
      <w:pPr>
        <w:rPr>
          <w:rFonts w:hint="eastAsia"/>
        </w:rPr>
      </w:pPr>
    </w:p>
    <w:p w14:paraId="545FF36F">
      <w:pPr>
        <w:rPr>
          <w:rFonts w:hint="eastAsia"/>
        </w:rPr>
      </w:pPr>
    </w:p>
    <w:p w14:paraId="6153BED5">
      <w:pPr>
        <w:rPr>
          <w:rFonts w:hint="eastAsia"/>
        </w:rPr>
      </w:pPr>
    </w:p>
    <w:p w14:paraId="709A5F99">
      <w:pPr>
        <w:rPr>
          <w:rFonts w:hint="eastAsia"/>
        </w:rPr>
      </w:pPr>
    </w:p>
    <w:p w14:paraId="47F2E8AB">
      <w:pPr>
        <w:rPr>
          <w:rFonts w:hint="eastAsia"/>
        </w:rPr>
      </w:pPr>
    </w:p>
    <w:sectPr>
      <w:footerReference r:id="rId3" w:type="default"/>
      <w:pgSz w:w="23811" w:h="16838" w:orient="landscape"/>
      <w:pgMar w:top="777" w:right="567" w:bottom="936" w:left="340" w:header="0" w:footer="851" w:gutter="0"/>
      <w:pgNumType w:fmt="decimal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BD093D82-E9C8-4F7A-811F-98B6B84824CA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  <w:embedRegular r:id="rId2" w:fontKey="{538E8ED9-E07D-417B-9D52-DCB8E5FFEC1C}"/>
  </w:font>
  <w:font w:name="Liberation Serif">
    <w:panose1 w:val="02020603050405020304"/>
    <w:charset w:val="01"/>
    <w:family w:val="roman"/>
    <w:pitch w:val="default"/>
    <w:sig w:usb0="E0000AFF" w:usb1="500078FF" w:usb2="00000021" w:usb3="00000000" w:csb0="600001BF" w:csb1="DFF70000"/>
    <w:embedRegular r:id="rId3" w:fontKey="{FB600CA9-A60F-4B2B-8883-E971721C9DA7}"/>
  </w:font>
  <w:font w:name="Noto Serif SC">
    <w:panose1 w:val="02020200000000000000"/>
    <w:charset w:val="86"/>
    <w:family w:val="auto"/>
    <w:pitch w:val="default"/>
    <w:sig w:usb0="20000083" w:usb1="2ADF3C10" w:usb2="00000016" w:usb3="00000000" w:csb0="60060107" w:csb1="00000000"/>
    <w:embedRegular r:id="rId4" w:fontKey="{E9DC1ED2-12BE-43DC-9CD3-5EDCFCB2CEE4}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  <w:embedRegular r:id="rId5" w:fontKey="{A34C1356-8279-48EA-A288-41A0BDDD229D}"/>
  </w:font>
  <w:font w:name="仿宋_GB2312;仿宋">
    <w:altName w:val="仿宋_GB2312;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6" w:fontKey="{590B975E-9B3D-4F97-A867-EAB7D97809F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333259">
    <w:pPr>
      <w:pStyle w:val="4"/>
      <w:ind w:right="360"/>
      <w:rPr>
        <w:rFonts w:hint="eastAsia"/>
      </w:rPr>
    </w:pPr>
    <w:r>
      <w:rPr>
        <w:rFonts w:hint="eastAsia"/>
      </w:rPr>
      <w:t xml:space="preserve">              </w:t>
    </w:r>
    <w:r>
      <mc:AlternateContent>
        <mc:Choice Requires="wps">
          <w:drawing>
            <wp:anchor distT="0" distB="0" distL="0" distR="0" simplePos="0" relativeHeight="251659264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7785" cy="131445"/>
              <wp:effectExtent l="0" t="0" r="0" b="0"/>
              <wp:wrapSquare wrapText="bothSides"/>
              <wp:docPr id="1" name="框架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3045F99A">
                          <w:pPr>
                            <w:pStyle w:val="4"/>
                            <w:ind w:left="0" w:leftChars="0" w:right="0" w:rightChars="0" w:firstLineChars="1250"/>
                            <w:rPr>
                              <w:rStyle w:val="9"/>
                            </w:rPr>
                          </w:pPr>
                          <w:r>
                            <w:rPr>
                              <w:rStyle w:val="9"/>
                            </w:rPr>
                            <w:fldChar w:fldCharType="begin"/>
                          </w:r>
                          <w:r>
                            <w:rPr>
                              <w:rStyle w:val="9"/>
                            </w:rPr>
                            <w:instrText xml:space="preserve"> PAGE </w:instrText>
                          </w:r>
                          <w:r>
                            <w:rPr>
                              <w:rStyle w:val="9"/>
                            </w:rPr>
                            <w:fldChar w:fldCharType="separate"/>
                          </w:r>
                          <w:r>
                            <w:rPr>
                              <w:rStyle w:val="9"/>
                            </w:rPr>
                            <w:t>5</w:t>
                          </w:r>
                          <w:r>
                            <w:rPr>
                              <w:rStyle w:val="9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框架3" o:spid="_x0000_s1026" o:spt="202" type="#_x0000_t202" style="position:absolute;left:0pt;margin-top:0.05pt;height:10.35pt;width:4.55pt;mso-position-horizontal:center;mso-position-horizontal-relative:margin;mso-wrap-distance-bottom:0pt;mso-wrap-distance-left:0pt;mso-wrap-distance-right:0pt;mso-wrap-distance-top:0pt;z-index:251659264;mso-width-relative:page;mso-height-relative:page;" fillcolor="#FFFFFF" filled="t" stroked="f" coordsize="21600,21600" o:allowincell="f" o:gfxdata="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C+/ICzRAAAAAgEAAA8AAAAAAAAAAQAgAAAAIgAA&#10;AGRycy9kb3ducmV2LnhtbFBLAQIUABQAAAAIAIdO4kCPqgfu1gEAALMDAAAOAAAAAAAAAAEAIAAA&#10;ACABAABkcnMvZTJvRG9jLnhtbFBLBQYAAAAABgAGAFkBAABoBQAA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3045F99A">
                    <w:pPr>
                      <w:pStyle w:val="4"/>
                      <w:ind w:left="0" w:leftChars="0" w:right="0" w:rightChars="0" w:firstLineChars="1250"/>
                      <w:rPr>
                        <w:rStyle w:val="9"/>
                      </w:rPr>
                    </w:pPr>
                    <w:r>
                      <w:rPr>
                        <w:rStyle w:val="9"/>
                      </w:rPr>
                      <w:fldChar w:fldCharType="begin"/>
                    </w:r>
                    <w:r>
                      <w:rPr>
                        <w:rStyle w:val="9"/>
                      </w:rPr>
                      <w:instrText xml:space="preserve"> PAGE </w:instrText>
                    </w:r>
                    <w:r>
                      <w:rPr>
                        <w:rStyle w:val="9"/>
                      </w:rPr>
                      <w:fldChar w:fldCharType="separate"/>
                    </w:r>
                    <w:r>
                      <w:rPr>
                        <w:rStyle w:val="9"/>
                      </w:rPr>
                      <w:t>5</w:t>
                    </w:r>
                    <w:r>
                      <w:rPr>
                        <w:rStyle w:val="9"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autoHyphenation/>
  <w:hyphenationZone w:val="0"/>
  <w:compat>
    <w:doNotExpandShiftReturn/>
    <w:adjustLineHeightInTable/>
    <w:useFELayout/>
    <w:compatSetting w:name="compatibilityMode" w:uri="http://schemas.microsoft.com/office/word" w:val="11"/>
  </w:compat>
  <w:rsids>
    <w:rsidRoot w:val="00000000"/>
    <w:rsid w:val="1FB967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SC" w:cs="Lucida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3">
    <w:name w:val="Body Text"/>
    <w:basedOn w:val="1"/>
    <w:qFormat/>
    <w:uiPriority w:val="0"/>
    <w:pPr>
      <w:spacing w:before="0" w:after="140" w:line="276" w:lineRule="auto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"/>
    <w:basedOn w:val="3"/>
    <w:qFormat/>
    <w:uiPriority w:val="0"/>
    <w:rPr>
      <w:rFonts w:cs="Lucida Sans"/>
    </w:rPr>
  </w:style>
  <w:style w:type="character" w:styleId="9">
    <w:name w:val="page number"/>
    <w:basedOn w:val="10"/>
    <w:qFormat/>
    <w:uiPriority w:val="0"/>
  </w:style>
  <w:style w:type="character" w:customStyle="1" w:styleId="10">
    <w:name w:val="默认段落字体1"/>
    <w:qFormat/>
    <w:uiPriority w:val="0"/>
  </w:style>
  <w:style w:type="paragraph" w:customStyle="1" w:styleId="11">
    <w:name w:val="标题样式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customStyle="1" w:styleId="12">
    <w:name w:val="索引"/>
    <w:basedOn w:val="1"/>
    <w:qFormat/>
    <w:uiPriority w:val="0"/>
    <w:pPr>
      <w:suppressLineNumbers/>
    </w:pPr>
    <w:rPr>
      <w:rFonts w:cs="Lucida Sans"/>
    </w:rPr>
  </w:style>
  <w:style w:type="paragraph" w:customStyle="1" w:styleId="13">
    <w:name w:val="页眉与页脚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14">
    <w:name w:val="框架内容"/>
    <w:basedOn w:val="1"/>
    <w:qFormat/>
    <w:uiPriority w:val="0"/>
  </w:style>
  <w:style w:type="paragraph" w:customStyle="1" w:styleId="15">
    <w:name w:val="表格内容"/>
    <w:basedOn w:val="1"/>
    <w:qFormat/>
    <w:uiPriority w:val="0"/>
    <w:pPr>
      <w:widowControl w:val="0"/>
      <w:suppressLineNumbers/>
    </w:pPr>
  </w:style>
  <w:style w:type="paragraph" w:customStyle="1" w:styleId="16">
    <w:name w:val="表格标题"/>
    <w:basedOn w:val="15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4</Pages>
  <Words>2603</Words>
  <Characters>2955</Characters>
  <TotalTime>13233</TotalTime>
  <ScaleCrop>false</ScaleCrop>
  <LinksUpToDate>false</LinksUpToDate>
  <CharactersWithSpaces>2991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2016-06-16T17:38:00Z</dcterms:created>
  <dc:creator>唐</dc:creator>
  <cp:lastModifiedBy>蔡琪</cp:lastModifiedBy>
  <cp:lastPrinted>2009-09-22T15:02:00Z</cp:lastPrinted>
  <dcterms:modified xsi:type="dcterms:W3CDTF">2026-09-28T05:37:19Z</dcterms:modified>
  <dc:title>全国大学生工程训练综合能力竞赛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269E092064804465981D293AAC2E5305_13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eyJoZGlkIjoiN2E0MGY2NDE1OTlkNTRiMzMzNzFiMjFhMmIxZGI2NzUiLCJ1c2VySWQiOiIxNjg4NDQ4NzQ4In0=</vt:lpwstr>
  </property>
</Properties>
</file>