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3"/>
        <w:gridCol w:w="7923"/>
      </w:tblGrid>
      <w:tr w:rsidR="002A5D8B" w:rsidRPr="001C4495" w14:paraId="4FE7C0E6" w14:textId="77777777" w:rsidTr="001C4495">
        <w:tc>
          <w:tcPr>
            <w:tcW w:w="2689" w:type="dxa"/>
          </w:tcPr>
          <w:p w14:paraId="1E6B9586" w14:textId="1A43C742" w:rsidR="002A5D8B" w:rsidRPr="001C4495" w:rsidRDefault="002A5D8B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t xml:space="preserve">What is </w:t>
            </w:r>
            <w:r w:rsidRPr="001C4495">
              <w:rPr>
                <w:sz w:val="20"/>
                <w:szCs w:val="20"/>
              </w:rPr>
              <w:t>SFDR Article classification</w:t>
            </w:r>
          </w:p>
        </w:tc>
        <w:tc>
          <w:tcPr>
            <w:tcW w:w="6327" w:type="dxa"/>
          </w:tcPr>
          <w:p w14:paraId="2398B336" w14:textId="77777777" w:rsidR="002A5D8B" w:rsidRPr="001C4495" w:rsidRDefault="002A5D8B" w:rsidP="002A5D8B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t>1. Article 6: The "Neutral" Category</w:t>
            </w:r>
          </w:p>
          <w:p w14:paraId="341FDE02" w14:textId="77777777" w:rsidR="002A5D8B" w:rsidRPr="001C4495" w:rsidRDefault="002A5D8B" w:rsidP="002A5D8B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t>Definition: Funds that do not have a specific sustainability objective.</w:t>
            </w:r>
          </w:p>
          <w:p w14:paraId="4594BFD4" w14:textId="77777777" w:rsidR="002A5D8B" w:rsidRPr="001C4495" w:rsidRDefault="002A5D8B" w:rsidP="002A5D8B">
            <w:pPr>
              <w:rPr>
                <w:sz w:val="20"/>
                <w:szCs w:val="20"/>
              </w:rPr>
            </w:pPr>
          </w:p>
          <w:p w14:paraId="768FFE54" w14:textId="77777777" w:rsidR="002A5D8B" w:rsidRPr="001C4495" w:rsidRDefault="002A5D8B" w:rsidP="002A5D8B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t>The Focus: Sustainability Risks.</w:t>
            </w:r>
          </w:p>
          <w:p w14:paraId="0D1CE650" w14:textId="77777777" w:rsidR="002A5D8B" w:rsidRPr="001C4495" w:rsidRDefault="002A5D8B" w:rsidP="002A5D8B">
            <w:pPr>
              <w:rPr>
                <w:sz w:val="20"/>
                <w:szCs w:val="20"/>
              </w:rPr>
            </w:pPr>
          </w:p>
          <w:p w14:paraId="28BC400A" w14:textId="77777777" w:rsidR="002A5D8B" w:rsidRPr="001C4495" w:rsidRDefault="002A5D8B" w:rsidP="002A5D8B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t xml:space="preserve">Requirements: Even if a fund doesn't claim to be "green," it must disclose how it handles sustainability risks (like climate change or </w:t>
            </w:r>
            <w:proofErr w:type="spellStart"/>
            <w:r w:rsidRPr="001C4495">
              <w:rPr>
                <w:sz w:val="20"/>
                <w:szCs w:val="20"/>
              </w:rPr>
              <w:t>labor</w:t>
            </w:r>
            <w:proofErr w:type="spellEnd"/>
            <w:r w:rsidRPr="001C4495">
              <w:rPr>
                <w:sz w:val="20"/>
                <w:szCs w:val="20"/>
              </w:rPr>
              <w:t xml:space="preserve"> strikes) that could hurt the fund's financial performance.</w:t>
            </w:r>
          </w:p>
          <w:p w14:paraId="58F18338" w14:textId="77777777" w:rsidR="002A5D8B" w:rsidRPr="001C4495" w:rsidRDefault="002A5D8B" w:rsidP="002A5D8B">
            <w:pPr>
              <w:rPr>
                <w:sz w:val="20"/>
                <w:szCs w:val="20"/>
              </w:rPr>
            </w:pPr>
          </w:p>
          <w:p w14:paraId="4443CF0A" w14:textId="77777777" w:rsidR="002A5D8B" w:rsidRPr="001C4495" w:rsidRDefault="002A5D8B" w:rsidP="002A5D8B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t>If it's not relevant: The manager must explain why they believe sustainability risks aren't applicable to that specific fund.</w:t>
            </w:r>
          </w:p>
          <w:p w14:paraId="786A8859" w14:textId="77777777" w:rsidR="002A5D8B" w:rsidRPr="001C4495" w:rsidRDefault="002A5D8B" w:rsidP="002A5D8B">
            <w:pPr>
              <w:rPr>
                <w:sz w:val="20"/>
                <w:szCs w:val="20"/>
              </w:rPr>
            </w:pPr>
          </w:p>
          <w:p w14:paraId="29FDB6BE" w14:textId="77777777" w:rsidR="002A5D8B" w:rsidRPr="001C4495" w:rsidRDefault="002A5D8B" w:rsidP="002A5D8B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t>2. Article 8: The "Light Green" Category</w:t>
            </w:r>
          </w:p>
          <w:p w14:paraId="05586CF8" w14:textId="77777777" w:rsidR="002A5D8B" w:rsidRPr="001C4495" w:rsidRDefault="002A5D8B" w:rsidP="002A5D8B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t>Definition: Funds that promote environmental or social characteristics.</w:t>
            </w:r>
          </w:p>
          <w:p w14:paraId="2C5926AF" w14:textId="77777777" w:rsidR="002A5D8B" w:rsidRPr="001C4495" w:rsidRDefault="002A5D8B" w:rsidP="002A5D8B">
            <w:pPr>
              <w:rPr>
                <w:sz w:val="20"/>
                <w:szCs w:val="20"/>
              </w:rPr>
            </w:pPr>
          </w:p>
          <w:p w14:paraId="732DD113" w14:textId="77777777" w:rsidR="002A5D8B" w:rsidRPr="001C4495" w:rsidRDefault="002A5D8B" w:rsidP="002A5D8B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t>The Focus: Promoting ESG (Environmental, Social, and Governance) values alongside financial returns.</w:t>
            </w:r>
          </w:p>
          <w:p w14:paraId="3FBACD5F" w14:textId="77777777" w:rsidR="002A5D8B" w:rsidRPr="001C4495" w:rsidRDefault="002A5D8B" w:rsidP="002A5D8B">
            <w:pPr>
              <w:rPr>
                <w:sz w:val="20"/>
                <w:szCs w:val="20"/>
              </w:rPr>
            </w:pPr>
          </w:p>
          <w:p w14:paraId="7C659EEF" w14:textId="77777777" w:rsidR="002A5D8B" w:rsidRPr="001C4495" w:rsidRDefault="002A5D8B" w:rsidP="002A5D8B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t>Requirements: * The companies invested in must follow good governance practices.</w:t>
            </w:r>
          </w:p>
          <w:p w14:paraId="618F2677" w14:textId="77777777" w:rsidR="002A5D8B" w:rsidRPr="001C4495" w:rsidRDefault="002A5D8B" w:rsidP="002A5D8B">
            <w:pPr>
              <w:rPr>
                <w:sz w:val="20"/>
                <w:szCs w:val="20"/>
              </w:rPr>
            </w:pPr>
          </w:p>
          <w:p w14:paraId="4BC395F2" w14:textId="77777777" w:rsidR="002A5D8B" w:rsidRPr="001C4495" w:rsidRDefault="002A5D8B" w:rsidP="002A5D8B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t>The fund must disclose how it meets these environmental/social characteristics.</w:t>
            </w:r>
          </w:p>
          <w:p w14:paraId="295C4247" w14:textId="77777777" w:rsidR="002A5D8B" w:rsidRPr="001C4495" w:rsidRDefault="002A5D8B" w:rsidP="002A5D8B">
            <w:pPr>
              <w:rPr>
                <w:sz w:val="20"/>
                <w:szCs w:val="20"/>
              </w:rPr>
            </w:pPr>
          </w:p>
          <w:p w14:paraId="53675DB5" w14:textId="77777777" w:rsidR="002A5D8B" w:rsidRPr="001C4495" w:rsidRDefault="002A5D8B" w:rsidP="002A5D8B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t>Example: A fund that avoids investing in tobacco or firearms, or one that prefers companies with a high percentage of female board members.</w:t>
            </w:r>
          </w:p>
          <w:p w14:paraId="3F82C045" w14:textId="77777777" w:rsidR="002A5D8B" w:rsidRPr="001C4495" w:rsidRDefault="002A5D8B" w:rsidP="002A5D8B">
            <w:pPr>
              <w:rPr>
                <w:sz w:val="20"/>
                <w:szCs w:val="20"/>
              </w:rPr>
            </w:pPr>
          </w:p>
          <w:p w14:paraId="1616F6E7" w14:textId="77777777" w:rsidR="002A5D8B" w:rsidRPr="001C4495" w:rsidRDefault="002A5D8B" w:rsidP="002A5D8B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t>3. Article 9: The "Dark Green" Category</w:t>
            </w:r>
          </w:p>
          <w:p w14:paraId="0A0ABB9C" w14:textId="77777777" w:rsidR="002A5D8B" w:rsidRPr="001C4495" w:rsidRDefault="002A5D8B" w:rsidP="002A5D8B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t>Definition: Funds that have sustainable investment as their core objective.</w:t>
            </w:r>
          </w:p>
          <w:p w14:paraId="58CC1248" w14:textId="77777777" w:rsidR="002A5D8B" w:rsidRPr="001C4495" w:rsidRDefault="002A5D8B" w:rsidP="002A5D8B">
            <w:pPr>
              <w:rPr>
                <w:sz w:val="20"/>
                <w:szCs w:val="20"/>
              </w:rPr>
            </w:pPr>
          </w:p>
          <w:p w14:paraId="27E6405B" w14:textId="77777777" w:rsidR="002A5D8B" w:rsidRPr="001C4495" w:rsidRDefault="002A5D8B" w:rsidP="002A5D8B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t>The Focus: Making a measurable positive impact.</w:t>
            </w:r>
          </w:p>
          <w:p w14:paraId="473FA1A0" w14:textId="77777777" w:rsidR="002A5D8B" w:rsidRPr="001C4495" w:rsidRDefault="002A5D8B" w:rsidP="002A5D8B">
            <w:pPr>
              <w:rPr>
                <w:sz w:val="20"/>
                <w:szCs w:val="20"/>
              </w:rPr>
            </w:pPr>
          </w:p>
          <w:p w14:paraId="6F28444C" w14:textId="77777777" w:rsidR="002A5D8B" w:rsidRPr="001C4495" w:rsidRDefault="002A5D8B" w:rsidP="002A5D8B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t>Requirements: * The fund must have a non-financial objective at its heart (e.g., reducing carbon emissions by a specific amount).</w:t>
            </w:r>
          </w:p>
          <w:p w14:paraId="76D11B41" w14:textId="77777777" w:rsidR="002A5D8B" w:rsidRPr="001C4495" w:rsidRDefault="002A5D8B" w:rsidP="002A5D8B">
            <w:pPr>
              <w:rPr>
                <w:sz w:val="20"/>
                <w:szCs w:val="20"/>
              </w:rPr>
            </w:pPr>
          </w:p>
          <w:p w14:paraId="4F0F925C" w14:textId="77777777" w:rsidR="002A5D8B" w:rsidRPr="001C4495" w:rsidRDefault="002A5D8B" w:rsidP="002A5D8B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t>It must use a "reference benchmark" (an index) to prove it is reaching that sustainable goal.</w:t>
            </w:r>
          </w:p>
          <w:p w14:paraId="236EB61B" w14:textId="77777777" w:rsidR="002A5D8B" w:rsidRPr="001C4495" w:rsidRDefault="002A5D8B" w:rsidP="002A5D8B">
            <w:pPr>
              <w:rPr>
                <w:sz w:val="20"/>
                <w:szCs w:val="20"/>
              </w:rPr>
            </w:pPr>
          </w:p>
          <w:p w14:paraId="2053F4EC" w14:textId="694CE5C0" w:rsidR="002A5D8B" w:rsidRPr="001C4495" w:rsidRDefault="002A5D8B" w:rsidP="002A5D8B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t>Key Difference: While Article 8 promotes ESG, Article 9 targets a specific sustainable outcome.</w:t>
            </w:r>
          </w:p>
        </w:tc>
      </w:tr>
      <w:tr w:rsidR="002A5D8B" w:rsidRPr="001C4495" w14:paraId="5148D549" w14:textId="77777777" w:rsidTr="001C4495">
        <w:tc>
          <w:tcPr>
            <w:tcW w:w="2689" w:type="dxa"/>
          </w:tcPr>
          <w:p w14:paraId="08E0161E" w14:textId="551674C9" w:rsidR="002A5D8B" w:rsidRPr="001C4495" w:rsidRDefault="00DA59B3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lastRenderedPageBreak/>
              <w:t>What is SFDR 2.0</w:t>
            </w:r>
          </w:p>
        </w:tc>
        <w:tc>
          <w:tcPr>
            <w:tcW w:w="6327" w:type="dxa"/>
          </w:tcPr>
          <w:p w14:paraId="49722654" w14:textId="77777777" w:rsidR="002A5D8B" w:rsidRDefault="00DA59B3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drawing>
                <wp:inline distT="0" distB="0" distL="0" distR="0" wp14:anchorId="0A97F67C" wp14:editId="30798CC6">
                  <wp:extent cx="4055934" cy="3215179"/>
                  <wp:effectExtent l="0" t="0" r="1905" b="4445"/>
                  <wp:docPr id="896223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22368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399" cy="3218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2E3D2" w14:textId="77777777" w:rsidR="001C4495" w:rsidRPr="001C4495" w:rsidRDefault="001C4495" w:rsidP="001C4495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t>Three Clear Buckets</w:t>
            </w:r>
          </w:p>
          <w:p w14:paraId="120AD006" w14:textId="77777777" w:rsidR="001C4495" w:rsidRPr="001C4495" w:rsidRDefault="001C4495" w:rsidP="001C4495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t>Instead of the confusing Article 8 and 9, funds must now fit into:</w:t>
            </w:r>
          </w:p>
          <w:p w14:paraId="43DB3CC3" w14:textId="77777777" w:rsidR="001C4495" w:rsidRPr="001C4495" w:rsidRDefault="001C4495" w:rsidP="001C4495">
            <w:pPr>
              <w:rPr>
                <w:sz w:val="20"/>
                <w:szCs w:val="20"/>
              </w:rPr>
            </w:pPr>
          </w:p>
          <w:p w14:paraId="4CB6E2B9" w14:textId="77777777" w:rsidR="001C4495" w:rsidRPr="001C4495" w:rsidRDefault="001C4495" w:rsidP="001C4495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t>Sustainable: High-standard, "pure green" investments.</w:t>
            </w:r>
          </w:p>
          <w:p w14:paraId="1F24C3E7" w14:textId="77777777" w:rsidR="001C4495" w:rsidRPr="001C4495" w:rsidRDefault="001C4495" w:rsidP="001C4495">
            <w:pPr>
              <w:rPr>
                <w:sz w:val="20"/>
                <w:szCs w:val="20"/>
              </w:rPr>
            </w:pPr>
          </w:p>
          <w:p w14:paraId="607C2F96" w14:textId="77777777" w:rsidR="001C4495" w:rsidRPr="001C4495" w:rsidRDefault="001C4495" w:rsidP="001C4495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t>Transition: Investments in companies that are currently "brown" but have a credible, science-based plan to improve (crucial for markets like Malaysia).</w:t>
            </w:r>
          </w:p>
          <w:p w14:paraId="173A6FF3" w14:textId="77777777" w:rsidR="001C4495" w:rsidRPr="001C4495" w:rsidRDefault="001C4495" w:rsidP="001C4495">
            <w:pPr>
              <w:rPr>
                <w:sz w:val="20"/>
                <w:szCs w:val="20"/>
              </w:rPr>
            </w:pPr>
          </w:p>
          <w:p w14:paraId="37E58AAE" w14:textId="77777777" w:rsidR="001C4495" w:rsidRPr="001C4495" w:rsidRDefault="001C4495" w:rsidP="001C4495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t>ESG Basics: Funds that simply integrate basic environmental and social factors (like excluding tobacco).</w:t>
            </w:r>
          </w:p>
          <w:p w14:paraId="7C060109" w14:textId="77777777" w:rsidR="001C4495" w:rsidRPr="001C4495" w:rsidRDefault="001C4495" w:rsidP="001C4495">
            <w:pPr>
              <w:rPr>
                <w:sz w:val="20"/>
                <w:szCs w:val="20"/>
              </w:rPr>
            </w:pPr>
          </w:p>
          <w:p w14:paraId="0D62AF95" w14:textId="77777777" w:rsidR="001C4495" w:rsidRPr="001C4495" w:rsidRDefault="001C4495" w:rsidP="001C4495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t>The "70% Guardrail"</w:t>
            </w:r>
          </w:p>
          <w:p w14:paraId="17BD3938" w14:textId="1DF69D9B" w:rsidR="001C4495" w:rsidRPr="001C4495" w:rsidRDefault="001C4495" w:rsidP="001C4495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t>To stop greenwashing, SFDR 2.0 introduces a minimum threshold. At least 70% of a fund's assets must strictly align with its chosen category. You can no longer call a fund "Sustainable" if only a small fraction of its holdings are actually green.</w:t>
            </w:r>
          </w:p>
        </w:tc>
      </w:tr>
      <w:tr w:rsidR="002A5D8B" w:rsidRPr="001C4495" w14:paraId="6A62B2C3" w14:textId="77777777" w:rsidTr="001C4495">
        <w:tc>
          <w:tcPr>
            <w:tcW w:w="2689" w:type="dxa"/>
          </w:tcPr>
          <w:p w14:paraId="722B3758" w14:textId="0640A5E6" w:rsidR="002A5D8B" w:rsidRPr="001C4495" w:rsidRDefault="001C4495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t>What is the reason they change from SFDR 1.0 to 2.0</w:t>
            </w:r>
            <w:r>
              <w:rPr>
                <w:sz w:val="20"/>
                <w:szCs w:val="20"/>
              </w:rPr>
              <w:t xml:space="preserve"> on November 2025</w:t>
            </w:r>
          </w:p>
        </w:tc>
        <w:tc>
          <w:tcPr>
            <w:tcW w:w="6327" w:type="dxa"/>
          </w:tcPr>
          <w:p w14:paraId="717B1183" w14:textId="77777777" w:rsidR="001C4495" w:rsidRPr="001C4495" w:rsidRDefault="001C4495" w:rsidP="001C4495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t xml:space="preserve">  </w:t>
            </w:r>
            <w:r w:rsidRPr="001C4495">
              <w:rPr>
                <w:b/>
                <w:bCs/>
                <w:sz w:val="20"/>
                <w:szCs w:val="20"/>
              </w:rPr>
              <w:t xml:space="preserve">Accidental </w:t>
            </w:r>
            <w:proofErr w:type="spellStart"/>
            <w:r w:rsidRPr="001C4495">
              <w:rPr>
                <w:b/>
                <w:bCs/>
                <w:sz w:val="20"/>
                <w:szCs w:val="20"/>
              </w:rPr>
              <w:t>Labeling</w:t>
            </w:r>
            <w:proofErr w:type="spellEnd"/>
            <w:r w:rsidRPr="001C4495">
              <w:rPr>
                <w:b/>
                <w:bCs/>
                <w:sz w:val="20"/>
                <w:szCs w:val="20"/>
              </w:rPr>
              <w:t>:</w:t>
            </w:r>
            <w:r w:rsidRPr="001C4495">
              <w:rPr>
                <w:sz w:val="20"/>
                <w:szCs w:val="20"/>
              </w:rPr>
              <w:t xml:space="preserve"> Articles 8 and 9 were meant to be </w:t>
            </w:r>
            <w:r w:rsidRPr="001C4495">
              <w:rPr>
                <w:i/>
                <w:iCs/>
                <w:sz w:val="20"/>
                <w:szCs w:val="20"/>
              </w:rPr>
              <w:t>disclosure categories</w:t>
            </w:r>
            <w:r w:rsidRPr="001C4495">
              <w:rPr>
                <w:sz w:val="20"/>
                <w:szCs w:val="20"/>
              </w:rPr>
              <w:t xml:space="preserve"> (rules for paperwork), but the market turned them into </w:t>
            </w:r>
            <w:r w:rsidRPr="001C4495">
              <w:rPr>
                <w:i/>
                <w:iCs/>
                <w:sz w:val="20"/>
                <w:szCs w:val="20"/>
              </w:rPr>
              <w:t>marketing labels</w:t>
            </w:r>
            <w:r w:rsidRPr="001C4495">
              <w:rPr>
                <w:sz w:val="20"/>
                <w:szCs w:val="20"/>
              </w:rPr>
              <w:t>. This led to "green-</w:t>
            </w:r>
            <w:proofErr w:type="spellStart"/>
            <w:r w:rsidRPr="001C4495">
              <w:rPr>
                <w:sz w:val="20"/>
                <w:szCs w:val="20"/>
              </w:rPr>
              <w:t>labeling</w:t>
            </w:r>
            <w:proofErr w:type="spellEnd"/>
            <w:r w:rsidRPr="001C4495">
              <w:rPr>
                <w:sz w:val="20"/>
                <w:szCs w:val="20"/>
              </w:rPr>
              <w:t>" without strict standards.</w:t>
            </w:r>
          </w:p>
          <w:p w14:paraId="195BB0C0" w14:textId="77777777" w:rsidR="001C4495" w:rsidRPr="001C4495" w:rsidRDefault="001C4495" w:rsidP="001C4495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t xml:space="preserve">  </w:t>
            </w:r>
            <w:r w:rsidRPr="001C4495">
              <w:rPr>
                <w:b/>
                <w:bCs/>
                <w:sz w:val="20"/>
                <w:szCs w:val="20"/>
              </w:rPr>
              <w:t>The "Dark Green" Struggle:</w:t>
            </w:r>
            <w:r w:rsidRPr="001C4495">
              <w:rPr>
                <w:sz w:val="20"/>
                <w:szCs w:val="20"/>
              </w:rPr>
              <w:t xml:space="preserve"> Article 9 (the strictest category) was so difficult to maintain that many funds "downgraded" themselves to Article 8, causing massive market confusion.</w:t>
            </w:r>
          </w:p>
          <w:p w14:paraId="6D98676D" w14:textId="77777777" w:rsidR="001C4495" w:rsidRDefault="001C4495" w:rsidP="001C4495">
            <w:pPr>
              <w:rPr>
                <w:sz w:val="20"/>
                <w:szCs w:val="20"/>
              </w:rPr>
            </w:pPr>
            <w:r w:rsidRPr="001C4495">
              <w:rPr>
                <w:sz w:val="20"/>
                <w:szCs w:val="20"/>
              </w:rPr>
              <w:t xml:space="preserve">  </w:t>
            </w:r>
            <w:r w:rsidRPr="001C4495">
              <w:rPr>
                <w:b/>
                <w:bCs/>
                <w:sz w:val="20"/>
                <w:szCs w:val="20"/>
              </w:rPr>
              <w:t>Greenwashing Risks:</w:t>
            </w:r>
            <w:r w:rsidRPr="001C4495">
              <w:rPr>
                <w:sz w:val="20"/>
                <w:szCs w:val="20"/>
              </w:rPr>
              <w:t xml:space="preserve"> Article 8 became a massive, $17.7 trillion "catch-all" bucket. It was impossible for investors to distinguish between a fund that was truly doing good and one that was just doing the bare minimum.</w:t>
            </w:r>
          </w:p>
          <w:p w14:paraId="5283B19D" w14:textId="77777777" w:rsidR="00171B1D" w:rsidRPr="001C4495" w:rsidRDefault="00171B1D" w:rsidP="001C4495">
            <w:pPr>
              <w:rPr>
                <w:sz w:val="20"/>
                <w:szCs w:val="20"/>
              </w:rPr>
            </w:pPr>
          </w:p>
          <w:p w14:paraId="773FD742" w14:textId="6425253B" w:rsidR="002A5D8B" w:rsidRDefault="001C4495">
            <w:pPr>
              <w:rPr>
                <w:sz w:val="20"/>
                <w:szCs w:val="20"/>
              </w:rPr>
            </w:pPr>
            <w:hyperlink r:id="rId5" w:history="1">
              <w:r w:rsidRPr="001C4495">
                <w:rPr>
                  <w:rStyle w:val="Hyperlink"/>
                  <w:sz w:val="20"/>
                  <w:szCs w:val="20"/>
                </w:rPr>
                <w:t>https://www.bloomberg.com/professional/insights/sustainable-finance/sfdr-2-0-why-data-becomes-the-new-competitive-edge/#:~:text=One%20of%20the%20biggest%20changes,measurable%20social%20or%20environmental%20impact</w:t>
              </w:r>
            </w:hyperlink>
            <w:r w:rsidRPr="001C4495">
              <w:rPr>
                <w:sz w:val="20"/>
                <w:szCs w:val="20"/>
              </w:rPr>
              <w:t>.</w:t>
            </w:r>
          </w:p>
          <w:p w14:paraId="73C30D7D" w14:textId="13D6B151" w:rsidR="00171B1D" w:rsidRPr="001C4495" w:rsidRDefault="00171B1D">
            <w:pPr>
              <w:rPr>
                <w:sz w:val="20"/>
                <w:szCs w:val="20"/>
              </w:rPr>
            </w:pPr>
            <w:r w:rsidRPr="00171B1D">
              <w:rPr>
                <w:sz w:val="20"/>
                <w:szCs w:val="20"/>
              </w:rPr>
              <w:t>improve coherence across the EU’s sustainable finance rules, such as MiFID II (Markets in Financial Instruments Directive), PRIIPS (Packaged Retail and Insurance-based Investment Products), and CSRD (Corporate Sustainability Reporting Directive).</w:t>
            </w:r>
          </w:p>
          <w:p w14:paraId="7EF72566" w14:textId="6F6C4B4D" w:rsidR="001C4495" w:rsidRPr="001C4495" w:rsidRDefault="00171B1D">
            <w:pPr>
              <w:rPr>
                <w:sz w:val="20"/>
                <w:szCs w:val="20"/>
              </w:rPr>
            </w:pPr>
            <w:r w:rsidRPr="00171B1D">
              <w:rPr>
                <w:sz w:val="20"/>
                <w:szCs w:val="20"/>
              </w:rPr>
              <w:t>https://www.sustainalytics.com/esg-research/resource/investors-esg-blog/sfdr-2.0-in-figures--impact-analysis</w:t>
            </w:r>
          </w:p>
        </w:tc>
      </w:tr>
      <w:tr w:rsidR="002A5D8B" w:rsidRPr="001C4495" w14:paraId="4C7B8481" w14:textId="77777777" w:rsidTr="001C4495">
        <w:tc>
          <w:tcPr>
            <w:tcW w:w="2689" w:type="dxa"/>
          </w:tcPr>
          <w:p w14:paraId="6770D4A7" w14:textId="77777777" w:rsidR="002A5D8B" w:rsidRPr="001C4495" w:rsidRDefault="002A5D8B">
            <w:pPr>
              <w:rPr>
                <w:sz w:val="20"/>
                <w:szCs w:val="20"/>
              </w:rPr>
            </w:pPr>
          </w:p>
        </w:tc>
        <w:tc>
          <w:tcPr>
            <w:tcW w:w="6327" w:type="dxa"/>
          </w:tcPr>
          <w:p w14:paraId="6E9B077F" w14:textId="77777777" w:rsidR="002A5D8B" w:rsidRPr="001C4495" w:rsidRDefault="002A5D8B">
            <w:pPr>
              <w:rPr>
                <w:sz w:val="20"/>
                <w:szCs w:val="20"/>
              </w:rPr>
            </w:pPr>
          </w:p>
        </w:tc>
      </w:tr>
      <w:tr w:rsidR="002A5D8B" w:rsidRPr="001C4495" w14:paraId="45A8760B" w14:textId="77777777" w:rsidTr="001C4495">
        <w:tc>
          <w:tcPr>
            <w:tcW w:w="2689" w:type="dxa"/>
          </w:tcPr>
          <w:p w14:paraId="39971BF6" w14:textId="77777777" w:rsidR="002A5D8B" w:rsidRPr="001C4495" w:rsidRDefault="002A5D8B">
            <w:pPr>
              <w:rPr>
                <w:sz w:val="20"/>
                <w:szCs w:val="20"/>
              </w:rPr>
            </w:pPr>
          </w:p>
        </w:tc>
        <w:tc>
          <w:tcPr>
            <w:tcW w:w="6327" w:type="dxa"/>
          </w:tcPr>
          <w:p w14:paraId="751870B3" w14:textId="77777777" w:rsidR="002A5D8B" w:rsidRPr="001C4495" w:rsidRDefault="002A5D8B">
            <w:pPr>
              <w:rPr>
                <w:sz w:val="20"/>
                <w:szCs w:val="20"/>
              </w:rPr>
            </w:pPr>
          </w:p>
        </w:tc>
      </w:tr>
    </w:tbl>
    <w:p w14:paraId="59029731" w14:textId="77777777" w:rsidR="006C07E6" w:rsidRPr="001C4495" w:rsidRDefault="006C07E6">
      <w:pPr>
        <w:rPr>
          <w:sz w:val="20"/>
          <w:szCs w:val="20"/>
        </w:rPr>
      </w:pPr>
    </w:p>
    <w:p w14:paraId="273BAE88" w14:textId="110FE869" w:rsidR="003F0F1A" w:rsidRDefault="003F0F1A">
      <w:pPr>
        <w:rPr>
          <w:sz w:val="20"/>
          <w:szCs w:val="20"/>
        </w:rPr>
      </w:pPr>
      <w:r w:rsidRPr="001C4495">
        <w:rPr>
          <w:sz w:val="20"/>
          <w:szCs w:val="20"/>
        </w:rPr>
        <w:t>New framework how our system will tackle</w:t>
      </w:r>
    </w:p>
    <w:p w14:paraId="083DEB34" w14:textId="601C2D8D" w:rsidR="001C4495" w:rsidRDefault="001C4495">
      <w:pPr>
        <w:rPr>
          <w:sz w:val="20"/>
          <w:szCs w:val="20"/>
        </w:rPr>
      </w:pPr>
      <w:r>
        <w:rPr>
          <w:sz w:val="20"/>
          <w:szCs w:val="20"/>
        </w:rPr>
        <w:t>Our system:</w:t>
      </w:r>
    </w:p>
    <w:p w14:paraId="2DC6B3C0" w14:textId="77777777" w:rsidR="001C4495" w:rsidRPr="001C4495" w:rsidRDefault="001C4495" w:rsidP="001C4495">
      <w:pPr>
        <w:rPr>
          <w:sz w:val="20"/>
          <w:szCs w:val="20"/>
        </w:rPr>
      </w:pPr>
      <w:r w:rsidRPr="001C4495">
        <w:rPr>
          <w:sz w:val="20"/>
          <w:szCs w:val="20"/>
        </w:rPr>
        <w:t xml:space="preserve">  </w:t>
      </w:r>
      <w:r w:rsidRPr="001C4495">
        <w:rPr>
          <w:b/>
          <w:bCs/>
          <w:sz w:val="20"/>
          <w:szCs w:val="20"/>
        </w:rPr>
        <w:t>Audit Data Providers:</w:t>
      </w:r>
      <w:r w:rsidRPr="001C4495">
        <w:rPr>
          <w:sz w:val="20"/>
          <w:szCs w:val="20"/>
        </w:rPr>
        <w:t xml:space="preserve"> Don't just trust a data feed; check their "governance" (how they verify their Malaysian data, for example).</w:t>
      </w:r>
    </w:p>
    <w:p w14:paraId="3AEAA5C4" w14:textId="77777777" w:rsidR="001C4495" w:rsidRPr="001C4495" w:rsidRDefault="001C4495" w:rsidP="001C4495">
      <w:pPr>
        <w:rPr>
          <w:sz w:val="20"/>
          <w:szCs w:val="20"/>
        </w:rPr>
      </w:pPr>
      <w:r w:rsidRPr="001C4495">
        <w:rPr>
          <w:sz w:val="20"/>
          <w:szCs w:val="20"/>
        </w:rPr>
        <w:t xml:space="preserve">  </w:t>
      </w:r>
      <w:r w:rsidRPr="001C4495">
        <w:rPr>
          <w:b/>
          <w:bCs/>
          <w:sz w:val="20"/>
          <w:szCs w:val="20"/>
        </w:rPr>
        <w:t>Focus on PAI Indicators:</w:t>
      </w:r>
      <w:r w:rsidRPr="001C4495">
        <w:rPr>
          <w:sz w:val="20"/>
          <w:szCs w:val="20"/>
        </w:rPr>
        <w:t xml:space="preserve"> "Principal Adverse Impacts" (PAI) are specific "red flags" (like high carbon output or human rights violations). You need data that catches these early.</w:t>
      </w:r>
    </w:p>
    <w:p w14:paraId="56E621F3" w14:textId="77777777" w:rsidR="001C4495" w:rsidRDefault="001C4495" w:rsidP="001C4495">
      <w:pPr>
        <w:rPr>
          <w:sz w:val="20"/>
          <w:szCs w:val="20"/>
        </w:rPr>
      </w:pPr>
      <w:r w:rsidRPr="001C4495">
        <w:rPr>
          <w:sz w:val="20"/>
          <w:szCs w:val="20"/>
        </w:rPr>
        <w:t xml:space="preserve">  </w:t>
      </w:r>
      <w:r w:rsidRPr="001C4495">
        <w:rPr>
          <w:b/>
          <w:bCs/>
          <w:sz w:val="20"/>
          <w:szCs w:val="20"/>
        </w:rPr>
        <w:t>Document Everything:</w:t>
      </w:r>
      <w:r w:rsidRPr="001C4495">
        <w:rPr>
          <w:sz w:val="20"/>
          <w:szCs w:val="20"/>
        </w:rPr>
        <w:t xml:space="preserve"> Reliability and "auditability" are now just as important as the actual ESG score.</w:t>
      </w:r>
    </w:p>
    <w:p w14:paraId="7A59268B" w14:textId="613189FF" w:rsidR="0045096B" w:rsidRDefault="0045096B" w:rsidP="001C4495">
      <w:pPr>
        <w:rPr>
          <w:sz w:val="20"/>
          <w:szCs w:val="20"/>
        </w:rPr>
      </w:pPr>
      <w:r w:rsidRPr="0045096B">
        <w:rPr>
          <w:sz w:val="20"/>
          <w:szCs w:val="20"/>
        </w:rPr>
        <w:t>https://www.ey.com/en_lu/insights/sustainability/preparing-for-sfdr-2-0-a-practical-roadmap-for-fund-managers</w:t>
      </w:r>
    </w:p>
    <w:p w14:paraId="7590F0D4" w14:textId="77777777" w:rsidR="0045096B" w:rsidRPr="001C4495" w:rsidRDefault="0045096B" w:rsidP="001C4495">
      <w:pPr>
        <w:rPr>
          <w:sz w:val="20"/>
          <w:szCs w:val="20"/>
        </w:rPr>
      </w:pPr>
      <w:r>
        <w:rPr>
          <w:sz w:val="20"/>
          <w:szCs w:val="20"/>
        </w:rPr>
        <w:t xml:space="preserve">Report: </w:t>
      </w:r>
    </w:p>
    <w:tbl>
      <w:tblPr>
        <w:tblW w:w="9096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2"/>
        <w:gridCol w:w="5624"/>
      </w:tblGrid>
      <w:tr w:rsidR="0045096B" w:rsidRPr="0045096B" w14:paraId="28585083" w14:textId="77777777">
        <w:trPr>
          <w:trHeight w:val="2513"/>
        </w:trPr>
        <w:tc>
          <w:tcPr>
            <w:tcW w:w="0" w:type="auto"/>
            <w:tcBorders>
              <w:top w:val="nil"/>
              <w:left w:val="single" w:sz="2" w:space="0" w:color="DDDDDD"/>
              <w:bottom w:val="nil"/>
              <w:right w:val="nil"/>
            </w:tcBorders>
            <w:shd w:val="clear" w:color="auto" w:fill="FFFFFF"/>
            <w:hideMark/>
          </w:tcPr>
          <w:p w14:paraId="5473EEA0" w14:textId="77777777" w:rsidR="0045096B" w:rsidRPr="0045096B" w:rsidRDefault="0045096B" w:rsidP="0045096B">
            <w:pPr>
              <w:rPr>
                <w:sz w:val="20"/>
                <w:szCs w:val="20"/>
              </w:rPr>
            </w:pPr>
            <w:r w:rsidRPr="0045096B">
              <w:rPr>
                <w:b/>
                <w:bCs/>
                <w:sz w:val="20"/>
                <w:szCs w:val="20"/>
              </w:rPr>
              <w:t>Be ready to redesign pre-contractual and periodic reporting early</w:t>
            </w:r>
          </w:p>
        </w:tc>
        <w:tc>
          <w:tcPr>
            <w:tcW w:w="0" w:type="auto"/>
            <w:tcBorders>
              <w:top w:val="nil"/>
              <w:left w:val="single" w:sz="2" w:space="0" w:color="DDDDDD"/>
              <w:bottom w:val="nil"/>
              <w:right w:val="nil"/>
            </w:tcBorders>
            <w:shd w:val="clear" w:color="auto" w:fill="FFFFFF"/>
            <w:hideMark/>
          </w:tcPr>
          <w:p w14:paraId="7E964278" w14:textId="77777777" w:rsidR="0045096B" w:rsidRPr="0045096B" w:rsidRDefault="0045096B" w:rsidP="0045096B">
            <w:pPr>
              <w:rPr>
                <w:sz w:val="20"/>
                <w:szCs w:val="20"/>
              </w:rPr>
            </w:pPr>
            <w:r w:rsidRPr="0045096B">
              <w:rPr>
                <w:sz w:val="20"/>
                <w:szCs w:val="20"/>
              </w:rPr>
              <w:t>•Prepare for shorter, more focused disclosures (~2 pages) by:</w:t>
            </w:r>
          </w:p>
          <w:p w14:paraId="6580E755" w14:textId="77777777" w:rsidR="0045096B" w:rsidRPr="0045096B" w:rsidRDefault="0045096B" w:rsidP="0045096B">
            <w:pPr>
              <w:rPr>
                <w:sz w:val="20"/>
                <w:szCs w:val="20"/>
              </w:rPr>
            </w:pPr>
            <w:r w:rsidRPr="0045096B">
              <w:rPr>
                <w:sz w:val="20"/>
                <w:szCs w:val="20"/>
              </w:rPr>
              <w:br/>
            </w:r>
          </w:p>
          <w:p w14:paraId="1D379DE5" w14:textId="77777777" w:rsidR="0045096B" w:rsidRPr="0045096B" w:rsidRDefault="0045096B" w:rsidP="0045096B">
            <w:pPr>
              <w:rPr>
                <w:sz w:val="20"/>
                <w:szCs w:val="20"/>
              </w:rPr>
            </w:pPr>
            <w:r w:rsidRPr="0045096B">
              <w:rPr>
                <w:sz w:val="20"/>
                <w:szCs w:val="20"/>
              </w:rPr>
              <w:t>•Prioritizing material sustainability information</w:t>
            </w:r>
          </w:p>
          <w:p w14:paraId="79B110E3" w14:textId="77777777" w:rsidR="0045096B" w:rsidRPr="0045096B" w:rsidRDefault="0045096B" w:rsidP="0045096B">
            <w:pPr>
              <w:rPr>
                <w:sz w:val="20"/>
                <w:szCs w:val="20"/>
              </w:rPr>
            </w:pPr>
            <w:r w:rsidRPr="0045096B">
              <w:rPr>
                <w:sz w:val="20"/>
                <w:szCs w:val="20"/>
              </w:rPr>
              <w:t>•Eliminating narrative-heavy explanations</w:t>
            </w:r>
          </w:p>
          <w:p w14:paraId="18E1C53C" w14:textId="77777777" w:rsidR="0045096B" w:rsidRPr="0045096B" w:rsidRDefault="0045096B" w:rsidP="0045096B">
            <w:pPr>
              <w:rPr>
                <w:sz w:val="20"/>
                <w:szCs w:val="20"/>
              </w:rPr>
            </w:pPr>
            <w:r w:rsidRPr="0045096B">
              <w:rPr>
                <w:sz w:val="20"/>
                <w:szCs w:val="20"/>
              </w:rPr>
              <w:t>•Align disclosures with PRIIPs-style framing, particularly the new section: “How sustainable is this product?”</w:t>
            </w:r>
          </w:p>
        </w:tc>
      </w:tr>
      <w:tr w:rsidR="0045096B" w:rsidRPr="0045096B" w14:paraId="5A2DECA1" w14:textId="77777777" w:rsidTr="0045096B">
        <w:trPr>
          <w:trHeight w:val="2513"/>
        </w:trPr>
        <w:tc>
          <w:tcPr>
            <w:tcW w:w="0" w:type="auto"/>
            <w:tcBorders>
              <w:top w:val="nil"/>
              <w:left w:val="single" w:sz="2" w:space="0" w:color="DDDDDD"/>
              <w:bottom w:val="nil"/>
              <w:right w:val="nil"/>
            </w:tcBorders>
            <w:shd w:val="clear" w:color="auto" w:fill="FFFFFF"/>
            <w:hideMark/>
          </w:tcPr>
          <w:p w14:paraId="31B8B787" w14:textId="77777777" w:rsidR="0045096B" w:rsidRPr="0045096B" w:rsidRDefault="0045096B" w:rsidP="0045096B">
            <w:pPr>
              <w:rPr>
                <w:b/>
                <w:bCs/>
                <w:sz w:val="20"/>
                <w:szCs w:val="20"/>
              </w:rPr>
            </w:pPr>
            <w:r w:rsidRPr="0045096B">
              <w:rPr>
                <w:b/>
                <w:bCs/>
                <w:sz w:val="20"/>
                <w:szCs w:val="20"/>
              </w:rPr>
              <w:t>Embed category criteria into portfolio construction</w:t>
            </w:r>
          </w:p>
        </w:tc>
        <w:tc>
          <w:tcPr>
            <w:tcW w:w="0" w:type="auto"/>
            <w:tcBorders>
              <w:top w:val="nil"/>
              <w:left w:val="single" w:sz="2" w:space="0" w:color="DDDDDD"/>
              <w:bottom w:val="nil"/>
              <w:right w:val="nil"/>
            </w:tcBorders>
            <w:shd w:val="clear" w:color="auto" w:fill="FFFFFF"/>
            <w:hideMark/>
          </w:tcPr>
          <w:p w14:paraId="16658099" w14:textId="77777777" w:rsidR="0045096B" w:rsidRPr="0045096B" w:rsidRDefault="0045096B" w:rsidP="0045096B">
            <w:pPr>
              <w:rPr>
                <w:sz w:val="20"/>
                <w:szCs w:val="20"/>
              </w:rPr>
            </w:pPr>
            <w:r w:rsidRPr="0045096B">
              <w:rPr>
                <w:sz w:val="20"/>
                <w:szCs w:val="20"/>
              </w:rPr>
              <w:t>•Translate SFDR 2.0 category requirements directly into:</w:t>
            </w:r>
          </w:p>
          <w:p w14:paraId="4F033D28" w14:textId="77777777" w:rsidR="0045096B" w:rsidRPr="0045096B" w:rsidRDefault="0045096B" w:rsidP="0045096B">
            <w:pPr>
              <w:rPr>
                <w:sz w:val="20"/>
                <w:szCs w:val="20"/>
              </w:rPr>
            </w:pPr>
            <w:r w:rsidRPr="0045096B">
              <w:rPr>
                <w:sz w:val="20"/>
                <w:szCs w:val="20"/>
              </w:rPr>
              <w:br/>
            </w:r>
          </w:p>
          <w:p w14:paraId="4A4DFDA0" w14:textId="77777777" w:rsidR="0045096B" w:rsidRPr="0045096B" w:rsidRDefault="0045096B" w:rsidP="0045096B">
            <w:pPr>
              <w:rPr>
                <w:sz w:val="20"/>
                <w:szCs w:val="20"/>
              </w:rPr>
            </w:pPr>
            <w:r w:rsidRPr="0045096B">
              <w:rPr>
                <w:sz w:val="20"/>
                <w:szCs w:val="20"/>
              </w:rPr>
              <w:t>•Investment guidelines</w:t>
            </w:r>
          </w:p>
          <w:p w14:paraId="2D07B1A7" w14:textId="77777777" w:rsidR="0045096B" w:rsidRPr="0045096B" w:rsidRDefault="0045096B" w:rsidP="0045096B">
            <w:pPr>
              <w:rPr>
                <w:sz w:val="20"/>
                <w:szCs w:val="20"/>
              </w:rPr>
            </w:pPr>
            <w:r w:rsidRPr="0045096B">
              <w:rPr>
                <w:sz w:val="20"/>
                <w:szCs w:val="20"/>
              </w:rPr>
              <w:t>•Portfolio management systems</w:t>
            </w:r>
          </w:p>
          <w:p w14:paraId="1B3714EF" w14:textId="77777777" w:rsidR="0045096B" w:rsidRPr="0045096B" w:rsidRDefault="0045096B" w:rsidP="0045096B">
            <w:pPr>
              <w:rPr>
                <w:sz w:val="20"/>
                <w:szCs w:val="20"/>
              </w:rPr>
            </w:pPr>
            <w:r w:rsidRPr="0045096B">
              <w:rPr>
                <w:sz w:val="20"/>
                <w:szCs w:val="20"/>
              </w:rPr>
              <w:t>•Pre-trade and post-trade controls</w:t>
            </w:r>
          </w:p>
          <w:p w14:paraId="2B2AD052" w14:textId="77777777" w:rsidR="0045096B" w:rsidRPr="0045096B" w:rsidRDefault="0045096B" w:rsidP="0045096B">
            <w:pPr>
              <w:rPr>
                <w:sz w:val="20"/>
                <w:szCs w:val="20"/>
              </w:rPr>
            </w:pPr>
            <w:r w:rsidRPr="0045096B">
              <w:rPr>
                <w:sz w:val="20"/>
                <w:szCs w:val="20"/>
              </w:rPr>
              <w:br/>
            </w:r>
          </w:p>
          <w:p w14:paraId="248695CF" w14:textId="77777777" w:rsidR="0045096B" w:rsidRPr="0045096B" w:rsidRDefault="0045096B" w:rsidP="0045096B">
            <w:pPr>
              <w:rPr>
                <w:sz w:val="20"/>
                <w:szCs w:val="20"/>
              </w:rPr>
            </w:pPr>
            <w:r w:rsidRPr="0045096B">
              <w:rPr>
                <w:sz w:val="20"/>
                <w:szCs w:val="20"/>
              </w:rPr>
              <w:t>•Ensure portfolio managers can demonstrate ongoing compliance, not just point-in-time alignment</w:t>
            </w:r>
          </w:p>
        </w:tc>
      </w:tr>
      <w:tr w:rsidR="0045096B" w:rsidRPr="0045096B" w14:paraId="489A4AEA" w14:textId="77777777" w:rsidTr="0045096B">
        <w:trPr>
          <w:trHeight w:val="2513"/>
        </w:trPr>
        <w:tc>
          <w:tcPr>
            <w:tcW w:w="0" w:type="auto"/>
            <w:tcBorders>
              <w:top w:val="nil"/>
              <w:left w:val="single" w:sz="2" w:space="0" w:color="DDDDDD"/>
              <w:bottom w:val="nil"/>
              <w:right w:val="nil"/>
            </w:tcBorders>
            <w:shd w:val="clear" w:color="auto" w:fill="FFFFFF"/>
            <w:hideMark/>
          </w:tcPr>
          <w:p w14:paraId="00AB50BF" w14:textId="77777777" w:rsidR="0045096B" w:rsidRPr="0045096B" w:rsidRDefault="0045096B" w:rsidP="0045096B">
            <w:pPr>
              <w:rPr>
                <w:b/>
                <w:bCs/>
                <w:sz w:val="20"/>
                <w:szCs w:val="20"/>
              </w:rPr>
            </w:pPr>
            <w:r w:rsidRPr="0045096B">
              <w:rPr>
                <w:b/>
                <w:bCs/>
                <w:sz w:val="20"/>
                <w:szCs w:val="20"/>
              </w:rPr>
              <w:t>Re-map the product range against the new SFDR categories</w:t>
            </w:r>
          </w:p>
        </w:tc>
        <w:tc>
          <w:tcPr>
            <w:tcW w:w="0" w:type="auto"/>
            <w:tcBorders>
              <w:top w:val="nil"/>
              <w:left w:val="single" w:sz="2" w:space="0" w:color="DDDDDD"/>
              <w:bottom w:val="nil"/>
              <w:right w:val="nil"/>
            </w:tcBorders>
            <w:shd w:val="clear" w:color="auto" w:fill="FFFFFF"/>
            <w:hideMark/>
          </w:tcPr>
          <w:p w14:paraId="47456509" w14:textId="77777777" w:rsidR="0045096B" w:rsidRPr="0045096B" w:rsidRDefault="0045096B" w:rsidP="0045096B">
            <w:pPr>
              <w:rPr>
                <w:sz w:val="20"/>
                <w:szCs w:val="20"/>
              </w:rPr>
            </w:pPr>
            <w:r w:rsidRPr="0045096B">
              <w:rPr>
                <w:sz w:val="20"/>
                <w:szCs w:val="20"/>
              </w:rPr>
              <w:t>•Conduct a gap analysis of all existing funds against the three SFDR 2.0 categories (Sustainable, Transition, ESG Basics)</w:t>
            </w:r>
          </w:p>
          <w:p w14:paraId="4C41E635" w14:textId="77777777" w:rsidR="0045096B" w:rsidRPr="0045096B" w:rsidRDefault="0045096B" w:rsidP="0045096B">
            <w:pPr>
              <w:rPr>
                <w:sz w:val="20"/>
                <w:szCs w:val="20"/>
              </w:rPr>
            </w:pPr>
            <w:r w:rsidRPr="0045096B">
              <w:rPr>
                <w:sz w:val="20"/>
                <w:szCs w:val="20"/>
              </w:rPr>
              <w:br/>
            </w:r>
          </w:p>
          <w:p w14:paraId="17295FB0" w14:textId="77777777" w:rsidR="0045096B" w:rsidRPr="0045096B" w:rsidRDefault="0045096B" w:rsidP="0045096B">
            <w:pPr>
              <w:rPr>
                <w:sz w:val="20"/>
                <w:szCs w:val="20"/>
              </w:rPr>
            </w:pPr>
            <w:r w:rsidRPr="0045096B">
              <w:rPr>
                <w:sz w:val="20"/>
                <w:szCs w:val="20"/>
              </w:rPr>
              <w:t>•Identify which products can realistically meet the 70% minimum threshold and mandatory exclusion criteria</w:t>
            </w:r>
          </w:p>
          <w:p w14:paraId="2948B403" w14:textId="77777777" w:rsidR="0045096B" w:rsidRPr="0045096B" w:rsidRDefault="0045096B" w:rsidP="0045096B">
            <w:pPr>
              <w:rPr>
                <w:sz w:val="20"/>
                <w:szCs w:val="20"/>
              </w:rPr>
            </w:pPr>
            <w:r w:rsidRPr="0045096B">
              <w:rPr>
                <w:sz w:val="20"/>
                <w:szCs w:val="20"/>
              </w:rPr>
              <w:lastRenderedPageBreak/>
              <w:br/>
            </w:r>
          </w:p>
          <w:p w14:paraId="652E9F18" w14:textId="77777777" w:rsidR="0045096B" w:rsidRPr="0045096B" w:rsidRDefault="0045096B" w:rsidP="0045096B">
            <w:pPr>
              <w:rPr>
                <w:sz w:val="20"/>
                <w:szCs w:val="20"/>
              </w:rPr>
            </w:pPr>
            <w:r w:rsidRPr="0045096B">
              <w:rPr>
                <w:sz w:val="20"/>
                <w:szCs w:val="20"/>
              </w:rPr>
              <w:t>•Decide early which products should remain non-categorized to avoid forced re-positioning and greenwashing exposure</w:t>
            </w:r>
          </w:p>
        </w:tc>
      </w:tr>
      <w:tr w:rsidR="0045096B" w:rsidRPr="0045096B" w14:paraId="667E0597" w14:textId="77777777" w:rsidTr="0045096B">
        <w:trPr>
          <w:trHeight w:val="2513"/>
        </w:trPr>
        <w:tc>
          <w:tcPr>
            <w:tcW w:w="0" w:type="auto"/>
            <w:tcBorders>
              <w:top w:val="nil"/>
              <w:left w:val="single" w:sz="2" w:space="0" w:color="DDDDDD"/>
              <w:bottom w:val="nil"/>
              <w:right w:val="nil"/>
            </w:tcBorders>
            <w:shd w:val="clear" w:color="auto" w:fill="FFFFFF"/>
            <w:hideMark/>
          </w:tcPr>
          <w:p w14:paraId="6238BBC3" w14:textId="77777777" w:rsidR="0045096B" w:rsidRPr="0045096B" w:rsidRDefault="0045096B" w:rsidP="0045096B">
            <w:pPr>
              <w:rPr>
                <w:b/>
                <w:bCs/>
                <w:sz w:val="20"/>
                <w:szCs w:val="20"/>
              </w:rPr>
            </w:pPr>
            <w:r w:rsidRPr="0045096B">
              <w:rPr>
                <w:b/>
                <w:bCs/>
                <w:sz w:val="20"/>
                <w:szCs w:val="20"/>
              </w:rPr>
              <w:lastRenderedPageBreak/>
              <w:t>Reassess Article 8 and Article 9 products as a priority</w:t>
            </w:r>
          </w:p>
        </w:tc>
        <w:tc>
          <w:tcPr>
            <w:tcW w:w="0" w:type="auto"/>
            <w:tcBorders>
              <w:top w:val="nil"/>
              <w:left w:val="single" w:sz="2" w:space="0" w:color="DDDDDD"/>
              <w:bottom w:val="nil"/>
              <w:right w:val="nil"/>
            </w:tcBorders>
            <w:shd w:val="clear" w:color="auto" w:fill="FFFFFF"/>
            <w:hideMark/>
          </w:tcPr>
          <w:p w14:paraId="35880FFE" w14:textId="77777777" w:rsidR="0045096B" w:rsidRPr="0045096B" w:rsidRDefault="0045096B" w:rsidP="0045096B">
            <w:pPr>
              <w:rPr>
                <w:sz w:val="20"/>
                <w:szCs w:val="20"/>
              </w:rPr>
            </w:pPr>
            <w:r w:rsidRPr="0045096B">
              <w:rPr>
                <w:sz w:val="20"/>
                <w:szCs w:val="20"/>
              </w:rPr>
              <w:t>•Treat current Article 8 and Article 9 funds as high-risk for misalignment under SFDR 2.0</w:t>
            </w:r>
          </w:p>
          <w:p w14:paraId="3FDA492F" w14:textId="77777777" w:rsidR="0045096B" w:rsidRPr="0045096B" w:rsidRDefault="0045096B" w:rsidP="0045096B">
            <w:pPr>
              <w:rPr>
                <w:sz w:val="20"/>
                <w:szCs w:val="20"/>
              </w:rPr>
            </w:pPr>
            <w:r w:rsidRPr="0045096B">
              <w:rPr>
                <w:sz w:val="20"/>
                <w:szCs w:val="20"/>
              </w:rPr>
              <w:br/>
            </w:r>
          </w:p>
          <w:p w14:paraId="3436559C" w14:textId="77777777" w:rsidR="0045096B" w:rsidRPr="0045096B" w:rsidRDefault="0045096B" w:rsidP="0045096B">
            <w:pPr>
              <w:rPr>
                <w:sz w:val="20"/>
                <w:szCs w:val="20"/>
              </w:rPr>
            </w:pPr>
            <w:r w:rsidRPr="0045096B">
              <w:rPr>
                <w:sz w:val="20"/>
                <w:szCs w:val="20"/>
              </w:rPr>
              <w:t>•Stress-test investment strategies against:</w:t>
            </w:r>
          </w:p>
          <w:p w14:paraId="237F0ABB" w14:textId="77777777" w:rsidR="0045096B" w:rsidRPr="0045096B" w:rsidRDefault="0045096B" w:rsidP="0045096B">
            <w:pPr>
              <w:rPr>
                <w:sz w:val="20"/>
                <w:szCs w:val="20"/>
              </w:rPr>
            </w:pPr>
            <w:r w:rsidRPr="0045096B">
              <w:rPr>
                <w:sz w:val="20"/>
                <w:szCs w:val="20"/>
              </w:rPr>
              <w:br/>
            </w:r>
          </w:p>
          <w:p w14:paraId="5BCB5F3B" w14:textId="77777777" w:rsidR="0045096B" w:rsidRPr="0045096B" w:rsidRDefault="0045096B" w:rsidP="0045096B">
            <w:pPr>
              <w:rPr>
                <w:sz w:val="20"/>
                <w:szCs w:val="20"/>
              </w:rPr>
            </w:pPr>
            <w:r w:rsidRPr="0045096B">
              <w:rPr>
                <w:sz w:val="20"/>
                <w:szCs w:val="20"/>
              </w:rPr>
              <w:t>•New eligibility thresholds</w:t>
            </w:r>
          </w:p>
          <w:p w14:paraId="24113639" w14:textId="77777777" w:rsidR="0045096B" w:rsidRPr="0045096B" w:rsidRDefault="0045096B" w:rsidP="0045096B">
            <w:pPr>
              <w:rPr>
                <w:sz w:val="20"/>
                <w:szCs w:val="20"/>
              </w:rPr>
            </w:pPr>
            <w:r w:rsidRPr="0045096B">
              <w:rPr>
                <w:sz w:val="20"/>
                <w:szCs w:val="20"/>
              </w:rPr>
              <w:t>•Common exclusion lists</w:t>
            </w:r>
          </w:p>
          <w:p w14:paraId="4359EFBD" w14:textId="77777777" w:rsidR="0045096B" w:rsidRPr="0045096B" w:rsidRDefault="0045096B" w:rsidP="0045096B">
            <w:pPr>
              <w:rPr>
                <w:sz w:val="20"/>
                <w:szCs w:val="20"/>
              </w:rPr>
            </w:pPr>
            <w:r w:rsidRPr="0045096B">
              <w:rPr>
                <w:sz w:val="20"/>
                <w:szCs w:val="20"/>
              </w:rPr>
              <w:t>•Taxonomy alignment shortcut (15%)</w:t>
            </w:r>
          </w:p>
          <w:p w14:paraId="6C4F06FD" w14:textId="77777777" w:rsidR="0045096B" w:rsidRPr="0045096B" w:rsidRDefault="0045096B" w:rsidP="0045096B">
            <w:pPr>
              <w:rPr>
                <w:sz w:val="20"/>
                <w:szCs w:val="20"/>
              </w:rPr>
            </w:pPr>
            <w:r w:rsidRPr="0045096B">
              <w:rPr>
                <w:sz w:val="20"/>
                <w:szCs w:val="20"/>
              </w:rPr>
              <w:br/>
            </w:r>
          </w:p>
          <w:p w14:paraId="2ECC163E" w14:textId="77777777" w:rsidR="0045096B" w:rsidRPr="0045096B" w:rsidRDefault="0045096B" w:rsidP="0045096B">
            <w:pPr>
              <w:rPr>
                <w:sz w:val="20"/>
                <w:szCs w:val="20"/>
              </w:rPr>
            </w:pPr>
            <w:r w:rsidRPr="0045096B">
              <w:rPr>
                <w:sz w:val="20"/>
                <w:szCs w:val="20"/>
              </w:rPr>
              <w:t>•Prepare contingency plans for downgrading or merging products that fail to qualify</w:t>
            </w:r>
          </w:p>
        </w:tc>
      </w:tr>
    </w:tbl>
    <w:p w14:paraId="662A863A" w14:textId="76C819C1" w:rsidR="0045096B" w:rsidRPr="001C4495" w:rsidRDefault="0045096B" w:rsidP="001C4495">
      <w:pPr>
        <w:rPr>
          <w:sz w:val="20"/>
          <w:szCs w:val="20"/>
        </w:rPr>
      </w:pPr>
    </w:p>
    <w:p w14:paraId="5CCD2443" w14:textId="5794FA4B" w:rsidR="001C4495" w:rsidRDefault="0045096B">
      <w:pPr>
        <w:rPr>
          <w:sz w:val="20"/>
          <w:szCs w:val="20"/>
        </w:rPr>
      </w:pPr>
      <w:r>
        <w:rPr>
          <w:sz w:val="20"/>
          <w:szCs w:val="20"/>
        </w:rPr>
        <w:t>Report 2 pages long</w:t>
      </w:r>
    </w:p>
    <w:p w14:paraId="5EBDF771" w14:textId="3970FCC4" w:rsidR="0045096B" w:rsidRDefault="0045096B">
      <w:pPr>
        <w:rPr>
          <w:sz w:val="20"/>
          <w:szCs w:val="20"/>
        </w:rPr>
      </w:pPr>
      <w:r w:rsidRPr="0045096B">
        <w:rPr>
          <w:sz w:val="20"/>
          <w:szCs w:val="20"/>
        </w:rPr>
        <w:t>product-level PAIs</w:t>
      </w:r>
    </w:p>
    <w:p w14:paraId="0A409688" w14:textId="1096D166" w:rsidR="00171B1D" w:rsidRDefault="00171B1D">
      <w:pPr>
        <w:rPr>
          <w:sz w:val="20"/>
          <w:szCs w:val="20"/>
        </w:rPr>
      </w:pPr>
      <w:r>
        <w:rPr>
          <w:sz w:val="20"/>
          <w:szCs w:val="20"/>
        </w:rPr>
        <w:t>implementation timeline</w:t>
      </w:r>
    </w:p>
    <w:p w14:paraId="56DD264D" w14:textId="77777777" w:rsidR="00171B1D" w:rsidRPr="00171B1D" w:rsidRDefault="00171B1D" w:rsidP="00171B1D">
      <w:pPr>
        <w:rPr>
          <w:sz w:val="20"/>
          <w:szCs w:val="20"/>
        </w:rPr>
      </w:pPr>
      <w:r w:rsidRPr="00171B1D">
        <w:rPr>
          <w:sz w:val="20"/>
          <w:szCs w:val="20"/>
        </w:rPr>
        <w:t>Reclassification required: Existing Article 8 and 9 funds will need to requalify under the new regime — there is no grandfathering.</w:t>
      </w:r>
    </w:p>
    <w:p w14:paraId="7D134E81" w14:textId="77777777" w:rsidR="00171B1D" w:rsidRPr="00171B1D" w:rsidRDefault="00171B1D" w:rsidP="00171B1D">
      <w:pPr>
        <w:rPr>
          <w:sz w:val="20"/>
          <w:szCs w:val="20"/>
        </w:rPr>
      </w:pPr>
      <w:r w:rsidRPr="00171B1D">
        <w:rPr>
          <w:sz w:val="20"/>
          <w:szCs w:val="20"/>
        </w:rPr>
        <w:t>Data strategy shift: ESG data needs will move from volume to quality and credibility, with emphasis on exclusions, EU Taxonomy alignment, transition plans, and engagement metrics.</w:t>
      </w:r>
    </w:p>
    <w:p w14:paraId="6854049F" w14:textId="68B7B8B3" w:rsidR="00171B1D" w:rsidRDefault="00171B1D" w:rsidP="00171B1D">
      <w:pPr>
        <w:rPr>
          <w:sz w:val="20"/>
          <w:szCs w:val="20"/>
        </w:rPr>
      </w:pPr>
      <w:r w:rsidRPr="00171B1D">
        <w:rPr>
          <w:sz w:val="20"/>
          <w:szCs w:val="20"/>
        </w:rPr>
        <w:t>Investor communication: Shorter, clearer disclosures aim to improve retail usability and comparability, but managers must prepare for scrutiny on category criteria.</w:t>
      </w:r>
    </w:p>
    <w:p w14:paraId="425E4E0B" w14:textId="05A1909A" w:rsidR="0045096B" w:rsidRDefault="0045096B">
      <w:pPr>
        <w:rPr>
          <w:sz w:val="20"/>
          <w:szCs w:val="20"/>
        </w:rPr>
      </w:pPr>
      <w:r>
        <w:rPr>
          <w:sz w:val="20"/>
          <w:szCs w:val="20"/>
        </w:rPr>
        <w:t>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096B" w14:paraId="65330DCA" w14:textId="77777777" w:rsidTr="0045096B">
        <w:tc>
          <w:tcPr>
            <w:tcW w:w="4508" w:type="dxa"/>
          </w:tcPr>
          <w:p w14:paraId="75F00D5A" w14:textId="3D659C3F" w:rsidR="0045096B" w:rsidRDefault="004509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SFDR statistic</w:t>
            </w:r>
          </w:p>
        </w:tc>
        <w:tc>
          <w:tcPr>
            <w:tcW w:w="4508" w:type="dxa"/>
          </w:tcPr>
          <w:p w14:paraId="153D214C" w14:textId="2BD9C9FD" w:rsidR="0045096B" w:rsidRDefault="0045096B">
            <w:pPr>
              <w:rPr>
                <w:sz w:val="20"/>
                <w:szCs w:val="20"/>
              </w:rPr>
            </w:pPr>
            <w:r w:rsidRPr="0045096B">
              <w:rPr>
                <w:sz w:val="20"/>
                <w:szCs w:val="20"/>
              </w:rPr>
              <w:t>https://www.sustainalytics.com/esg-research/resource/investors-esg-blog/sfdr-2.0-in-figures--impact-analysis</w:t>
            </w:r>
          </w:p>
        </w:tc>
      </w:tr>
      <w:tr w:rsidR="0045096B" w14:paraId="38F57F13" w14:textId="77777777" w:rsidTr="0045096B">
        <w:tc>
          <w:tcPr>
            <w:tcW w:w="4508" w:type="dxa"/>
          </w:tcPr>
          <w:p w14:paraId="72A4EC86" w14:textId="77777777" w:rsidR="0045096B" w:rsidRDefault="0045096B">
            <w:pPr>
              <w:rPr>
                <w:sz w:val="20"/>
                <w:szCs w:val="20"/>
              </w:rPr>
            </w:pPr>
          </w:p>
        </w:tc>
        <w:tc>
          <w:tcPr>
            <w:tcW w:w="4508" w:type="dxa"/>
          </w:tcPr>
          <w:p w14:paraId="3C12D155" w14:textId="77777777" w:rsidR="0045096B" w:rsidRDefault="0045096B">
            <w:pPr>
              <w:rPr>
                <w:sz w:val="20"/>
                <w:szCs w:val="20"/>
              </w:rPr>
            </w:pPr>
          </w:p>
        </w:tc>
      </w:tr>
      <w:tr w:rsidR="0045096B" w14:paraId="260D21A0" w14:textId="77777777" w:rsidTr="0045096B">
        <w:tc>
          <w:tcPr>
            <w:tcW w:w="4508" w:type="dxa"/>
          </w:tcPr>
          <w:p w14:paraId="3D18C389" w14:textId="77777777" w:rsidR="0045096B" w:rsidRDefault="0045096B">
            <w:pPr>
              <w:rPr>
                <w:sz w:val="20"/>
                <w:szCs w:val="20"/>
              </w:rPr>
            </w:pPr>
          </w:p>
        </w:tc>
        <w:tc>
          <w:tcPr>
            <w:tcW w:w="4508" w:type="dxa"/>
          </w:tcPr>
          <w:p w14:paraId="7A122B1E" w14:textId="77777777" w:rsidR="0045096B" w:rsidRDefault="0045096B">
            <w:pPr>
              <w:rPr>
                <w:sz w:val="20"/>
                <w:szCs w:val="20"/>
              </w:rPr>
            </w:pPr>
          </w:p>
        </w:tc>
      </w:tr>
      <w:tr w:rsidR="0045096B" w14:paraId="52F0AF6B" w14:textId="77777777" w:rsidTr="0045096B">
        <w:tc>
          <w:tcPr>
            <w:tcW w:w="4508" w:type="dxa"/>
          </w:tcPr>
          <w:p w14:paraId="60CFB730" w14:textId="77777777" w:rsidR="0045096B" w:rsidRDefault="0045096B">
            <w:pPr>
              <w:rPr>
                <w:sz w:val="20"/>
                <w:szCs w:val="20"/>
              </w:rPr>
            </w:pPr>
          </w:p>
        </w:tc>
        <w:tc>
          <w:tcPr>
            <w:tcW w:w="4508" w:type="dxa"/>
          </w:tcPr>
          <w:p w14:paraId="1BB391E5" w14:textId="77777777" w:rsidR="0045096B" w:rsidRDefault="0045096B">
            <w:pPr>
              <w:rPr>
                <w:sz w:val="20"/>
                <w:szCs w:val="20"/>
              </w:rPr>
            </w:pPr>
          </w:p>
        </w:tc>
      </w:tr>
    </w:tbl>
    <w:p w14:paraId="68E4A682" w14:textId="77777777" w:rsidR="0045096B" w:rsidRDefault="0045096B">
      <w:pPr>
        <w:rPr>
          <w:sz w:val="20"/>
          <w:szCs w:val="20"/>
        </w:rPr>
      </w:pPr>
    </w:p>
    <w:p w14:paraId="4E73EF44" w14:textId="77777777" w:rsidR="0045096B" w:rsidRPr="001C4495" w:rsidRDefault="0045096B">
      <w:pPr>
        <w:rPr>
          <w:sz w:val="20"/>
          <w:szCs w:val="20"/>
        </w:rPr>
      </w:pPr>
    </w:p>
    <w:sectPr w:rsidR="0045096B" w:rsidRPr="001C4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D8B"/>
    <w:rsid w:val="00171B1D"/>
    <w:rsid w:val="001C4495"/>
    <w:rsid w:val="002A5D8B"/>
    <w:rsid w:val="003F0F1A"/>
    <w:rsid w:val="0045096B"/>
    <w:rsid w:val="006C07E6"/>
    <w:rsid w:val="007C12A7"/>
    <w:rsid w:val="00D22E48"/>
    <w:rsid w:val="00DA59B3"/>
    <w:rsid w:val="00EC6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15AD2"/>
  <w15:chartTrackingRefBased/>
  <w15:docId w15:val="{5D316ADC-E5F0-409B-AAD5-C2780D806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D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5D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C44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49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509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bloomberg.com/professional/insights/sustainable-finance/sfdr-2-0-why-data-becomes-the-new-competitive-edge/#:~:text=One%20of%20the%20biggest%20changes,measurable%20social%20or%20environmental%20impac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951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 YIK WEI</dc:creator>
  <cp:keywords/>
  <dc:description/>
  <cp:lastModifiedBy>NG YIK WEI</cp:lastModifiedBy>
  <cp:revision>1</cp:revision>
  <dcterms:created xsi:type="dcterms:W3CDTF">2026-04-03T16:54:00Z</dcterms:created>
  <dcterms:modified xsi:type="dcterms:W3CDTF">2026-04-03T17:59:00Z</dcterms:modified>
</cp:coreProperties>
</file>