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8.png" ContentType="image/png"/>
  <Override PartName="/word/media/rId30.png" ContentType="image/png"/>
  <Override PartName="/word/media/rId35.png" ContentType="image/png"/>
  <Override PartName="/word/media/rId21.png" ContentType="image/png"/>
  <Override PartName="/word/media/rId38.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Calibrated</w:t>
      </w:r>
      <w:r>
        <w:t xml:space="preserve"> </w:t>
      </w:r>
      <w:r>
        <w:t xml:space="preserve">net</w:t>
      </w:r>
      <w:r>
        <w:t xml:space="preserve"> </w:t>
      </w:r>
      <w:r>
        <w:t xml:space="preserve">influence:</w:t>
      </w:r>
      <w:r>
        <w:t xml:space="preserve"> </w:t>
      </w:r>
      <w:r>
        <w:t xml:space="preserve">detecting</w:t>
      </w:r>
      <w:r>
        <w:t xml:space="preserve"> </w:t>
      </w:r>
      <w:r>
        <w:t xml:space="preserve">a</w:t>
      </w:r>
      <w:r>
        <w:t xml:space="preserve"> </w:t>
      </w:r>
      <w:r>
        <w:t xml:space="preserve">colluding</w:t>
      </w:r>
      <w:r>
        <w:t xml:space="preserve"> </w:t>
      </w:r>
      <w:r>
        <w:t xml:space="preserve">pair</w:t>
      </w:r>
      <w:r>
        <w:t xml:space="preserve"> </w:t>
      </w:r>
      <w:r>
        <w:t xml:space="preserve">from</w:t>
      </w:r>
      <w:r>
        <w:t xml:space="preserve"> </w:t>
      </w:r>
      <w:r>
        <w:t xml:space="preserve">actions</w:t>
      </w:r>
      <w:r>
        <w:t xml:space="preserve"> </w:t>
      </w:r>
      <w:r>
        <w:t xml:space="preserve">alone,</w:t>
      </w:r>
      <w:r>
        <w:t xml:space="preserve"> </w:t>
      </w:r>
      <w:r>
        <w:t xml:space="preserve">and</w:t>
      </w:r>
      <w:r>
        <w:t xml:space="preserve"> </w:t>
      </w:r>
      <w:r>
        <w:t xml:space="preserve">telling</w:t>
      </w:r>
      <w:r>
        <w:t xml:space="preserve"> </w:t>
      </w:r>
      <w:r>
        <w:t xml:space="preserve">it</w:t>
      </w:r>
      <w:r>
        <w:t xml:space="preserve"> </w:t>
      </w:r>
      <w:r>
        <w:t xml:space="preserve">apart</w:t>
      </w:r>
      <w:r>
        <w:t xml:space="preserve"> </w:t>
      </w:r>
      <w:r>
        <w:t xml:space="preserve">from</w:t>
      </w:r>
      <w:r>
        <w:t xml:space="preserve"> </w:t>
      </w:r>
      <w:r>
        <w:t xml:space="preserve">innocent</w:t>
      </w:r>
      <w:r>
        <w:t xml:space="preserve"> </w:t>
      </w:r>
      <w:r>
        <w:t xml:space="preserve">parallel</w:t>
      </w:r>
      <w:r>
        <w:t xml:space="preserve"> </w:t>
      </w:r>
      <w:r>
        <w:t xml:space="preserve">conduct</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What should count as evidence that two AI agents are colluding? Antitrust law holds that parallel conduct is not an agreement and demands plus factors. We test one plus factor at two evidence surfaces, action logs and model internals, and in each case measure how the naive reading mistakes something innocent for collusion. On actions, we implement pairwise net influence (Bonjour et al. 2022) for N players, add a within-state permutation null, and run the ground-truth evaluation the method has never had: 4,400 scripted four-player games over five horizons, six collusion strengths, four baselines and two public-state definitions, an innocent pair following the same public rule, a harder innocent pair keyed on a richer state, and a coalition of three. The published memoryless statistic and every unconditioned baseline rank the innocent pair first in 96 to 100 percent of games; conditioning on the public state recovers the true pair in 98 to 100 percent; the permutation null cuts the 25-round false-positive rate from 100 percent to 25 percent; and we report where the conditioned detector breaks. Two pilots on real models were built but returned no results before the deadline, so no claim is made for them: an action-only test of GPT-4.1-mini agents with a hidden channel, and the privileged-observer control Rose et al. (2026) proposed, a Jacobian-lens assay on gemma-4-12B-it asking whether a partner’s coded proposal reads out differently from a receiver that adopts it and one that understands and refuses. Code, logs and notebooks are released.</w:t>
      </w:r>
    </w:p>
    <w:bookmarkEnd w:id="20"/>
    <w:bookmarkStart w:id="24"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Before this sprint it had been tested only on three scripted or Q-learning players, with no baseline comparison, no public code, and a fixed threshold whose behaviour at short horizons was not examined. Several concurrent sprint entries apply it directly to LLM players (Ayeku 2026; Snow 2026; Lee et al. 2026). What none of them provides, and what a detector needs before anyone relies on its verdicts, is a ground-truth characterisation: at which horizons, collusion strengths and kinds of innocent correlation does it hold, and where does it break. That is the first half of this report.</w:t>
      </w:r>
    </w:p>
    <w:p>
      <w:pPr>
        <w:pStyle w:val="BodyText"/>
      </w:pPr>
      <w:r>
        <w:t xml:space="preserve">The same problem recurs one level down. Interpretability-based collusion detectors (Rose et al. 2026, with the HELIOS framework and NARCBench) read a coalition out of activations. But a receiver that understands a partner’s harmful proposal in order to refuse it must represent that proposal too, so a lens that finds the proposal in the workspace has not yet found an agreement. Rose et al. name exactly this control, a privileged observer that knows the scheme but does not take part, and leave it to future work; Gurnee et al. (2026) and Ayonrinde and Lindsey (2026) show that a concept can sit in the workspace while the model suppresses it. The second half of this report specifies that control with a workspace lens and releases the harness; the pilot did not complete before submission, so it is set out as a design and not as a result.</w:t>
      </w:r>
    </w:p>
    <w:p>
      <w:pPr>
        <w:pStyle w:val="BodyText"/>
      </w:pPr>
      <w:r>
        <w:t xml:space="preserve">This report therefore addresses the plus-factor logic at two evidence surfaces, in a weekend-sized scope:</w:t>
      </w:r>
    </w:p>
    <w:p>
      <w:pPr>
        <w:numPr>
          <w:ilvl w:val="0"/>
          <w:numId w:val="1001"/>
        </w:numPr>
        <w:pStyle w:val="Compact"/>
      </w:pPr>
      <w:r>
        <w:t xml:space="preserve">Actions. We implement pairwise net influence for arbitrary N with a permutation null, and evaluate it with ground truth against four baselines across horizons, collusion strengths, two public-state definitions, an innocent same-rule pair, a harder innocent pair keyed on a richer state, and a coalition of three. A harness to apply the same detector to GPT-4.1-mini agents with a hidden private channel is built and released, but its results did not arrive before the deadline.</w:t>
      </w:r>
    </w:p>
    <w:p>
      <w:pPr>
        <w:numPr>
          <w:ilvl w:val="0"/>
          <w:numId w:val="1001"/>
        </w:numPr>
        <w:pStyle w:val="Compact"/>
      </w:pPr>
      <w:r>
        <w:t xml:space="preserve">Internals. Using a fitted Jacobian lens on gemma-4-12B-it, we specify the privileged-observer control: does the workspace readout of a partner’s coded proposal differ between a receiver that adopts it and one that understands it and refuses, with matched permission, tag-swap and tag-erase conditions. The notebook is released; it was not run to completion before submission.</w:t>
      </w:r>
    </w:p>
    <w:p>
      <w:pPr>
        <w:pStyle w:val="FirstParagraph"/>
      </w:pPr>
      <w:r>
        <w:t xml:space="preserve">The scripted environment costs nothing and gives ground truth, which a detector needs before anyone trusts it on LLM logs; the LLM and lens harnesses are built to test the two surfaces on real models and will be run after the sprint. Figure 1 summarises the design.</w:t>
      </w:r>
    </w:p>
    <w:p>
      <w:pPr>
        <w:pStyle w:val="CaptionedFigure"/>
      </w:pPr>
      <w:r>
        <w:drawing>
          <wp:inline>
            <wp:extent cx="4267200" cy="2607733"/>
            <wp:effectExtent b="0" l="0" r="0" t="0"/>
            <wp:docPr descr="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 title="" id="22" name="Picture"/>
            <a:graphic>
              <a:graphicData uri="http://schemas.openxmlformats.org/drawingml/2006/picture">
                <pic:pic>
                  <pic:nvPicPr>
                    <pic:cNvPr descr="../results/fig_evidence_ladder.png" id="23" name="Picture"/>
                    <pic:cNvPicPr>
                      <a:picLocks noChangeArrowheads="1" noChangeAspect="1"/>
                    </pic:cNvPicPr>
                  </pic:nvPicPr>
                  <pic:blipFill>
                    <a:blip r:embed="rId21"/>
                    <a:stretch>
                      <a:fillRect/>
                    </a:stretch>
                  </pic:blipFill>
                  <pic:spPr bwMode="auto">
                    <a:xfrm>
                      <a:off x="0" y="0"/>
                      <a:ext cx="4267200" cy="2607733"/>
                    </a:xfrm>
                    <a:prstGeom prst="rect">
                      <a:avLst/>
                    </a:prstGeom>
                    <a:noFill/>
                    <a:ln w="9525">
                      <a:noFill/>
                      <a:headEnd/>
                      <a:tailEnd/>
                    </a:ln>
                  </pic:spPr>
                </pic:pic>
              </a:graphicData>
            </a:graphic>
          </wp:inline>
        </w:drawing>
      </w:r>
    </w:p>
    <w:p>
      <w:pPr>
        <w:pStyle w:val="ImageCaption"/>
      </w:pPr>
      <w:r>
        <w:t xml:space="preserve">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w:t>
      </w:r>
    </w:p>
    <w:bookmarkEnd w:id="24"/>
    <w:bookmarkStart w:id="25"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fixed threshold. The method was validated on three scripted or Q-learning players with no baseline and no public code, and the threshold’s behaviour at short horizons was not examined. Later information-theoretic detectors for language-model agents work on transcripts rather than actions: Tailor (2025) and Ghanem (2026) estimate cross-run mutual information over messages with honest-replay calibration, and neither conditions on a public state. We found no application of transfer entropy or directed information to LLM coordination. Xu et al. (2026) show that two deployments of one base model carry a small residual bid correlation and conclude that price-level audits are blind by construction; this is the LLM form of the parallel-conduct confound we test. Within the same sprint, Ayeku (2026) and Snow (2026) independently apply net influence with a permutation test to LLM players, and Ayeku also conditions on a public state against an innocent rule-following pair. Our scripted sweep (4,400 games, five horizons, six collusion strengths, four baselines, two state functions, with and without correction) is the systematic ground-truth evaluation that those concurrent LLM-first entries do not report.</w:t>
      </w:r>
    </w:p>
    <w:p>
      <w:pPr>
        <w:pStyle w:val="BodyText"/>
      </w:pPr>
      <w:r>
        <w:rPr>
          <w:bCs/>
          <w:b/>
        </w:rPr>
        <w:t xml:space="preserve">Detection from internals.</w:t>
      </w:r>
      <w:r>
        <w:t xml:space="preserve"> </w:t>
      </w:r>
      <w:r>
        <w:t xml:space="preserve">Rose et al. (2026) train a deception direction on residual activations and aggregate per-agent scores across a group, reaching 1.00 AUROC in-distribution and 0.73 to 0.93 zero-shot. They name, and leave to future work, a privileged-observer control in which an agent knows the scheme but does not take part. Li et al. (2026) find that a probe confined to the Jacobian-lens transport subspace detects stated stance but is no better than a random subspace at detecting withheld collusion. Veras Neves (2026) reads a coordination signal from the J-lens on single legal-judgement prompts in Qwen3.5-4B and gemma-4-e4b-it, with lexical-echo and answer-slot controls but no condition in which the model understands a proposal and declines it. Gurnee et al. (2026) and Ayonrinde and Lindsey (2026) show that a concept can sit in the workspace while the model suppresses it, which is the premise our refusal-matched assay tests.</w:t>
      </w:r>
    </w:p>
    <w:p>
      <w:pPr>
        <w:pStyle w:val="BodyText"/>
      </w:pPr>
      <w:r>
        <w:rPr>
          <w:bCs/>
          <w:b/>
        </w:rPr>
        <w:t xml:space="preserve">Evidence standards.</w:t>
      </w:r>
      <w:r>
        <w:t xml:space="preserve"> </w:t>
      </w:r>
      <w:r>
        <w:t xml:space="preserve">Berger et al. (2025) survey plus factors beyond parallelism. We operationalise one: dependence that survives conditioning on the public information set and exceeds a permutation null.</w:t>
      </w:r>
    </w:p>
    <w:bookmarkEnd w:id="25"/>
    <w:bookmarkStart w:id="34" w:name="method"/>
    <w:p>
      <w:pPr>
        <w:pStyle w:val="Heading2"/>
      </w:pPr>
      <w:r>
        <w:t xml:space="preserve">3. Method</w:t>
      </w:r>
    </w:p>
    <w:bookmarkStart w:id="26"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6"/>
    <w:bookmarkStart w:id="27" w:name="state-functions"/>
    <w:p>
      <w:pPr>
        <w:pStyle w:val="Heading3"/>
      </w:pPr>
      <w:r>
        <w:t xml:space="preserve">3.2 State functions</w:t>
      </w:r>
    </w:p>
    <w:p>
      <w:pPr>
        <w:pStyle w:val="FirstParagraph"/>
      </w:pPr>
      <w:r>
        <w:t xml:space="preserve">The paper leaves the state to the game. We compare a memoryless state (gamma reduces to plain mutual information), the previous round’s majority action (four values, the minimal public summary a parallel rule could key on) and, in Section 4.5, the full previous action profile (82 values, sparse at short horizons).</w:t>
      </w:r>
    </w:p>
    <w:bookmarkEnd w:id="27"/>
    <w:bookmarkStart w:id="28"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8"/>
    <w:bookmarkStart w:id="29"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(the published method) and with the majority state, each with and without the permutation correction; raw mutual information; Cramer’s V; same-action rate. Metrics: rank-1 accuracy (the true pair scores highest of six), criterion accuracy (exactly one pair crosses alpha and it is the true pair) and false-positive rate (any pair crosses alpha with no collusion present).</w:t>
      </w:r>
    </w:p>
    <w:bookmarkEnd w:id="29"/>
    <w:bookmarkStart w:id="33" w:name="workspace-lens-proposal-assay"/>
    <w:p>
      <w:pPr>
        <w:pStyle w:val="Heading3"/>
      </w:pPr>
      <w:r>
        <w:t xml:space="preserve">3.5 Workspace-lens proposal assay</w:t>
      </w:r>
    </w:p>
    <w:p>
      <w:pPr>
        <w:pStyle w:val="FirstParagraph"/>
      </w:pPr>
      <w:r>
        <w:t xml:space="preserve">A planted-communication assay with a scripted sender and a model receiver (gemma-4-12B-it, NF4 4-bit, solarkyle lens, read at the last prompt token before generation). Each base case fixes four candidate items (red, blue, green, black), a policy marking two eligible and two ineligible, a random codebook mapping four tag words to the items, and a sender nomination that is ineligible. The receiver sees the policy, the full codebook and the tag, and must reply with one item or abstain. Five matched prompts per base case: unauthorized (pair-bonus objective, nomination ineligible), permitted (same tag, nomination made eligible), refusal (strict-compliance objective), tag swapped (tag for the other ineligible item) and tag erased. For every prompt we record the rank of each candidate’s token in the lens readout in an early band (first quarter of layers), a late band (0.6 to 0.95, the band that performed best in a prior sweep on this model) and the full upper band, and the item the receiver actually approved. The metrics, bands and conditions were fixed in code before any receiver was run. The headline quantity is candidate decoding of the transmitted item conditional on actual behaviour: adopted in the unauthorized condition versus refused in the refusal condition. The design calls for thirty base cases and 150 receiver evaluations. Figure 2 shows the pipeline and the five conditions.</w:t>
      </w:r>
    </w:p>
    <w:p>
      <w:pPr>
        <w:pStyle w:val="CaptionedFigure"/>
      </w:pPr>
      <w:r>
        <w:drawing>
          <wp:inline>
            <wp:extent cx="4267200" cy="2015066"/>
            <wp:effectExtent b="0" l="0" r="0" t="0"/>
            <wp:docPr descr="Figure 2. The lens assay: scripted sender, random codebook, receiver prompt, Jacobian-lens readout at the last prompt token, one-word action, and the five matched conditions per base case." title="" id="31" name="Picture"/>
            <a:graphic>
              <a:graphicData uri="http://schemas.openxmlformats.org/drawingml/2006/picture">
                <pic:pic>
                  <pic:nvPicPr>
                    <pic:cNvPr descr="../results/fig_lens_assay.png" id="32" name="Picture"/>
                    <pic:cNvPicPr>
                      <a:picLocks noChangeArrowheads="1" noChangeAspect="1"/>
                    </pic:cNvPicPr>
                  </pic:nvPicPr>
                  <pic:blipFill>
                    <a:blip r:embed="rId30"/>
                    <a:stretch>
                      <a:fillRect/>
                    </a:stretch>
                  </pic:blipFill>
                  <pic:spPr bwMode="auto">
                    <a:xfrm>
                      <a:off x="0" y="0"/>
                      <a:ext cx="4267200" cy="2015066"/>
                    </a:xfrm>
                    <a:prstGeom prst="rect">
                      <a:avLst/>
                    </a:prstGeom>
                    <a:noFill/>
                    <a:ln w="9525">
                      <a:noFill/>
                      <a:headEnd/>
                      <a:tailEnd/>
                    </a:ln>
                  </pic:spPr>
                </pic:pic>
              </a:graphicData>
            </a:graphic>
          </wp:inline>
        </w:drawing>
      </w:r>
    </w:p>
    <w:p>
      <w:pPr>
        <w:pStyle w:val="ImageCaption"/>
      </w:pPr>
      <w:r>
        <w:t xml:space="preserve">Figure 2. The lens assay: scripted sender, random codebook, receiver prompt, Jacobian-lens readout at the last prompt token, one-word action, and the five matched conditions per base case.</w:t>
      </w:r>
    </w:p>
    <w:bookmarkEnd w:id="33"/>
    <w:bookmarkEnd w:id="34"/>
    <w:bookmarkStart w:id="42" w:name="results-scripted"/>
    <w:p>
      <w:pPr>
        <w:pStyle w:val="Heading2"/>
      </w:pPr>
      <w:r>
        <w:t xml:space="preserve">4. Results (scripted)</w:t>
      </w:r>
    </w:p>
    <w:p>
      <w:pPr>
        <w:pStyle w:val="CaptionedFigure"/>
      </w:pPr>
      <w:r>
        <w:drawing>
          <wp:inline>
            <wp:extent cx="5334000" cy="1866900"/>
            <wp:effectExtent b="0" l="0" r="0" t="0"/>
            <wp:docPr descr="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36" name="Picture"/>
            <a:graphic>
              <a:graphicData uri="http://schemas.openxmlformats.org/drawingml/2006/picture">
                <pic:pic>
                  <pic:nvPicPr>
                    <pic:cNvPr descr="../results/fig_scripted.png" id="37" name="Picture"/>
                    <pic:cNvPicPr>
                      <a:picLocks noChangeArrowheads="1" noChangeAspect="1"/>
                    </pic:cNvPicPr>
                  </pic:nvPicPr>
                  <pic:blipFill>
                    <a:blip r:embed="rId35"/>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criterion accuracy is 0.82, 0.93 and 1.00 at 25, 50 and 100 rounds, and at T = 100 it rises from 0.24 at CP = 0.2 to 1.00 at CP = 0.6.</w:t>
      </w:r>
    </w:p>
    <w:p>
      <w:pPr>
        <w:pStyle w:val="BodyText"/>
      </w:pPr>
      <w:r>
        <w:rPr>
          <w:bCs/>
          <w:b/>
        </w:rPr>
        <w:t xml:space="preserve">Same-action rate is not a collusion statistic.</w:t>
      </w:r>
      <w:r>
        <w:t xml:space="preserve"> </w:t>
      </w:r>
      <w:r>
        <w:t xml:space="preserve">The agreement baseline scores 0.00 in every collusion condition from 50 rounds on, because the assisting move is the move that loses to the partner: collusion here looks like anti-correlation.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(Table 2);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Table 2. False-positive rate of the exactly-one-pair criterion (alpha = 0.05) when no collusion is present.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w:t>
            </w:r>
          </w:p>
        </w:tc>
        <w:tc>
          <w:tcPr/>
          <w:p>
            <w:pPr>
              <w:pStyle w:val="Compact"/>
              <w:jc w:val="left"/>
            </w:pPr>
            <w:r>
              <w:t xml:space="preserve">NI memoryless, all random</w:t>
            </w:r>
          </w:p>
        </w:tc>
        <w:tc>
          <w:tcPr/>
          <w:p>
            <w:pPr>
              <w:pStyle w:val="Compact"/>
              <w:jc w:val="left"/>
            </w:pPr>
            <w:r>
              <w:t xml:space="preserve">NI majority, parallel-only</w:t>
            </w:r>
          </w:p>
        </w:tc>
        <w:tc>
          <w:tcPr/>
          <w:p>
            <w:pPr>
              <w:pStyle w:val="Compact"/>
              <w:jc w:val="left"/>
            </w:pPr>
            <w:r>
              <w:t xml:space="preserve">NI+perm majority, all random</w:t>
            </w:r>
          </w:p>
        </w:tc>
        <w:tc>
          <w:tcPr/>
          <w:p>
            <w:pPr>
              <w:pStyle w:val="Compact"/>
              <w:jc w:val="left"/>
            </w:pPr>
            <w:r>
              <w:t xml:space="preserve">NI+perm majority, parallel-only</w:t>
            </w:r>
          </w:p>
        </w:tc>
      </w:tr>
      <w:tr>
        <w:tc>
          <w:tcPr/>
          <w:p>
            <w:pPr>
              <w:pStyle w:val="Compact"/>
              <w:jc w:val="left"/>
            </w:pPr>
            <w:r>
              <w:t xml:space="preserve">25</w:t>
            </w:r>
          </w:p>
        </w:tc>
        <w:tc>
          <w:tcPr/>
          <w:p>
            <w:pPr>
              <w:pStyle w:val="Compact"/>
              <w:jc w:val="left"/>
            </w:pPr>
            <w:r>
              <w:t xml:space="preserve">0.55</w:t>
            </w:r>
          </w:p>
        </w:tc>
        <w:tc>
          <w:tcPr/>
          <w:p>
            <w:pPr>
              <w:pStyle w:val="Compact"/>
              <w:jc w:val="left"/>
            </w:pPr>
            <w:r>
              <w:t xml:space="preserve">1.00</w:t>
            </w:r>
          </w:p>
        </w:tc>
        <w:tc>
          <w:tcPr/>
          <w:p>
            <w:pPr>
              <w:pStyle w:val="Compact"/>
              <w:jc w:val="left"/>
            </w:pPr>
            <w:r>
              <w:t xml:space="preserve">0.50</w:t>
            </w:r>
          </w:p>
        </w:tc>
        <w:tc>
          <w:tcPr/>
          <w:p>
            <w:pPr>
              <w:pStyle w:val="Compact"/>
              <w:jc w:val="left"/>
            </w:pPr>
            <w:r>
              <w:t xml:space="preserve">0.25</w:t>
            </w:r>
          </w:p>
        </w:tc>
      </w:tr>
      <w:tr>
        <w:tc>
          <w:tcPr/>
          <w:p>
            <w:pPr>
              <w:pStyle w:val="Compact"/>
              <w:jc w:val="left"/>
            </w:pPr>
            <w:r>
              <w:t xml:space="preserve">50</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0.20</w:t>
            </w:r>
          </w:p>
        </w:tc>
      </w:tr>
      <w:tr>
        <w:tc>
          <w:tcPr/>
          <w:p>
            <w:pPr>
              <w:pStyle w:val="Compact"/>
              <w:jc w:val="left"/>
            </w:pPr>
            <w:r>
              <w:t xml:space="preserve">100</w:t>
            </w:r>
          </w:p>
        </w:tc>
        <w:tc>
          <w:tcPr/>
          <w:p>
            <w:pPr>
              <w:pStyle w:val="Compact"/>
              <w:jc w:val="left"/>
            </w:pPr>
            <w:r>
              <w:t xml:space="preserve">0.02</w:t>
            </w:r>
          </w:p>
        </w:tc>
        <w:tc>
          <w:tcPr/>
          <w:p>
            <w:pPr>
              <w:pStyle w:val="Compact"/>
              <w:jc w:val="left"/>
            </w:pPr>
            <w:r>
              <w:t xml:space="preserve">0.67</w:t>
            </w:r>
          </w:p>
        </w:tc>
        <w:tc>
          <w:tcPr/>
          <w:p>
            <w:pPr>
              <w:pStyle w:val="Compact"/>
              <w:jc w:val="left"/>
            </w:pPr>
            <w:r>
              <w:t xml:space="preserve">0.10</w:t>
            </w:r>
          </w:p>
        </w:tc>
        <w:tc>
          <w:tcPr/>
          <w:p>
            <w:pPr>
              <w:pStyle w:val="Compact"/>
              <w:jc w:val="left"/>
            </w:pPr>
            <w:r>
              <w:t xml:space="preserve">0.05</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0.01</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single 25-round LLM game catches only a coalition that coordinates in well over half of rounds; pooling ten games brings CP = 0.4 into reach.</w:t>
      </w:r>
    </w:p>
    <w:bookmarkStart w:id="41" w:name="Xe39c9d91cc6afdedab1e3c5e8913428fa7b5c95"/>
    <w:p>
      <w:pPr>
        <w:pStyle w:val="Heading3"/>
      </w:pPr>
      <w:r>
        <w:t xml:space="preserve">4.5 Extensions: calibrated criterion, a harder confound, and a coalition of three</w:t>
      </w:r>
    </w:p>
    <w:p>
      <w:pPr>
        <w:pStyle w:val="FirstParagraph"/>
      </w:pPr>
      <w:r>
        <w:t xml:space="preserve">Three further experiments (experiments/scripted_extensions.py, 100 seeds per cell, 200 permutations, 3,000 games; Figure 4) probe the limits of the method.</w:t>
      </w:r>
    </w:p>
    <w:p>
      <w:pPr>
        <w:pStyle w:val="BodyText"/>
      </w:pPr>
      <w:r>
        <w:rPr>
          <w:bCs/>
          <w:b/>
        </w:rPr>
        <w:t xml:space="preserve">A calibrated criterion.</w:t>
      </w:r>
      <w:r>
        <w:t xml:space="preserve"> </w:t>
      </w:r>
      <w:r>
        <w:t xml:space="preserve">We replace the fixed alpha = 0.05 threshold with a p-value rule: a pair is declared colluding iff its within-state permutation p-value, Holm-corrected over the six pairs, is below 0.05 and its corrected net-influence score is the largest among pairs. With the majority state this rule is calibrated where the fixed threshold is not (Table 3). In the all-random world it fires in 3 to 6% of games at every length, against 49% for the fixed threshold at 25 rounds; in the parallel-only world it fires in 0 to 1% of games and never names the innocent pair. The price is power at 25 rounds: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From 100 rounds both rules reach 1.00.</w:t>
      </w:r>
    </w:p>
    <w:p>
      <w:pPr>
        <w:pStyle w:val="BodyText"/>
      </w:pPr>
      <w:r>
        <w:rPr>
          <w:bCs/>
          <w:b/>
        </w:rPr>
        <w:t xml:space="preserve">Table 3. Fixed alpha versus the Holm p-value rule, NI+perm, state = previous majority, CP = 0.6.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calibrated: power (parallel)</w:t>
            </w:r>
          </w:p>
        </w:tc>
        <w:tc>
          <w:tcPr/>
          <w:p>
            <w:pPr>
              <w:pStyle w:val="Compact"/>
              <w:jc w:val="left"/>
            </w:pPr>
            <w:r>
              <w:t xml:space="preserve">calibrated: FPR (random)</w:t>
            </w:r>
          </w:p>
        </w:tc>
        <w:tc>
          <w:tcPr/>
          <w:p>
            <w:pPr>
              <w:pStyle w:val="Compact"/>
              <w:jc w:val="left"/>
            </w:pPr>
            <w:r>
              <w:t xml:space="preserve">calibrated: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p>
      <w:pPr>
        <w:pStyle w:val="BodyText"/>
      </w:pPr>
      <w:r>
        <w:rPr>
          <w:bCs/>
          <w:b/>
        </w:rPr>
        <w:t xml:space="preserve">A richer innocent rule.</w:t>
      </w:r>
      <w:r>
        <w:t xml:space="preserve"> </w:t>
      </w:r>
      <w:r>
        <w:t xml:space="preserve">The</w:t>
      </w:r>
      <w:r>
        <w:t xml:space="preserve"> </w:t>
      </w:r>
      <w:r>
        <w:rPr>
          <w:iCs/>
          <w:i/>
        </w:rPr>
        <w:t xml:space="preserve">parallel_rich</w:t>
      </w:r>
      <w:r>
        <w:t xml:space="preserve"> </w:t>
      </w:r>
      <w:r>
        <w:t xml:space="preserve">agents C and D both play the action that beats the previous move of the lowest-indexed player who scored in the previous round (random in round 0). This is a deterministic function of the previous full action profile but not of the previous majority. Conditioning on the majority state fails completely: gamma(C; D | S) stays at 0.91 to 1.07 nats, the innocent pair ranks first in 100% of games at every T, and the fixed criterion flags it in 65 to 100% of no-collusion games (Table 3 reports the fixed and calibrated rules; the per-state numbers are in results/extensions_tables.txt). Conditioning on the full previous profile removes the dependence (gamma(C; D | S) = 0.000) but spreads the data over 15 to 29 occupied states; without the permutation correction the bias flags a pair in 97 to 100% of no-collusion games. With the correction, rank-1 accuracy of the true pair is 0.75 at 25 rounds, 0.97 at 50 and 1.00 from 100, with a false-positive rate of 0.00 to 0.06. The detector works only when the analyst conditions on at least the state the innocent rule uses, and only once T is large relative to the number of states.</w:t>
      </w:r>
    </w:p>
    <w:p>
      <w:pPr>
        <w:pStyle w:val="BodyText"/>
      </w:pPr>
      <w:r>
        <w:rPr>
          <w:bCs/>
          <w:b/>
        </w:rPr>
        <w:t xml:space="preserve">A coalition of three.</w:t>
      </w:r>
      <w:r>
        <w:t xml:space="preserve"> </w:t>
      </w:r>
      <w:r>
        <w:t xml:space="preserve">In a five-player game A is the primary and both B and C assist with CP = 0.6. Raw mutual information places all three coalition pairs in the top three from 200 rounds (2.81 of 3 at 50 rounds). Net influence places exactly two, because Gamma(B; C) is negative (mean -0.24 nats at 500 rounds). That is the right verdict for BC: B and C are conditionally independent given A (gamma(B; C | A) falls to 0.014 at 500 rounds), so the statistic should flag AB and AC and not BC. Rank-1 accuracy of a true pair is 0.98 to 1.00 under both statistics, so the net correction does not hurt the ranking. It does break the published criterion. Gamma(B; A) subtracts gamma(C; A), which equals gamma(B; A) in expectation, so the score of AB tends to zero (0.006 nats at 500 rounds) and the criterion returns None in 25%, 32%, 54% and 68% of games at 50, 100, 200 and 500 rounds, almost always because no pair crosses alpha. Power falls as T grows: with two assistants, the net correction cancels the signal it is meant to isolate.</w:t>
      </w:r>
    </w:p>
    <w:p>
      <w:pPr>
        <w:pStyle w:val="CaptionedFigure"/>
      </w:pPr>
      <w:r>
        <w:drawing>
          <wp:inline>
            <wp:extent cx="4800600" cy="1424694"/>
            <wp:effectExtent b="0" l="0" r="0" t="0"/>
            <wp:docPr descr="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 title="" id="39" name="Picture"/>
            <a:graphic>
              <a:graphicData uri="http://schemas.openxmlformats.org/drawingml/2006/picture">
                <pic:pic>
                  <pic:nvPicPr>
                    <pic:cNvPr descr="../results/fig_extensions.png" id="40" name="Picture"/>
                    <pic:cNvPicPr>
                      <a:picLocks noChangeArrowheads="1" noChangeAspect="1"/>
                    </pic:cNvPicPr>
                  </pic:nvPicPr>
                  <pic:blipFill>
                    <a:blip r:embed="rId38"/>
                    <a:stretch>
                      <a:fillRect/>
                    </a:stretch>
                  </pic:blipFill>
                  <pic:spPr bwMode="auto">
                    <a:xfrm>
                      <a:off x="0" y="0"/>
                      <a:ext cx="4800600" cy="1424694"/>
                    </a:xfrm>
                    <a:prstGeom prst="rect">
                      <a:avLst/>
                    </a:prstGeom>
                    <a:noFill/>
                    <a:ln w="9525">
                      <a:noFill/>
                      <a:headEnd/>
                      <a:tailEnd/>
                    </a:ln>
                  </pic:spPr>
                </pic:pic>
              </a:graphicData>
            </a:graphic>
          </wp:inline>
        </w:drawing>
      </w:r>
    </w:p>
    <w:p>
      <w:pPr>
        <w:pStyle w:val="ImageCaption"/>
      </w:pPr>
      <w:r>
        <w:t xml:space="preserve">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w:t>
      </w:r>
    </w:p>
    <w:bookmarkEnd w:id="41"/>
    <w:bookmarkEnd w:id="42"/>
    <w:bookmarkStart w:id="43" w:name="X45bbaacc8ab6245fafe1d74c3b68a1c519c5399"/>
    <w:p>
      <w:pPr>
        <w:pStyle w:val="Heading2"/>
      </w:pPr>
      <w:r>
        <w:t xml:space="preserve">5. LLM agents: action-only detection with a hidden channel</w:t>
      </w:r>
    </w:p>
    <w:p>
      <w:pPr>
        <w:pStyle w:val="FirstParagraph"/>
      </w:pPr>
      <w:r>
        <w:rPr>
          <w:bCs/>
          <w:b/>
        </w:rPr>
        <w:t xml:space="preserve">Setup, as designed.</w:t>
      </w:r>
      <w:r>
        <w:t xml:space="preserve"> </w:t>
      </w:r>
      <w:r>
        <w:t xml:space="preserve">Four GPT-4.1-mini players (temperature 1.0) play the same four-player game for 25 rounds with the full public history in context. Three conditions, ten games each:</w:t>
      </w:r>
      <w:r>
        <w:t xml:space="preserve"> </w:t>
      </w:r>
      <w:r>
        <w:rPr>
          <w:iCs/>
          <w:i/>
        </w:rPr>
        <w:t xml:space="preserve">collude</w:t>
      </w:r>
      <w:r>
        <w:t xml:space="preserve">, where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without the channel, which tests whether a shared goal alone produces detectable dependence through shared salience (question 1.3); and</w:t>
      </w:r>
      <w:r>
        <w:t xml:space="preserve"> </w:t>
      </w:r>
      <w:r>
        <w:rPr>
          <w:iCs/>
          <w:i/>
        </w:rPr>
        <w:t xml:space="preserve">independent</w:t>
      </w:r>
      <w:r>
        <w:t xml:space="preserve">, no team and no channel, the same-model negative control. The detector sees only the 25 x 4 action log; messages are logged for inspection but never scored.</w:t>
      </w:r>
    </w:p>
    <w:p>
      <w:pPr>
        <w:pStyle w:val="BodyText"/>
      </w:pPr>
      <w:r>
        <w:rPr>
          <w:bCs/>
          <w:b/>
        </w:rPr>
        <w:t xml:space="preserve">Status.</w:t>
      </w:r>
      <w:r>
        <w:t xml:space="preserve"> </w:t>
      </w:r>
      <w:r>
        <w:t xml:space="preserve">This pilot was set up but not completed before the submission deadline. The harness (experiments/llm_rps.py, experiments/analyse_llm.py) and the Colab notebook (collusion_llm_pilot.ipynb) are in the repository, and experiments/fill_report.py inserts the result table into this section once a run lands under results/. No run arrived in time, so this report makes no claim about coalition advantage, detector ranking, the no-channel salience condition or the same-model false-alarm rate on GPT-4.1-mini. The scripted results in Section 4 stand on their own; what they predict for this pilot is that a 25-round game detects the team pair only if the pair coordinates in well over half of rounds, and that pooling the ten games is needed for weaker coordination.</w:t>
      </w:r>
      <w:r>
        <w:t xml:space="preserve"> </w:t>
      </w:r>
    </w:p>
    <w:bookmarkEnd w:id="43"/>
    <w:bookmarkStart w:id="44" w:name="X2a011f4509b9f80efa6dfc3d43167290cff797e"/>
    <w:p>
      <w:pPr>
        <w:pStyle w:val="Heading2"/>
      </w:pPr>
      <w:r>
        <w:t xml:space="preserve">6. Model internals: understanding is not agreement</w:t>
      </w:r>
    </w:p>
    <w:p>
      <w:pPr>
        <w:pStyle w:val="FirstParagraph"/>
      </w:pPr>
      <w:r>
        <w:rPr>
          <w:bCs/>
          <w:b/>
        </w:rPr>
        <w:t xml:space="preserve">Setup, as designed.</w:t>
      </w:r>
      <w:r>
        <w:t xml:space="preserve"> </w:t>
      </w:r>
      <w:r>
        <w:t xml:space="preserve">As in Section 3.5.</w:t>
      </w:r>
    </w:p>
    <w:p>
      <w:pPr>
        <w:pStyle w:val="BodyText"/>
      </w:pPr>
      <w:r>
        <w:rPr>
          <w:bCs/>
          <w:b/>
        </w:rPr>
        <w:t xml:space="preserve">Status.</w:t>
      </w:r>
      <w:r>
        <w:t xml:space="preserve"> </w:t>
      </w:r>
      <w:r>
        <w:t xml:space="preserve">This assay was set up but not completed before the submission deadline. The notebook (lens_understanding_is_not_agreement.ipynb) and the analysis script (experiments/lens_proposal.py) are in the repository, with the conditions, bands and metrics fixed in code, and experiments/fill_report.py inserts the per-condition table and the key contrast into this section once a run lands under results/. No run arrived in time, so this report makes no claim about adoption or violation rates, about the refusal control, about the tag-swapped and tag-erased conditions, or about whether the transmitted item is decodable when the receiver refuses. The interpretation rule below is recorded so that the result, when obtained, is read against a rule fixed before the data.</w:t>
      </w:r>
      <w:r>
        <w:t xml:space="preserve"> </w:t>
      </w:r>
    </w:p>
    <w:p>
      <w:pPr>
        <w:pStyle w:val="BodyText"/>
      </w:pPr>
      <w:r>
        <w:rPr>
          <w:bCs/>
          <w:b/>
        </w:rPr>
        <w:t xml:space="preserve">Interpretation rule, fixed in advance.</w:t>
      </w:r>
      <w:r>
        <w:t xml:space="preserve"> </w:t>
      </w:r>
      <w:r>
        <w:t xml:space="preserve">If the transmitted item is decodable from the workspace in both the actually-adopted and the actually-refused cases, then presence of the proposal in the workspace is not specific to participation, and an auditor must not read it as such; the tag-swapped and tag-erased conditions confirm the readout tracks the transmitted information rather than the objective text. If decoding is high only when the receiver adopts, the lens carries behaviourally specific evidence at the pre-action position. Either outcome will be reported as found.</w:t>
      </w:r>
    </w:p>
    <w:bookmarkEnd w:id="44"/>
    <w:bookmarkStart w:id="45" w:name="discussion"/>
    <w:p>
      <w:pPr>
        <w:pStyle w:val="Heading2"/>
      </w:pPr>
      <w:r>
        <w:t xml:space="preserve">7. Discussion</w:t>
      </w:r>
    </w:p>
    <w:p>
      <w:pPr>
        <w:pStyle w:val="FirstParagraph"/>
      </w:pPr>
      <w:r>
        <w:rPr>
          <w:bCs/>
          <w:b/>
        </w:rPr>
        <w:t xml:space="preserve">What is and is not new.</w:t>
      </w:r>
      <w:r>
        <w:t xml:space="preserve"> </w:t>
      </w:r>
      <w:r>
        <w:t xml:space="preserve">What is new here is narrow. We release the first general-N implementation of Bonjour et al.’s net influence with a within-state permutation null, and the first controlled study of its false-positive behaviour at 25 to 500 rounds against an innocent parallel-conduct pair, with four baselines and ground truth across 4,400 games. On the interpretability side, we specify and release a refusal-matched assay that asks whether a receiver’s workspace representation of a partner’s coded proposal differs between adopting it and understanding-and-refusing it; the assay has not yet produced a result. What is not new: net influence itself; conditioning on state (already in the original definition); permutation calibration of dependence statistics; reading collusion-related content with the J-lens (Veras Neves, Li et al.); activation probes for collusion (Rose et al.); and the observation that same-model agents correlate (Xu et al.).</w:t>
      </w:r>
    </w:p>
    <w:p>
      <w:pPr>
        <w:pStyle w:val="BodyText"/>
      </w:pPr>
      <w:r>
        <w:t xml:space="preserve">The main action-side result is a negative one with a constructive fix. Every unconditioned dependence statistic, the published one included, mistakes two agents following the same public rule for a coalition in every game. Conditioning on the public information set fixes this, at the cost of a false-positive rate the fixed threshold does not control at short horizons; a permutation null fixes that. Conditioning plus calibration is a concrete plus factor: dependence not explained by what everyone could observe, larger than chance would produce in a log this short.</w:t>
      </w:r>
    </w:p>
    <w:p>
      <w:pPr>
        <w:pStyle w:val="BodyText"/>
      </w:pPr>
      <w:r>
        <w:t xml:space="preserve">The internals half applies the same rule to a different observation surface. A lens that reads the partner’s proposal out of the workspace has shown comprehension; whether it has shown agreement is exactly what the refusal control decides. The sandbagging literature already shows that a model’s workspace can hold an answer it declines to say; our assay asks the collusion version: can it hold a proposal it declines to act on. Section 6 records that the assay did not run to completion before the deadline; the reporting rule was fixed in code before any receiver was run, and the notebook is released so that the question can be answered without changing the rule.</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is built to probe, once that pilot has run. Second, the same-action baseline’s failure is a reminder that collusion need not look like agreement; detectors should be sign-agnostic.</w:t>
      </w:r>
    </w:p>
    <w:p>
      <w:pPr>
        <w:pStyle w:val="BodyText"/>
      </w:pPr>
      <w:r>
        <w:t xml:space="preserve">Section 4.5 adds the result that matters most for deployment: the net correction, which removes third-party influence, cancels the coalition’s own signal when a primary has two assistants, so the published criterion loses power as the log grows. A coalition detector needs a conditional dependence structure (which pairs are dependent given which others), not a pairwise net score. Future work: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45"/>
    <w:bookmarkStart w:id="46" w:name="X34a9f4a4955810fa226028fb89dc1e250b93941"/>
    <w:p>
      <w:pPr>
        <w:pStyle w:val="Heading2"/>
      </w:pPr>
      <w:r>
        <w:t xml:space="preserve">8.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Nothing in this report is established on a real language model: the LLM pilot and the lens assay were built at pilot scale (ten games per condition; thirty base cases) but did not return results before submission, and Sections 5 and 6 say so in place of a result.</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and the only evidence on that point here is scripted. The LLM pilot design is small (ten games per condition, one model, one temperature) and has not yet been executed. The lens assay design uses one receiver model, one fitted lens, a scripted sender, a four-item vocabulary and a planted codebook; it is a controlled communication assay, not a demonstration that agents invent covert channels, and lens readouts of single tokens cover a fraction of the workspace. Its decoding rates, when obtained, will be compared across conditions on paired base cases, not against an absolute threshold. All code was written in a single sprint day and has not been independently reviewed.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and, for the internals half, that a monitor reading the workspace for a proposal can be fooled in both directions.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46"/>
    <w:bookmarkStart w:id="47"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Workshop on Agents in the Wild (poster).</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Rose, A., Cullen, C., Abdelnabi, S., Torr, P., Kaplowitz, B. G. and Schroeder de Witt, C. (2026). Detecting Multi-Agent Collusion Through Multi-Agent Interpretability. arXiv:2604.01151 (v4, HELIOS and NARCBench).</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7"/>
    <w:bookmarkStart w:id="48" w:name="appendix-a.-reproducibility"/>
    <w:p>
      <w:pPr>
        <w:pStyle w:val="Heading2"/>
      </w:pPr>
      <w:r>
        <w:t xml:space="preserve">Appendix A.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experiments/scripted_extensions.py</w:t>
      </w:r>
      <w:r>
        <w:t xml:space="preserve"> </w:t>
      </w:r>
      <w:r>
        <w:t xml:space="preserve">regenerates Section 4.5 (</w:t>
      </w:r>
      <w:r>
        <w:rPr>
          <w:rStyle w:val="VerbatimChar"/>
        </w:rPr>
        <w:t xml:space="preserve">results/extensions_tables.txt</w:t>
      </w:r>
      <w:r>
        <w:t xml:space="preserve">).</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produce the Section 5 results for under 2 USD; the notebook</w:t>
      </w:r>
      <w:r>
        <w:t xml:space="preserve"> </w:t>
      </w:r>
      <w:r>
        <w:rPr>
          <w:rStyle w:val="VerbatimChar"/>
        </w:rPr>
        <w:t xml:space="preserve">collusion_llm_pilot.ipynb</w:t>
      </w:r>
      <w:r>
        <w:t xml:space="preserve"> </w:t>
      </w:r>
      <w:r>
        <w:t xml:space="preserve">wraps the same steps for Colab.</w:t>
      </w:r>
      <w:r>
        <w:t xml:space="preserve"> </w:t>
      </w:r>
      <w:r>
        <w:rPr>
          <w:rStyle w:val="VerbatimChar"/>
        </w:rPr>
        <w:t xml:space="preserve">lens_understanding_is_not_agreement.ipynb</w:t>
      </w:r>
      <w:r>
        <w:t xml:space="preserve"> </w:t>
      </w:r>
      <w:r>
        <w:t xml:space="preserve">runs the Section 6 assay on a single GPU. Neither notebook returned results before submission.</w:t>
      </w:r>
      <w:r>
        <w:t xml:space="preserve"> </w:t>
      </w:r>
      <w:r>
        <w:rPr>
          <w:rStyle w:val="VerbatimChar"/>
        </w:rPr>
        <w:t xml:space="preserve">python experiments/fill_report.py</w:t>
      </w:r>
      <w:r>
        <w:t xml:space="preserve"> </w:t>
      </w:r>
      <w:r>
        <w:t xml:space="preserve">inserts their tables into the report once their outputs are under</w:t>
      </w:r>
      <w:r>
        <w:t xml:space="preserve"> </w:t>
      </w:r>
      <w:r>
        <w:rPr>
          <w:rStyle w:val="VerbatimChar"/>
        </w:rPr>
        <w:t xml:space="preserve">results/</w:t>
      </w:r>
      <w:r>
        <w:t xml:space="preserve">. Seeds: 0 to 99 (rounds sweep) and 10000 to 10099 (CP sweep). Full scripted tables are in</w:t>
      </w:r>
      <w:r>
        <w:t xml:space="preserve"> </w:t>
      </w:r>
      <w:r>
        <w:rPr>
          <w:rStyle w:val="VerbatimChar"/>
        </w:rPr>
        <w:t xml:space="preserve">results/scripted_tables.txt</w:t>
      </w:r>
      <w:r>
        <w:t xml:space="preserve">.</w:t>
      </w:r>
    </w:p>
    <w:bookmarkEnd w:id="48"/>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net influence: detecting a colluding pair from actions alone, and telling it apart from innocent parallel conduct</dc:title>
  <dc:creator>Rucha Agashe, Imperial College London (ragashe1618@gmail.com)</dc:creator>
  <cp:keywords/>
  <dcterms:created xsi:type="dcterms:W3CDTF">2026-10-26T07:38:54Z</dcterms:created>
  <dcterms:modified xsi:type="dcterms:W3CDTF">2026-10-26T07:38:54Z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