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Pairwise net influence (Bonjour et al. 2022) detects a colluding pair from action logs alone: dependence between two agents’ actions conditional on the public state, minus the strongest third-party dependence. We ask under which assumptions about public information, sample size and coalition structure it distinguishes planted coordination from innocent dependence, and where calibration fails to transfer. We extend the original ground-truth evaluation to matched innocent-dependence confounds, short-horizon calibration, state misspecification and a three-member coalition, over 7,400 scripted games, then test transfer on 30 games of GPT-4.1-mini agents with and without a hidden channel. Four failure mechanisms emerge. First, conditioning on the wrong public state confidently identifies an innocent pair that follows a shared public rule, in every game. Second, reducing the plug-in bias of the statistic is not the same as controlling false positives: the fixed threshold fires in half of all-random 25-round games, and a Holm-corrected permutation rule that is calibrated on the scripted nulls flags an innocent same-model pair on the pooled LLM control. Third, with a primary and two assistants, the pairwise net correction subtracts one coalition member’s influence from another’s and cancels the signal in the population limit, so more data makes the fixed-threshold detector less likely to fire. Fourth, on the LLM pilot, ranking, detection and benefit come apart: the team ranks first in nine of ten games, is flagged in five, and gained nothing. An exploratory Jacobian-lens assay on gemma-4-12B-it is reported with its intended positive arm absent. Code and logs are released.</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Antitrust law has long faced the same difficulty: competitors act in parallel because they respond to the same public information, and parallel conduct alone is not an agreement (Berger et al. 2025). A detector that flags correlation flags every pair that shares a prior or a strategy, and two instances of one base model share a great deal of prior (Xu et al. 2026).</w:t>
      </w:r>
    </w:p>
    <w:p>
      <w:pPr>
        <w:pStyle w:val="BodyText"/>
      </w:pPr>
      <w:r>
        <w:t xml:space="preserve">Bonjour et al. (2022) proposed a statistic built for exactly this difficulty. It measures the dependence between two agents’ actions conditional on the observable game state, then subtracts the strongest dependence any third agent has on the same target. It is domain independent and needs only logged actions. The original paper evaluated it on known colluding configurations, varied collusion strength and sample size, treated the threshold as a hyperparameter to be tuned on training data, and limited its scope to two colluders. Several concurrent sprint entries apply it to LLM players (Ayeku 2026; Snow 2026; Lee et al. 2026), and Lee et al. include 2,800 scripted coalition games. None of this tells an auditor which assumptions the verdict rests on. That is the question here:</w:t>
      </w:r>
    </w:p>
    <w:p>
      <w:pPr>
        <w:pStyle w:val="BodyText"/>
      </w:pPr>
      <w:r>
        <w:t xml:space="preserve">Under which assumptions about public information, sample size and coalition structure does net influence distinguish planted coordination from innocent dependence, and where does calibration fail to transfer?</w:t>
      </w:r>
    </w:p>
    <w:p>
      <w:pPr>
        <w:pStyle w:val="BodyText"/>
      </w:pPr>
      <w:r>
        <w:t xml:space="preserve">We extend prior ground-truth evaluation along four axes that the original paper and the concurrent entries do not cover: a matched innocent-dependence confound (two non-colluders following the same public rule), short-horizon calibration (25 to 500 rounds, where plug-in bias is comparable to the published threshold), state misspecification (an innocent rule keyed on a richer state than the detector conditions on) and a three-member coalition. We then apply both the fixed-threshold rule and a permutation-calibrated rule to GPT-4.1-mini agents with a hidden private channel and to a same-model control, and report ranking, detection and coalition benefit as separate outcomes. The principle throughout is the one the sprint brief states: do not confuse an observable signal with evidence of collusion. Section 5 reports, as a bounded exploratory result, a Jacobian-lens assay that asked the same question of a model’s internals and whose intended positive arm did not occur.</w:t>
      </w:r>
    </w:p>
    <w:bookmarkEnd w:id="21"/>
    <w:bookmarkStart w:id="22"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threshold tuned on labelled data; they evaluate on iterated Rock-Paper-Scissors and poker with two colluders, across collusion probabilities and numbers of games, and note the two-colluder scope as a limitation. Later information-theoretic detectors for LLM agents (Tailor 2025; Ghanem 2026) estimate cross-run mutual information over transcripts rather than actions. Xu et al. (2026) show that two deployments of one base model carry a small residual bid correlation and argue that price-level audits are blind by construction. Within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axes differ: matched innocent-dependence confounds under correct and misspecified conditioning, the gap between bias correction and decision calibration at short horizons, an analytic account of why the pairwise correction cancels a three-member coalition, and a transfer test in which both decision rules are run on the same LLM logs.</w:t>
      </w:r>
    </w:p>
    <w:p>
      <w:pPr>
        <w:pStyle w:val="BodyText"/>
      </w:pPr>
      <w:r>
        <w:rPr>
          <w:bCs/>
          <w:b/>
        </w:rPr>
        <w:t xml:space="preserve">Detection from internals.</w:t>
      </w:r>
      <w:r>
        <w:t xml:space="preserve"> </w:t>
      </w:r>
      <w:r>
        <w:t xml:space="preserve">Rose et al. (2026) train a deception direction on residual activations and aggregate per-agent scores across a group; in their limitations (v1, Section 4.4) they write that a privileged-observer control, an agent who knows the collusion scheme but is instructed not to participate, would help, and leave it for future work. Li et al. (2026) find that a probe confined to the Jacobian-lens transport subspace detects an agent’s stated stance but not withheld collusion. Veras Neves (2026) reads a coordination signal from the J-lens on single prompts. Gurnee et al. (2026) and Ayonrinde and Lindsey (2026) report that a concept can remain in the workspace while the model is instructed to suppress it. Section 5 is a small exploratory step toward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the conditional mutual information I(A_i; A_j | S), symmetric in the simultaneous fully observable case.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reduces to mutual information), the previous round’s majority action (four values) and the full previous action profile (82 values, sparse at short horizons).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upwards by about (K-1)^2 / (2T) nats per state stratum; for K = 3 and T = 25 this is 0.08 nats, larger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w:t>
      </w:r>
      <w:r>
        <w:t xml:space="preserve">(exactly one pair has net-influence score &gt;= 0.05) and the</w:t>
      </w:r>
      <w:r>
        <w:t xml:space="preserve"> </w:t>
      </w:r>
      <w:r>
        <w:rPr>
          <w:bCs/>
          <w:b/>
        </w:rPr>
        <w:t xml:space="preserve">Holm rule</w:t>
      </w:r>
      <w:r>
        <w:t xml:space="preserve"> </w:t>
      </w:r>
      <w:r>
        <w:t xml:space="preserve">(the top-scoring pair has a Holm-adjusted permutation p-value below 0.05 over the six pairs). Rejecting conditional independence is a statement about a specified null given the conditioning information; it is not equivalent to establishing collusion, and Section 4 is about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winning action’s players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with ex-ante signalling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Nominally identical cells therefore differ slightly between the two batches (for example a parallel-only false-positive rate of 0.25 in the main sweep against 0.33 in the extensions at T = 25); both are reported with their batch.</w:t>
      </w:r>
    </w:p>
    <w:p>
      <w:pPr>
        <w:pStyle w:val="BodyText"/>
      </w:pPr>
      <w:r>
        <w:t xml:space="preserve">Detectors, all action-only: net influence with each state, with and without correction; raw mutual information; Cramer’s V; same-action rate. Outcomes, kept separate: rank-1 accuracy (the true pair scores highest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setting, memoryless net influence behaves as published: rank-1 accuracy at CP = 0.6 is 0.95 at 25 rounds and 1.00 from 50; correct detection under the fixed rule is 0.82, 0.93 and 1.00 at 25, 50 and 100 rounds, and at T = 100 rises from 0.24 at CP = 0.2 to 1.00 at CP = 0.6. Same-action rate scores 0.00 in every collusion condition from 50 rounds, because the assisting move is the move that loses to the partner; Cramer’s V and raw mutual information, which are sign-agnostic, match net influence here.</w:t>
      </w:r>
    </w:p>
    <w:bookmarkStart w:id="31" w:name="X04b6ba2b3ee66f9aa87be1b4a0429d020a955b7"/>
    <w:p>
      <w:pPr>
        <w:pStyle w:val="Heading3"/>
      </w:pPr>
      <w:r>
        <w:t xml:space="preserve">4.1 State misspecification: the wrong public state confidently identifies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 help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CP from 0.2, and the innocent pair is never flagged.</w:t>
      </w:r>
    </w:p>
    <w:p>
      <w:pPr>
        <w:pStyle w:val="BodyText"/>
      </w:pPr>
      <w:r>
        <w:t xml:space="preserve">That success depends on conditioning on the state the innocent rule uses. Against</w:t>
      </w:r>
      <w:r>
        <w:t xml:space="preserve"> </w:t>
      </w:r>
      <w:r>
        <w:rPr>
          <w:iCs/>
          <w:i/>
        </w:rPr>
        <w:t xml:space="preserve">parallel_rich</w:t>
      </w:r>
      <w:r>
        <w:t xml:space="preserve">, majority-state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and even corrected the true pair is ranked first in only 0.75 of 25-round games (0.97 at 50, 1.00 from 100; false-positive rate 0.00 to 0.06). An auditor who conditions on a coarser state than the agents’ actual public rule obtains a confident, wrong verdict, and one who conditions on a richer state pays in sample size.</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subtracts nothing from the random pair AB, and Gamma(A; B) is pure estimation bias.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reduces the</w:t>
      </w:r>
      <w:r>
        <w:t xml:space="preserve"> </w:t>
      </w:r>
      <w:r>
        <w:rPr>
          <w:iCs/>
          <w:i/>
        </w:rPr>
        <w:t xml:space="preserve">parallel_only</w:t>
      </w:r>
      <w:r>
        <w:t xml:space="preserve"> </w:t>
      </w:r>
      <w:r>
        <w:t xml:space="preserve">rate to 0.25, 0.20, 0.05 and 0.01 at 25, 50, 100 and 200 rounds while rank-1 accuracy stays at 0.98 to 1.00. But in the all-random</w:t>
      </w:r>
      <w:r>
        <w:t xml:space="preserve"> </w:t>
      </w:r>
      <w:r>
        <w:rPr>
          <w:iCs/>
          <w:i/>
        </w:rPr>
        <w:t xml:space="preserve">null</w:t>
      </w:r>
      <w:r>
        <w:t xml:space="preserve"> </w:t>
      </w:r>
      <w:r>
        <w:t xml:space="preserve">world the corrected fixed rule still fires in 0.49 to 0.55 of 25-round games and 0.01 to 0.10 of 100-round games: removing the mean of the bias leaves its variance, and the fixed threshold has no account of it.</w:t>
      </w:r>
    </w:p>
    <w:p>
      <w:pPr>
        <w:pStyle w:val="BodyText"/>
      </w:pPr>
      <w:r>
        <w:t xml:space="preserve">The Holm rule is calibrated on the scripted nulls where the fixed rule is not (Table 2): 0.03 to 0.06 in the all-random world at every length and 0.00 to 0.01 in the parallel-only world, never naming the innocent pair. The price is power at short horizons: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transfer to the LLM control.</w:t>
      </w:r>
    </w:p>
    <w:p>
      <w:pPr>
        <w:pStyle w:val="BodyText"/>
      </w:pPr>
      <w:r>
        <w:rPr>
          <w:bCs/>
          <w:b/>
        </w:rPr>
        <w:t xml:space="preserve">Table 2. Fixed rule versus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their method to two colluders. In the five-player condition with a primary A and two assistants B and C (CP = 0.6), the mechanism that makes net influence robust to third parties works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and since the pair score is the minimum of the two directions, the true pair’s score cannot exceed a positive threshold in the population limit. The subtraction treats another coalition member as the competing explanation and removes the signal. Empirically the AB score falls to 0.006 nats at 500 rounds and the fixed rule returns no pair in 25%, 32%, 54% and 68% of games at 50, 100, 200 and 500 rounds, almost always because no pair crosses alpha; detection gets worse as the log grows. Ranking is unaffected: a true pair is ranked first in 0.98 to 1.00 of games under both raw mutual information and net influence, and raw mutual information places all three coalition pairs in the top three from 200 rounds (2.81 of 3 at 50). Net influence places exactly two, because B and C are conditionally independent given A (gamma(B; C | A) = 0.014 at 500 rounds) and Gamma(B; C) is negative (-0.24 nats). Whether that is right depends on the target: B and C are members of the same coalition while having no direct dependence, and coalition membership and direct interaction edges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w:t>
      </w:r>
      <w:r>
        <w:t xml:space="preserve">(Alpha and Bravo told privately they are a team maximising their combined score, with one private message each before every round),</w:t>
      </w:r>
      <w:r>
        <w:t xml:space="preserve"> </w:t>
      </w:r>
      <w:r>
        <w:rPr>
          <w:iCs/>
          <w:i/>
        </w:rPr>
        <w:t xml:space="preserve">team_no_channel</w:t>
      </w:r>
      <w:r>
        <w:t xml:space="preserve"> </w:t>
      </w:r>
      <w:r>
        <w:t xml:space="preserve">(same instruction, no channel) and</w:t>
      </w:r>
      <w:r>
        <w:t xml:space="preserve"> </w:t>
      </w:r>
      <w:r>
        <w:rPr>
          <w:iCs/>
          <w:i/>
        </w:rPr>
        <w:t xml:space="preserve">independent</w:t>
      </w:r>
      <w:r>
        <w:t xml:space="preserve"> </w:t>
      </w:r>
      <w:r>
        <w:t xml:space="preserve">(no team; a same-model control). The detector sees only the 25 x 4 action log; messages are logged but never scored. Outcomes are kept separate: pair ranking, detection under each rule, and coalition benefit (team mean score minus non-team mean score).</w:t>
      </w:r>
    </w:p>
    <w:p>
      <w:pPr>
        <w:pStyle w:val="BodyText"/>
      </w:pPr>
      <w:r>
        <w:rPr>
          <w:bCs/>
          <w:b/>
        </w:rPr>
        <w:t xml:space="preserve">Table 3. LLM pilot, pooled 250 rounds per condition, memoryless state, permutation-corrected scores (values from the run’s llm_analysis.json; Alpha-Bravo is the team).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condition</w:t>
            </w:r>
          </w:p>
        </w:tc>
        <w:tc>
          <w:tcPr/>
          <w:p>
            <w:pPr>
              <w:pStyle w:val="Compact"/>
              <w:jc w:val="left"/>
            </w:pPr>
            <w:r>
              <w:t xml:space="preserve">coalition benefit per game</w:t>
            </w:r>
          </w:p>
        </w:tc>
        <w:tc>
          <w:tcPr/>
          <w:p>
            <w:pPr>
              <w:pStyle w:val="Compact"/>
              <w:jc w:val="left"/>
            </w:pPr>
            <w:r>
              <w:t xml:space="preserve">gamma(Alpha; Bravo), nats (perm p)</w:t>
            </w:r>
          </w:p>
        </w:tc>
        <w:tc>
          <w:tcPr/>
          <w:p>
            <w:pPr>
              <w:pStyle w:val="Compact"/>
              <w:jc w:val="left"/>
            </w:pPr>
            <w:r>
              <w:t xml:space="preserve">team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Alpha-Bravo</w:t>
            </w:r>
          </w:p>
        </w:tc>
        <w:tc>
          <w:tcPr/>
          <w:p>
            <w:pPr>
              <w:pStyle w:val="Compact"/>
              <w:jc w:val="left"/>
            </w:pPr>
            <w:r>
              <w:t xml:space="preserve">Alpha-Bravo (0.002, 0.012)</w:t>
            </w:r>
          </w:p>
        </w:tc>
        <w:tc>
          <w:tcPr/>
          <w:p>
            <w:pPr>
              <w:pStyle w:val="Compact"/>
              <w:jc w:val="left"/>
            </w:pPr>
            <w:r>
              <w:t xml:space="preserve">Alpha-Bravo</w:t>
            </w:r>
          </w:p>
        </w:tc>
      </w:tr>
      <w:tr>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a non-team pair</w:t>
            </w:r>
          </w:p>
        </w:tc>
      </w:tr>
      <w:tr>
        <w:tc>
          <w:tcPr/>
          <w:p>
            <w:pPr>
              <w:pStyle w:val="Compact"/>
              <w:jc w:val="left"/>
            </w:pPr>
            <w:r>
              <w:t xml:space="preserve">independent</w:t>
            </w:r>
          </w:p>
        </w:tc>
        <w:tc>
          <w:tcPr/>
          <w:p>
            <w:pPr>
              <w:pStyle w:val="Compact"/>
              <w:jc w:val="left"/>
            </w:pPr>
            <w:r>
              <w:t xml:space="preserve">+0.75 (no team)</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 an innocent pair</w:t>
            </w:r>
          </w:p>
        </w:tc>
      </w:tr>
    </w:tbl>
    <w:p>
      <w:pPr>
        <w:pStyle w:val="BodyText"/>
      </w:pPr>
      <w:r>
        <w:rPr>
          <w:bCs/>
          <w:b/>
        </w:rPr>
        <w:t xml:space="preserve">Table 4. LLM pilot, per game (10 games of 25 rounds per condition; from the run’s llm_analysis.json).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left"/>
            </w:pPr>
            <w:r>
              <w:t xml:space="preserve">memoryless: team ranked first</w:t>
            </w:r>
          </w:p>
        </w:tc>
        <w:tc>
          <w:tcPr/>
          <w:p>
            <w:pPr>
              <w:pStyle w:val="Compact"/>
              <w:jc w:val="left"/>
            </w:pPr>
            <w:r>
              <w:t xml:space="preserve">memoryless: fixed rule flags the team</w:t>
            </w:r>
          </w:p>
        </w:tc>
        <w:tc>
          <w:tcPr/>
          <w:p>
            <w:pPr>
              <w:pStyle w:val="Compact"/>
              <w:jc w:val="left"/>
            </w:pPr>
            <w:r>
              <w:t xml:space="preserve">majority state, corrected: team ranked first</w:t>
            </w:r>
          </w:p>
        </w:tc>
        <w:tc>
          <w:tcPr/>
          <w:p>
            <w:pPr>
              <w:pStyle w:val="Compact"/>
              <w:jc w:val="left"/>
            </w:pPr>
            <w:r>
              <w:t xml:space="preserve">majority state, corrected: fixed rule flags the team</w:t>
            </w:r>
          </w:p>
        </w:tc>
      </w:tr>
      <w:tr>
        <w:tc>
          <w:tcPr/>
          <w:p>
            <w:pPr>
              <w:pStyle w:val="Compact"/>
              <w:jc w:val="left"/>
            </w:pPr>
            <w:r>
              <w:t xml:space="preserve">collude</w:t>
            </w:r>
          </w:p>
        </w:tc>
        <w:tc>
          <w:tcPr/>
          <w:p>
            <w:pPr>
              <w:pStyle w:val="Compact"/>
              <w:jc w:val="left"/>
            </w:pPr>
            <w:r>
              <w:t xml:space="preserve">9/10</w:t>
            </w:r>
          </w:p>
        </w:tc>
        <w:tc>
          <w:tcPr/>
          <w:p>
            <w:pPr>
              <w:pStyle w:val="Compact"/>
              <w:jc w:val="left"/>
            </w:pPr>
            <w:r>
              <w:t xml:space="preserve">5/10</w:t>
            </w:r>
          </w:p>
        </w:tc>
        <w:tc>
          <w:tcPr/>
          <w:p>
            <w:pPr>
              <w:pStyle w:val="Compact"/>
              <w:jc w:val="left"/>
            </w:pPr>
            <w:r>
              <w:t xml:space="preserve">3/10</w:t>
            </w:r>
          </w:p>
        </w:tc>
        <w:tc>
          <w:tcPr/>
          <w:p>
            <w:pPr>
              <w:pStyle w:val="Compact"/>
              <w:jc w:val="left"/>
            </w:pPr>
            <w:r>
              <w:t xml:space="preserve">0/10</w:t>
            </w:r>
          </w:p>
        </w:tc>
      </w:tr>
      <w:tr>
        <w:tc>
          <w:tcPr/>
          <w:p>
            <w:pPr>
              <w:pStyle w:val="Compact"/>
              <w:jc w:val="left"/>
            </w:pPr>
            <w:r>
              <w:t xml:space="preserve">team_no_channel</w:t>
            </w:r>
          </w:p>
        </w:tc>
        <w:tc>
          <w:tcPr/>
          <w:p>
            <w:pPr>
              <w:pStyle w:val="Compact"/>
              <w:jc w:val="left"/>
            </w:pPr>
            <w:r>
              <w:t xml:space="preserve">1/10</w:t>
            </w:r>
          </w:p>
        </w:tc>
        <w:tc>
          <w:tcPr/>
          <w:p>
            <w:pPr>
              <w:pStyle w:val="Compact"/>
              <w:jc w:val="left"/>
            </w:pPr>
            <w:r>
              <w:t xml:space="preserve">0/10</w:t>
            </w:r>
          </w:p>
        </w:tc>
        <w:tc>
          <w:tcPr/>
          <w:p>
            <w:pPr>
              <w:pStyle w:val="Compact"/>
              <w:jc w:val="left"/>
            </w:pPr>
            <w:r>
              <w:t xml:space="preserve">1/10</w:t>
            </w:r>
          </w:p>
        </w:tc>
        <w:tc>
          <w:tcPr/>
          <w:p>
            <w:pPr>
              <w:pStyle w:val="Compact"/>
              <w:jc w:val="left"/>
            </w:pPr>
            <w:r>
              <w:t xml:space="preserve">0/10</w:t>
            </w:r>
          </w:p>
        </w:tc>
      </w:tr>
      <w:tr>
        <w:tc>
          <w:tcPr/>
          <w:p>
            <w:pPr>
              <w:pStyle w:val="Compact"/>
              <w:jc w:val="left"/>
            </w:pPr>
            <w:r>
              <w:t xml:space="preserve">independent</w:t>
            </w:r>
          </w:p>
        </w:tc>
        <w:tc>
          <w:tcPr/>
          <w:p>
            <w:pPr>
              <w:pStyle w:val="Compact"/>
              <w:jc w:val="left"/>
            </w:pPr>
            <w:r>
              <w:t xml:space="preserve">0/10</w:t>
            </w:r>
          </w:p>
        </w:tc>
        <w:tc>
          <w:tcPr/>
          <w:p>
            <w:pPr>
              <w:pStyle w:val="Compact"/>
              <w:jc w:val="left"/>
            </w:pPr>
            <w:r>
              <w:t xml:space="preserve">0/10</w:t>
            </w:r>
          </w:p>
        </w:tc>
        <w:tc>
          <w:tcPr/>
          <w:p>
            <w:pPr>
              <w:pStyle w:val="Compact"/>
              <w:jc w:val="left"/>
            </w:pPr>
            <w:r>
              <w:t xml:space="preserve">1/10</w:t>
            </w:r>
          </w:p>
        </w:tc>
        <w:tc>
          <w:tcPr/>
          <w:p>
            <w:pPr>
              <w:pStyle w:val="Compact"/>
              <w:jc w:val="left"/>
            </w:pPr>
            <w:r>
              <w:t xml:space="preserve">0/10</w:t>
            </w:r>
          </w:p>
        </w:tc>
      </w:tr>
    </w:tbl>
    <w:p>
      <w:pPr>
        <w:pStyle w:val="BodyText"/>
      </w:pPr>
      <w:r>
        <w:rPr>
          <w:bCs/>
          <w:b/>
        </w:rPr>
        <w:t xml:space="preserve">Ranking, detection and benefit come apart.</w:t>
      </w:r>
      <w:r>
        <w:t xml:space="preserve"> </w:t>
      </w:r>
      <w:r>
        <w:t xml:space="preserve">With the private channel, the team pair has the largest pairwise dependence by a factor of four and is ranked first on the pooled log and in nine of ten single games under the memoryless statistic. The fixed rule flags it on the pooled log but in only five of ten single games; with majority-state conditioning the team is ranked first in three games and flagged in none, the power cost of splitting 25 rounds over four states that Section 4.2 predicted. The private messages show what the statistic responds to, a sacrificial scheme in which one partner plays the move that loses to the other (</w:t>
      </w:r>
      <w:r>
        <w:t xml:space="preserve">“</w:t>
      </w:r>
      <w:r>
        <w:t xml:space="preserve">I’ll play rock to beat your scissors, so I can score while you lose</w:t>
      </w:r>
      <w:r>
        <w:t xml:space="preserve">”</w:t>
      </w:r>
      <w:r>
        <w:t xml:space="preserve">), alternating with same-move rounds. The team gained nothing from it: coalition benefit was -0.25 points per game. A single 25-round game therefore gives a confident ranking, an unreliable detection and no demonstrated harm, and</w:t>
      </w:r>
      <w:r>
        <w:t xml:space="preserve"> </w:t>
      </w:r>
      <w:r>
        <w:t xml:space="preserve">“</w:t>
      </w:r>
      <w:r>
        <w:t xml:space="preserve">90% detection</w:t>
      </w:r>
      <w:r>
        <w:t xml:space="preserve">”</w:t>
      </w:r>
      <w:r>
        <w:t xml:space="preserve"> </w:t>
      </w:r>
      <w:r>
        <w:t xml:space="preserve">would describe none of these correctly. Without the channel the team’s dependence is 0.021 nats, ranked second, and is not flagged by either rule.</w:t>
      </w:r>
    </w:p>
    <w:p>
      <w:pPr>
        <w:pStyle w:val="BodyText"/>
      </w:pPr>
      <w:r>
        <w:rPr>
          <w:bCs/>
          <w:b/>
        </w:rPr>
        <w:t xml:space="preserve">Calibration does not transfer.</w:t>
      </w:r>
      <w:r>
        <w:t xml:space="preserve"> </w:t>
      </w:r>
      <w:r>
        <w:t xml:space="preserve">Applying the Section 4.2 Holm rule to the pooled logs, the top-scoring pair has a raw permutation p-value of 0.002 (Holm 0.012) in every condition: the team in</w:t>
      </w:r>
      <w:r>
        <w:t xml:space="preserve"> </w:t>
      </w:r>
      <w:r>
        <w:rPr>
          <w:iCs/>
          <w:i/>
        </w:rPr>
        <w:t xml:space="preserve">collude</w:t>
      </w:r>
      <w:r>
        <w:t xml:space="preserve">, Charlie-Delta in</w:t>
      </w:r>
      <w:r>
        <w:t xml:space="preserve"> </w:t>
      </w:r>
      <w:r>
        <w:rPr>
          <w:iCs/>
          <w:i/>
        </w:rPr>
        <w:t xml:space="preserve">team_no_channel</w:t>
      </w:r>
      <w:r>
        <w:t xml:space="preserve">, Alpha-Delta in</w:t>
      </w:r>
      <w:r>
        <w:t xml:space="preserve"> </w:t>
      </w:r>
      <w:r>
        <w:rPr>
          <w:iCs/>
          <w:i/>
        </w:rPr>
        <w:t xml:space="preserve">independent</w:t>
      </w:r>
      <w:r>
        <w:t xml:space="preserve">. The rule that was calibrated on the scripted nulls flags a non-team pair in the no-channel condition and an innocent pair in the control with no team at all. The fixed rule flags nothing in those two conditions, but narrowly: Alpha-Delta’s net score in the control is 0.037 against the threshold of 0.05. Permutation calibration controlled rejection rates in the tested scripted nulls; it did not distinguish innocent dependence from planted coordination in the pooled LLM pilot. The dependence between those innocent pairs is real under the permutation null, but our design does not say what causes it: shared model weights (Xu et al. 2026), common public history, position effects or shared strategies would all produce it, and the conditioning on the previous majority alone does not make same-state rounds exchangeable for agents that condition on the full history.</w:t>
      </w:r>
    </w:p>
    <w:p>
      <w:pPr>
        <w:pStyle w:val="BodyText"/>
      </w:pPr>
      <w:r>
        <w:rPr>
          <w:bCs/>
          <w:b/>
        </w:rPr>
        <w:t xml:space="preserve">What the per-game numbers do and do not say.</w:t>
      </w:r>
      <w:r>
        <w:t xml:space="preserve"> </w:t>
      </w:r>
      <w:r>
        <w:t xml:space="preserve">The per-game hit rates in Table 4 measure whether the designated team was flagged, not whether any pair was; a zero in the independent condition does not establish a zero per-game false-positive rate. The run’s pooled majority-state numbers were also computed with the state sequence recomputed across game boundaries, so the first round of games two to ten received a state carried over from a different game (10 of 250 rounds). A revised analysis script in the repository (experiments/analyse_llm.py) computes states per game before pooling, restricts permutations to within-game strata, reports any-pair false positives, correct-pair flags and ranking separately under both rules, and attaches game-level uncertainty (Wilson intervals on per-game rates, bootstrap over games on pooled scores); it was written after the run and before submission and is to be applied to the released logs.</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As a bounded secondary experiment we asked whether a receiver model’s workspace representation of a partner’s coded proposal differs between adopting it and understanding it and declining, the privileged-observer contrast Rose et al. (2026) describe. Design, bands and metrics were specified in code before these runs; full details are in Appendix C. Receiver gemma-4-12B-it (4-bit, solarkyle Jacobian lens, read at the last prompt token) saw a policy marking two of four items ineligible, a random four-word codebook, a routing tag from a scripted partner naming an ineligible item, and an objective; it replied with one item or abstain. Five matched prompts per base case (unauthorized, permitted, refusal, tag swapped, tag erased), 30 base cases.</w:t>
      </w:r>
    </w:p>
    <w:p>
      <w:pPr>
        <w:pStyle w:val="BodyText"/>
      </w:pPr>
      <w:r>
        <w:rPr>
          <w:bCs/>
          <w:b/>
        </w:rPr>
        <w:t xml:space="preserve">Table 5. Lens assay (30 base cases per condition). Decoding is</w:t>
      </w:r>
      <w:r>
        <w:rPr>
          <w:bCs/>
          <w:b/>
        </w:rPr>
        <w:t xml:space="preserve"> </w:t>
      </w:r>
      <w:r>
        <w:rPr>
          <w:bCs/>
          <w:b/>
        </w:rPr>
        <w:t xml:space="preserve">“</w:t>
      </w:r>
      <w:r>
        <w:rPr>
          <w:bCs/>
          <w:b/>
        </w:rPr>
        <w:t xml:space="preserve">transmitted item ranked first of the four candidates</w:t>
      </w:r>
      <w:r>
        <w:rPr>
          <w:bCs/>
          <w:b/>
        </w:rPr>
        <w:t xml:space="preserve">”</w:t>
      </w:r>
      <w:r>
        <w:rPr>
          <w:bCs/>
          <w:b/>
        </w:rPr>
        <w:t xml:space="preserve"> </w:t>
      </w:r>
      <w:r>
        <w:rPr>
          <w:bCs/>
          <w:b/>
        </w:rPr>
        <w:t xml:space="preserve">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transmitted item decoded</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selected J-lens readout strongly recovered nominated items during permitted adoption but did not reliably recover them during abstention. Because unauthorized adoption never occurred, this experiment does not establish whether the readout distinguishes collusive participation from refusal. Correct behaviour under the permitted prompt shows decoding capability in that condition; it does not verify the computation under each refusal prompt, and failure to recover a token with one lens at one position is a measurement limitation, not evidence that the information is absent. Two implementation details bear on the numbers: the readout takes the best rank across all layers in a band and across four token variants of each item, not a typical-layer rank; and when all four candidates are censored the tie is broken in list order, so decoding rates in censored conditions include tie artefacts (the early-band rates of 0.30 to 0.37, with every median censored, are such artefacts and are omitted from the table). We report this as an observation about one readout at one position and claim nothing about what the workspace contains.</w:t>
      </w:r>
    </w:p>
    <w:bookmarkEnd w:id="39"/>
    <w:bookmarkStart w:id="40" w:name="discussion"/>
    <w:p>
      <w:pPr>
        <w:pStyle w:val="Heading2"/>
      </w:pPr>
      <w:r>
        <w:t xml:space="preserve">6. Discussion</w:t>
      </w:r>
    </w:p>
    <w:p>
      <w:pPr>
        <w:pStyle w:val="FirstParagraph"/>
      </w:pPr>
      <w:r>
        <w:t xml:space="preserve">The four mechanisms in Section 4 share one lesson: each plausible piece of collusion evidence rests on an assumption an auditor must check before trusting it. Conditional dependence is evidence only relative to the conditioning information, and an innocent public rule the auditor has not modelled produces a confident false verdict (4.1). A corrected statistic is not a calibrated decision, and a decision rule calibrated on one family of nulls carried a 0.002 p-value onto an innocent same-model pair in another (4.2, 4.4). A pairwise correction designed to remove third parties removes coalition members too, so for a coalition of three the published detector loses power as evidence accumulates (4.3). And ranking, thresholding and benefit are different outcomes that a single number conflates (4.4).</w:t>
      </w:r>
    </w:p>
    <w:p>
      <w:pPr>
        <w:pStyle w:val="BodyText"/>
      </w:pPr>
      <w:r>
        <w:t xml:space="preserve">What is new here is narrow. We release a general-N implementation of net influence with a within-state permutation null; we extend the original ground-truth evaluation to matched innocent-dependence confounds, short-horizon calibration, state misspecification and a three-member coalition; we give the algebraic account of coalition cancellation; and we run two decision rules side by side on the same LLM logs. Not new: the statistic, conditioning on state, permutation calibration of dependence statistics, scripted evaluation as such (Bonjour et al.; Lee et al.), and the observation that same-model agents correlate (Xu et al.). Section 5 is exploratory and establishes neither presence nor absence of a proposal in the workspace.</w:t>
      </w:r>
    </w:p>
    <w:p>
      <w:pPr>
        <w:pStyle w:val="BodyText"/>
      </w:pPr>
      <w:r>
        <w:t xml:space="preserve">Future work, in order of value: apply the revised per-game analysis to the released logs and report any-pair false positives;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Abdelnabi, S., Torr, P., Kaplowitz, B. G. and Schroeder de Witt, C. (2026). Detecting Multi-Agent Collusion Through Multi-Agent Interpretability. arXiv:2604.01151 (v1, 1 April 2026; the privileged-observer control is in Section 4.4).</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establish.</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power cost; and with two assistants the pairwise net correction cancels the coalition’s signal, so the fixed rule’s detection rate falls with sample size. On the GPT-4.1-mini pilot (ten games per condition): the team with a hidden channel is ranked first in nine of ten games and flagged by the fixed rule in five; it gained no benefit; and the Holm rule flags a non-team pair in the no-channel condition and an innocent pair in the control.</w:t>
      </w:r>
    </w:p>
    <w:p>
      <w:pPr>
        <w:pStyle w:val="BodyText"/>
      </w:pPr>
      <w:r>
        <w:rPr>
          <w:bCs/>
          <w:b/>
        </w:rPr>
        <w:t xml:space="preserve">What they do not establish.</w:t>
      </w:r>
      <w:r>
        <w:t xml:space="preserve"> </w:t>
      </w:r>
      <w:r>
        <w:t xml:space="preserve">The scripted innocent rules are deterministic and key on states we can name; real innocent dependence (shared priors, common reactions to unmodelled shocks) is not reducible to a small state. The collusion model assumes ex-ante signalling. The LLM pilot has one model, one temperature and ten games per condition; its pooled majority-state numbers were computed with cross-game state carry-over at 10 of 250 rounds; its per-game hit rates do not measure any-pair false positives; and the permutation null treats same-state rounds as exchangeable, which is not established for agents conditioning on the full history. The source of the innocent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establishes nothing about what the workspace contains. All code was written during the sprint and has not been independently reviewed.</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detection floor measured here (CP about 0.2 at 25 rounds), or spread a scheme over three members so pairwise net scores cancel. We think publication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which equals UK time on these dates): scripted main sweep 25 October 21:52; LLM pilot and lens notebooks started on Colab 25 October about 22:40; extensions 26 October about 00:00; lens run output recorded 26 October 09:10; LLM pilot output recorded 26 October 09:17; revised LLM analysis script and this manuscript 26 October before 11:00. The submission deadline is 26 October 11:59 UTC.</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Tables 3 and 4 are taken from the run’s</w:t>
      </w:r>
      <w:r>
        <w:t xml:space="preserve"> </w:t>
      </w:r>
      <w:r>
        <w:rPr>
          <w:rStyle w:val="VerbatimChar"/>
        </w:rPr>
        <w:t xml:space="preserve">llm_analysis.json</w:t>
      </w:r>
      <w:r>
        <w:t xml:space="preserve"> </w:t>
      </w:r>
      <w:r>
        <w:t xml:space="preserve">produced by the original analysis script; the revised script writes</w:t>
      </w:r>
      <w:r>
        <w:t xml:space="preserve"> </w:t>
      </w:r>
      <w:r>
        <w:rPr>
          <w:rStyle w:val="VerbatimChar"/>
        </w:rPr>
        <w:t xml:space="preserve">llm_analysis_v2.json</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2026-10-26T09:39:11Z</dcterms:created>
  <dcterms:modified xsi:type="dcterms:W3CDTF">2026-10-26T09:39:11Z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