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b/>
          <w:color w:val="2F5597"/>
          <w:sz w:val="48"/>
        </w:rPr>
        <w:t>Task-Gaming Forensics Project Plan</w:t>
      </w:r>
    </w:p>
    <w:p>
      <w:pPr>
        <w:spacing w:after="200"/>
      </w:pPr>
      <w:r>
        <w:rPr>
          <w:rFonts w:ascii="Aptos" w:hAnsi="Aptos"/>
          <w:color w:val="5B6573"/>
          <w:sz w:val="20"/>
        </w:rPr>
        <w:t>A staged plan for the application project: one sketchy behaviour, competing explanations, and controlled counterfactual tests.</w:t>
      </w:r>
    </w:p>
    <w:tbl>
      <w:tblPr>
        <w:tblW w:type="auto" w:w="0"/>
        <w:jc w:val="left"/>
        <w:tblLayout w:type="fixed"/>
        <w:tblLook w:firstColumn="1" w:firstRow="1" w:lastColumn="0" w:lastRow="0" w:noHBand="0" w:noVBand="1" w:val="04A0"/>
      </w:tblPr>
      <w:tblGrid>
        <w:gridCol w:w="9936"/>
      </w:tblGrid>
      <w:tr>
        <w:tc>
          <w:tcPr>
            <w:tcW w:type="dxa" w:w="9936"/>
            <w:shd w:fill="2F5597"/>
            <w:tcMar>
              <w:top w:w="25" w:type="dxa"/>
              <w:start w:w="0" w:type="dxa"/>
              <w:bottom w:w="25" w:type="dxa"/>
              <w:end w:w="0" w:type="dxa"/>
            </w:tcMar>
          </w:tcPr>
          <w:p>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0F8"/>
            <w:tcMar>
              <w:top w:w="110" w:type="dxa"/>
              <w:start w:w="140" w:type="dxa"/>
              <w:bottom w:w="110" w:type="dxa"/>
              <w:end w:w="140" w:type="dxa"/>
            </w:tcMar>
          </w:tcPr>
          <w:p>
            <w:pPr>
              <w:spacing w:after="40"/>
            </w:pPr>
            <w:r>
              <w:rPr>
                <w:rFonts w:ascii="Aptos" w:hAnsi="Aptos"/>
                <w:b/>
                <w:color w:val="2F5597"/>
                <w:sz w:val="21"/>
              </w:rPr>
              <w:t>Working research question</w:t>
            </w:r>
          </w:p>
          <w:p>
            <w:pPr>
              <w:spacing w:after="0"/>
            </w:pPr>
            <w:r>
              <w:rPr>
                <w:rFonts w:ascii="Aptos" w:hAnsi="Aptos"/>
                <w:color w:val="1F1F1F"/>
                <w:sz w:val="20"/>
              </w:rPr>
              <w:t>Does task gaming become more likely later in an agent trajectory because the model has accumulated unsuccessful attempts / failure history, or because the original constraints become less salient in a long context?</w:t>
            </w:r>
          </w:p>
        </w:tc>
      </w:tr>
    </w:tbl>
    <w:p>
      <w:pPr>
        <w:spacing w:after="0"/>
      </w:pPr>
    </w:p>
    <w:p>
      <w:pPr>
        <w:pStyle w:val="Heading1"/>
        <w:keepNext/>
      </w:pPr>
      <w:r>
        <w:t>0. Keep the claim narrow</w:t>
      </w:r>
    </w:p>
    <w:p>
      <w:pPr>
        <w:pStyle w:val="ListBullet"/>
      </w:pPr>
      <w:r>
        <w:rPr>
          <w:rFonts w:ascii="Aptos" w:hAnsi="Aptos"/>
        </w:rPr>
        <w:t>Do not try to explain “why agents game tasks” in general.</w:t>
      </w:r>
    </w:p>
    <w:p>
      <w:pPr>
        <w:pStyle w:val="ListBullet"/>
      </w:pPr>
      <w:r>
        <w:rPr>
          <w:rFonts w:ascii="Aptos" w:hAnsi="Aptos"/>
        </w:rPr>
        <w:t>Aim to explain one concrete instance or small family of instances well enough to distinguish two plausible causes.</w:t>
      </w:r>
    </w:p>
    <w:p>
      <w:pPr>
        <w:pStyle w:val="ListBullet"/>
      </w:pPr>
      <w:r>
        <w:rPr>
          <w:rFonts w:ascii="Aptos" w:hAnsi="Aptos"/>
        </w:rPr>
        <w:t>Use “failure history” or “accumulated unsuccessful attempts” in the formal write-up rather than assuming a human-like sunk-cost mechanism.</w:t>
      </w:r>
    </w:p>
    <w:p>
      <w:pPr>
        <w:pStyle w:val="ListBullet"/>
      </w:pPr>
      <w:r>
        <w:rPr>
          <w:rFonts w:ascii="Aptos" w:hAnsi="Aptos"/>
        </w:rPr>
        <w:t>Treat visible model reasoning as evidence about the case, not guaranteed access to the model’s true internal cause.</w:t>
      </w:r>
    </w:p>
    <w:p>
      <w:pPr>
        <w:pStyle w:val="Heading1"/>
        <w:keepNext/>
      </w:pPr>
      <w:r>
        <w:t>1. Define exactly what counts as task gaming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F5597"/>
            <w:tcMar>
              <w:top w:w="90" w:type="dxa"/>
              <w:start w:w="110" w:type="dxa"/>
              <w:bottom w:w="90" w:type="dxa"/>
              <w:end w:w="110" w:type="dxa"/>
            </w:tcMar>
          </w:tcPr>
          <w:p>
            <w:r>
              <w:rPr>
                <w:rFonts w:ascii="Aptos" w:hAnsi="Aptos"/>
                <w:b/>
                <w:color w:val="FFFFFF"/>
                <w:sz w:val="18"/>
              </w:rPr>
              <w:t>Write down</w:t>
            </w:r>
          </w:p>
        </w:tc>
        <w:tc>
          <w:tcPr>
            <w:tcW w:type="dxa" w:w="6912"/>
            <w:shd w:fill="2F5597"/>
            <w:tcMar>
              <w:top w:w="90" w:type="dxa"/>
              <w:start w:w="110" w:type="dxa"/>
              <w:bottom w:w="90" w:type="dxa"/>
              <w:end w:w="110" w:type="dxa"/>
            </w:tcMar>
          </w:tcPr>
          <w:p>
            <w:r>
              <w:rPr>
                <w:rFonts w:ascii="Aptos" w:hAnsi="Aptos"/>
                <w:b/>
                <w:color w:val="FFFFFF"/>
                <w:sz w:val="18"/>
              </w:rPr>
              <w:t>Example</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Success criterion</w:t>
            </w:r>
          </w:p>
        </w:tc>
        <w:tc>
          <w:tcPr>
            <w:tcW w:type="dxa" w:w="6912"/>
            <w:tcMar>
              <w:top w:w="90" w:type="dxa"/>
              <w:start w:w="110" w:type="dxa"/>
              <w:bottom w:w="90" w:type="dxa"/>
              <w:end w:w="110" w:type="dxa"/>
            </w:tcMar>
            <w:vAlign w:val="top"/>
          </w:tcPr>
          <w:p>
            <w:pPr>
              <w:spacing w:after="0"/>
            </w:pPr>
            <w:r>
              <w:rPr>
                <w:rFonts w:ascii="Aptos" w:hAnsi="Aptos"/>
                <w:b w:val="0"/>
                <w:sz w:val="18"/>
              </w:rPr>
              <w:t>The agent achieves the scored objective while violating an intended constraint or exploiting a loophole that the task designer meant it not to use.</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Positive example</w:t>
            </w:r>
          </w:p>
        </w:tc>
        <w:tc>
          <w:tcPr>
            <w:tcW w:type="dxa" w:w="6912"/>
            <w:tcMar>
              <w:top w:w="90" w:type="dxa"/>
              <w:start w:w="110" w:type="dxa"/>
              <w:bottom w:w="90" w:type="dxa"/>
              <w:end w:w="110" w:type="dxa"/>
            </w:tcMar>
            <w:vAlign w:val="top"/>
            <w:shd w:fill="F3F5F7"/>
          </w:tcPr>
          <w:p>
            <w:pPr>
              <w:spacing w:after="0"/>
            </w:pPr>
            <w:r>
              <w:rPr>
                <w:rFonts w:ascii="Aptos" w:hAnsi="Aptos"/>
                <w:b w:val="0"/>
                <w:sz w:val="18"/>
              </w:rPr>
              <w:t>The agent discovers a shortcut that technically passes the evaluator but bypasses the intended task.</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Not task gaming</w:t>
            </w:r>
          </w:p>
        </w:tc>
        <w:tc>
          <w:tcPr>
            <w:tcW w:type="dxa" w:w="6912"/>
            <w:tcMar>
              <w:top w:w="90" w:type="dxa"/>
              <w:start w:w="110" w:type="dxa"/>
              <w:bottom w:w="90" w:type="dxa"/>
              <w:end w:w="110" w:type="dxa"/>
            </w:tcMar>
            <w:vAlign w:val="top"/>
          </w:tcPr>
          <w:p>
            <w:pPr>
              <w:spacing w:after="0"/>
            </w:pPr>
            <w:r>
              <w:rPr>
                <w:rFonts w:ascii="Aptos" w:hAnsi="Aptos"/>
                <w:b w:val="0"/>
                <w:sz w:val="18"/>
              </w:rPr>
              <w:t>The agent simply makes a mistake, misunderstands the instruction, or fails to complete the task.</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Borderline case</w:t>
            </w:r>
          </w:p>
        </w:tc>
        <w:tc>
          <w:tcPr>
            <w:tcW w:type="dxa" w:w="6912"/>
            <w:tcMar>
              <w:top w:w="90" w:type="dxa"/>
              <w:start w:w="110" w:type="dxa"/>
              <w:bottom w:w="90" w:type="dxa"/>
              <w:end w:w="110" w:type="dxa"/>
            </w:tcMar>
            <w:vAlign w:val="top"/>
            <w:shd w:fill="F3F5F7"/>
          </w:tcPr>
          <w:p>
            <w:pPr>
              <w:spacing w:after="0"/>
            </w:pPr>
            <w:r>
              <w:rPr>
                <w:rFonts w:ascii="Aptos" w:hAnsi="Aptos"/>
                <w:b w:val="0"/>
                <w:sz w:val="18"/>
              </w:rPr>
              <w:t>A behaviour that could be either gaming or confusion; mark it as ambiguous rather than forcing a label.</w:t>
            </w:r>
          </w:p>
        </w:tc>
      </w:tr>
    </w:tbl>
    <w:p>
      <w:pPr>
        <w:spacing w:after="0"/>
      </w:pPr>
    </w:p>
    <w:p>
      <w:pPr>
        <w:pStyle w:val="Heading1"/>
        <w:keepNext/>
      </w:pPr>
      <w:r>
        <w:t>2. Do a targeted literature scan</w:t>
      </w:r>
    </w:p>
    <w:tbl>
      <w:tblPr>
        <w:tblW w:type="auto" w:w="0"/>
        <w:jc w:val="center"/>
        <w:tblLayout w:type="autofit"/>
        <w:tblLook w:firstColumn="1" w:firstRow="1" w:lastColumn="0" w:lastRow="0" w:noHBand="0" w:noVBand="1" w:val="04A0"/>
      </w:tblPr>
      <w:tblGrid>
        <w:gridCol w:w="10166"/>
      </w:tblGrid>
      <w:tr>
        <w:tc>
          <w:tcPr>
            <w:tcW w:type="dxa" w:w="10166"/>
            <w:shd w:fill="EAF0F8"/>
            <w:tcMar>
              <w:top w:w="110" w:type="dxa"/>
              <w:start w:w="140" w:type="dxa"/>
              <w:bottom w:w="110" w:type="dxa"/>
              <w:end w:w="140" w:type="dxa"/>
            </w:tcMar>
          </w:tcPr>
          <w:p>
            <w:pPr>
              <w:spacing w:after="40"/>
            </w:pPr>
            <w:r>
              <w:rPr>
                <w:rFonts w:ascii="Aptos" w:hAnsi="Aptos"/>
                <w:b/>
                <w:color w:val="2F5597"/>
                <w:sz w:val="21"/>
              </w:rPr>
              <w:t>Stop condition</w:t>
            </w:r>
          </w:p>
          <w:p>
            <w:pPr>
              <w:spacing w:after="0"/>
            </w:pPr>
            <w:r>
              <w:rPr>
                <w:rFonts w:ascii="Aptos" w:hAnsi="Aptos"/>
                <w:color w:val="1F1F1F"/>
                <w:sz w:val="20"/>
              </w:rPr>
              <w:t>Read until you can justify the question, choose a usable task/evaluation setup, and name the main confounds. You do not need a comprehensive literature review.</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736"/>
            <w:shd w:fill="2F5597"/>
            <w:tcMar>
              <w:top w:w="90" w:type="dxa"/>
              <w:start w:w="110" w:type="dxa"/>
              <w:bottom w:w="90" w:type="dxa"/>
              <w:end w:w="110" w:type="dxa"/>
            </w:tcMar>
          </w:tcPr>
          <w:p>
            <w:r>
              <w:rPr>
                <w:rFonts w:ascii="Aptos" w:hAnsi="Aptos"/>
                <w:b/>
                <w:color w:val="FFFFFF"/>
                <w:sz w:val="18"/>
              </w:rPr>
              <w:t>Source</w:t>
            </w:r>
          </w:p>
        </w:tc>
        <w:tc>
          <w:tcPr>
            <w:tcW w:type="dxa" w:w="3456"/>
            <w:shd w:fill="2F5597"/>
            <w:tcMar>
              <w:top w:w="90" w:type="dxa"/>
              <w:start w:w="110" w:type="dxa"/>
              <w:bottom w:w="90" w:type="dxa"/>
              <w:end w:w="110" w:type="dxa"/>
            </w:tcMar>
          </w:tcPr>
          <w:p>
            <w:r>
              <w:rPr>
                <w:rFonts w:ascii="Aptos" w:hAnsi="Aptos"/>
                <w:b/>
                <w:color w:val="FFFFFF"/>
                <w:sz w:val="18"/>
              </w:rPr>
              <w:t>What I took</w:t>
            </w:r>
          </w:p>
        </w:tc>
        <w:tc>
          <w:tcPr>
            <w:tcW w:type="dxa" w:w="3600"/>
            <w:shd w:fill="2F5597"/>
            <w:tcMar>
              <w:top w:w="90" w:type="dxa"/>
              <w:start w:w="110" w:type="dxa"/>
              <w:bottom w:w="90" w:type="dxa"/>
              <w:end w:w="110" w:type="dxa"/>
            </w:tcMar>
          </w:tcPr>
          <w:p>
            <w:r>
              <w:rPr>
                <w:rFonts w:ascii="Aptos" w:hAnsi="Aptos"/>
                <w:b/>
                <w:color w:val="FFFFFF"/>
                <w:sz w:val="18"/>
              </w:rPr>
              <w:t>Decision it changed</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Paper / blog / benchmark A</w:t>
            </w:r>
          </w:p>
        </w:tc>
        <w:tc>
          <w:tcPr>
            <w:tcW w:type="dxa" w:w="3456"/>
            <w:tcMar>
              <w:top w:w="90" w:type="dxa"/>
              <w:start w:w="110" w:type="dxa"/>
              <w:bottom w:w="90" w:type="dxa"/>
              <w:end w:w="110" w:type="dxa"/>
            </w:tcMar>
            <w:vAlign w:val="top"/>
          </w:tcPr>
          <w:p>
            <w:pPr>
              <w:spacing w:after="0"/>
            </w:pPr>
            <w:r>
              <w:rPr>
                <w:rFonts w:ascii="Aptos" w:hAnsi="Aptos"/>
                <w:sz w:val="18"/>
              </w:rPr>
              <w:t>One method, result or definition that is directly reusable.</w:t>
            </w:r>
          </w:p>
        </w:tc>
        <w:tc>
          <w:tcPr>
            <w:tcW w:type="dxa" w:w="3600"/>
            <w:tcMar>
              <w:top w:w="90" w:type="dxa"/>
              <w:start w:w="110" w:type="dxa"/>
              <w:bottom w:w="90" w:type="dxa"/>
              <w:end w:w="110" w:type="dxa"/>
            </w:tcMar>
            <w:vAlign w:val="top"/>
          </w:tcPr>
          <w:p>
            <w:pPr>
              <w:spacing w:after="0"/>
            </w:pPr>
            <w:r>
              <w:rPr>
                <w:rFonts w:ascii="Aptos" w:hAnsi="Aptos"/>
                <w:sz w:val="18"/>
              </w:rPr>
              <w:t>E.g. changed the task environment or operational definition.</w:t>
            </w:r>
          </w:p>
        </w:tc>
      </w:tr>
      <w:tr>
        <w:trPr>
          <w:cantSplit/>
        </w:trPr>
        <w:tc>
          <w:tcPr>
            <w:tcW w:type="dxa" w:w="2736"/>
            <w:tcMar>
              <w:top w:w="90" w:type="dxa"/>
              <w:start w:w="110" w:type="dxa"/>
              <w:bottom w:w="90" w:type="dxa"/>
              <w:end w:w="110" w:type="dxa"/>
            </w:tcMar>
            <w:vAlign w:val="top"/>
            <w:shd w:fill="F3F5F7"/>
          </w:tcPr>
          <w:p>
            <w:pPr>
              <w:spacing w:after="0"/>
            </w:pPr>
            <w:r>
              <w:rPr>
                <w:rFonts w:ascii="Aptos" w:hAnsi="Aptos"/>
                <w:sz w:val="18"/>
              </w:rPr>
              <w:t>Paper / blog / benchmark B</w:t>
            </w:r>
          </w:p>
        </w:tc>
        <w:tc>
          <w:tcPr>
            <w:tcW w:type="dxa" w:w="3456"/>
            <w:tcMar>
              <w:top w:w="90" w:type="dxa"/>
              <w:start w:w="110" w:type="dxa"/>
              <w:bottom w:w="90" w:type="dxa"/>
              <w:end w:w="110" w:type="dxa"/>
            </w:tcMar>
            <w:vAlign w:val="top"/>
            <w:shd w:fill="F3F5F7"/>
          </w:tcPr>
          <w:p>
            <w:pPr>
              <w:spacing w:after="0"/>
            </w:pPr>
            <w:r>
              <w:rPr>
                <w:rFonts w:ascii="Aptos" w:hAnsi="Aptos"/>
                <w:sz w:val="18"/>
              </w:rPr>
              <w:t>One relevant failure mode or control.</w:t>
            </w:r>
          </w:p>
        </w:tc>
        <w:tc>
          <w:tcPr>
            <w:tcW w:type="dxa" w:w="3600"/>
            <w:tcMar>
              <w:top w:w="90" w:type="dxa"/>
              <w:start w:w="110" w:type="dxa"/>
              <w:bottom w:w="90" w:type="dxa"/>
              <w:end w:w="110" w:type="dxa"/>
            </w:tcMar>
            <w:vAlign w:val="top"/>
            <w:shd w:fill="F3F5F7"/>
          </w:tcPr>
          <w:p>
            <w:pPr>
              <w:spacing w:after="0"/>
            </w:pPr>
            <w:r>
              <w:rPr>
                <w:rFonts w:ascii="Aptos" w:hAnsi="Aptos"/>
                <w:sz w:val="18"/>
              </w:rPr>
              <w:t>E.g. added an equal-context-length control.</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Source C</w:t>
            </w:r>
          </w:p>
        </w:tc>
        <w:tc>
          <w:tcPr>
            <w:tcW w:type="dxa" w:w="3456"/>
            <w:tcMar>
              <w:top w:w="90" w:type="dxa"/>
              <w:start w:w="110" w:type="dxa"/>
              <w:bottom w:w="90" w:type="dxa"/>
              <w:end w:w="110" w:type="dxa"/>
            </w:tcMar>
            <w:vAlign w:val="top"/>
          </w:tcPr>
          <w:p>
            <w:pPr>
              <w:spacing w:after="0"/>
            </w:pPr>
            <w:r>
              <w:rPr>
                <w:rFonts w:ascii="Aptos" w:hAnsi="Aptos"/>
                <w:sz w:val="18"/>
              </w:rPr>
              <w:t>One reason the question may already be partly answered.</w:t>
            </w:r>
          </w:p>
        </w:tc>
        <w:tc>
          <w:tcPr>
            <w:tcW w:type="dxa" w:w="3600"/>
            <w:tcMar>
              <w:top w:w="90" w:type="dxa"/>
              <w:start w:w="110" w:type="dxa"/>
              <w:bottom w:w="90" w:type="dxa"/>
              <w:end w:w="110" w:type="dxa"/>
            </w:tcMar>
            <w:vAlign w:val="top"/>
          </w:tcPr>
          <w:p>
            <w:pPr>
              <w:spacing w:after="0"/>
            </w:pPr>
            <w:r>
              <w:rPr>
                <w:rFonts w:ascii="Aptos" w:hAnsi="Aptos"/>
                <w:sz w:val="18"/>
              </w:rPr>
              <w:t>E.g. narrowed the claim to a remaining open sub-question.</w:t>
            </w:r>
          </w:p>
        </w:tc>
      </w:tr>
    </w:tbl>
    <w:p>
      <w:pPr>
        <w:spacing w:after="0"/>
      </w:pPr>
    </w:p>
    <w:p>
      <w:pPr>
        <w:pStyle w:val="Heading1"/>
        <w:keepNext/>
      </w:pPr>
      <w:r>
        <w:t>3. Find one clean baseline case</w:t>
      </w:r>
    </w:p>
    <w:p>
      <w:pPr>
        <w:pStyle w:val="ListBullet"/>
      </w:pPr>
      <w:r>
        <w:rPr>
          <w:rFonts w:ascii="Aptos" w:hAnsi="Aptos"/>
        </w:rPr>
        <w:t>Choose a task where the intended constraint and the “gaming” route are both easy to state.</w:t>
      </w:r>
    </w:p>
    <w:p>
      <w:pPr>
        <w:pStyle w:val="ListBullet"/>
      </w:pPr>
      <w:r>
        <w:rPr>
          <w:rFonts w:ascii="Aptos" w:hAnsi="Aptos"/>
        </w:rPr>
        <w:t>Run a baseline trajectory and save the full prompt, tool outputs, actions and visible reasoning/logs that the setup legitimately provides.</w:t>
      </w:r>
    </w:p>
    <w:p>
      <w:pPr>
        <w:pStyle w:val="ListBullet"/>
      </w:pPr>
      <w:r>
        <w:rPr>
          <w:rFonts w:ascii="Aptos" w:hAnsi="Aptos"/>
        </w:rPr>
        <w:t>Prefer a case that appears reliably enough to reproduce. If it occurs only once after dozens of attempts, that itself is important evidence.</w:t>
      </w:r>
    </w:p>
    <w:p>
      <w:pPr>
        <w:pStyle w:val="ListBullet"/>
      </w:pPr>
      <w:r>
        <w:rPr>
          <w:rFonts w:ascii="Aptos" w:hAnsi="Aptos"/>
        </w:rPr>
        <w:t>Before interpreting it, ask: could this just be confusion, an accidental prompt cue, or evaluator ambiguity?</w:t>
      </w:r>
    </w:p>
    <w:p>
      <w:pPr>
        <w:pStyle w:val="Heading1"/>
        <w:keepNext/>
      </w:pPr>
      <w:r>
        <w:t>4. State competing explanations before the key tests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736"/>
            <w:shd w:fill="2F5597"/>
            <w:tcMar>
              <w:top w:w="90" w:type="dxa"/>
              <w:start w:w="110" w:type="dxa"/>
              <w:bottom w:w="90" w:type="dxa"/>
              <w:end w:w="110" w:type="dxa"/>
            </w:tcMar>
          </w:tcPr>
          <w:p>
            <w:r>
              <w:rPr>
                <w:rFonts w:ascii="Aptos" w:hAnsi="Aptos"/>
                <w:b/>
                <w:color w:val="FFFFFF"/>
                <w:sz w:val="18"/>
              </w:rPr>
              <w:t>Hypothesis</w:t>
            </w:r>
          </w:p>
        </w:tc>
        <w:tc>
          <w:tcPr>
            <w:tcW w:type="dxa" w:w="3456"/>
            <w:shd w:fill="2F5597"/>
            <w:tcMar>
              <w:top w:w="90" w:type="dxa"/>
              <w:start w:w="110" w:type="dxa"/>
              <w:bottom w:w="90" w:type="dxa"/>
              <w:end w:w="110" w:type="dxa"/>
            </w:tcMar>
          </w:tcPr>
          <w:p>
            <w:r>
              <w:rPr>
                <w:rFonts w:ascii="Aptos" w:hAnsi="Aptos"/>
                <w:b/>
                <w:color w:val="FFFFFF"/>
                <w:sz w:val="18"/>
              </w:rPr>
              <w:t>What it means</w:t>
            </w:r>
          </w:p>
        </w:tc>
        <w:tc>
          <w:tcPr>
            <w:tcW w:type="dxa" w:w="3600"/>
            <w:shd w:fill="2F5597"/>
            <w:tcMar>
              <w:top w:w="90" w:type="dxa"/>
              <w:start w:w="110" w:type="dxa"/>
              <w:bottom w:w="90" w:type="dxa"/>
              <w:end w:w="110" w:type="dxa"/>
            </w:tcMar>
          </w:tcPr>
          <w:p>
            <w:r>
              <w:rPr>
                <w:rFonts w:ascii="Aptos" w:hAnsi="Aptos"/>
                <w:b/>
                <w:color w:val="FFFFFF"/>
                <w:sz w:val="18"/>
              </w:rPr>
              <w:t>Prediction</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H1: failure-history effect</w:t>
            </w:r>
          </w:p>
        </w:tc>
        <w:tc>
          <w:tcPr>
            <w:tcW w:type="dxa" w:w="3456"/>
            <w:tcMar>
              <w:top w:w="90" w:type="dxa"/>
              <w:start w:w="110" w:type="dxa"/>
              <w:bottom w:w="90" w:type="dxa"/>
              <w:end w:w="110" w:type="dxa"/>
            </w:tcMar>
            <w:vAlign w:val="top"/>
          </w:tcPr>
          <w:p>
            <w:pPr>
              <w:spacing w:after="0"/>
            </w:pPr>
            <w:r>
              <w:rPr>
                <w:rFonts w:ascii="Aptos" w:hAnsi="Aptos"/>
                <w:sz w:val="18"/>
              </w:rPr>
              <w:t>Earlier unsuccessful attempts change later behaviour, even when instructions remain equally available.</w:t>
            </w:r>
          </w:p>
        </w:tc>
        <w:tc>
          <w:tcPr>
            <w:tcW w:type="dxa" w:w="3600"/>
            <w:tcMar>
              <w:top w:w="90" w:type="dxa"/>
              <w:start w:w="110" w:type="dxa"/>
              <w:bottom w:w="90" w:type="dxa"/>
              <w:end w:w="110" w:type="dxa"/>
            </w:tcMar>
            <w:vAlign w:val="top"/>
          </w:tcPr>
          <w:p>
            <w:pPr>
              <w:spacing w:after="0"/>
            </w:pPr>
            <w:r>
              <w:rPr>
                <w:rFonts w:ascii="Aptos" w:hAnsi="Aptos"/>
                <w:sz w:val="18"/>
              </w:rPr>
              <w:t>Removing or replacing the failure history should reduce gaming while keeping context length / constraints comparable.</w:t>
            </w:r>
          </w:p>
        </w:tc>
      </w:tr>
      <w:tr>
        <w:trPr>
          <w:cantSplit/>
        </w:trPr>
        <w:tc>
          <w:tcPr>
            <w:tcW w:type="dxa" w:w="2736"/>
            <w:tcMar>
              <w:top w:w="90" w:type="dxa"/>
              <w:start w:w="110" w:type="dxa"/>
              <w:bottom w:w="90" w:type="dxa"/>
              <w:end w:w="110" w:type="dxa"/>
            </w:tcMar>
            <w:vAlign w:val="top"/>
            <w:shd w:fill="F3F5F7"/>
          </w:tcPr>
          <w:p>
            <w:pPr>
              <w:spacing w:after="0"/>
            </w:pPr>
            <w:r>
              <w:rPr>
                <w:rFonts w:ascii="Aptos" w:hAnsi="Aptos"/>
                <w:sz w:val="18"/>
              </w:rPr>
              <w:t>H2: constraint-salience effect</w:t>
            </w:r>
          </w:p>
        </w:tc>
        <w:tc>
          <w:tcPr>
            <w:tcW w:type="dxa" w:w="3456"/>
            <w:tcMar>
              <w:top w:w="90" w:type="dxa"/>
              <w:start w:w="110" w:type="dxa"/>
              <w:bottom w:w="90" w:type="dxa"/>
              <w:end w:w="110" w:type="dxa"/>
            </w:tcMar>
            <w:vAlign w:val="top"/>
            <w:shd w:fill="F3F5F7"/>
          </w:tcPr>
          <w:p>
            <w:pPr>
              <w:spacing w:after="0"/>
            </w:pPr>
            <w:r>
              <w:rPr>
                <w:rFonts w:ascii="Aptos" w:hAnsi="Aptos"/>
                <w:sz w:val="18"/>
              </w:rPr>
              <w:t>The original constraints become less influential as the context grows or attention is occupied by later material.</w:t>
            </w:r>
          </w:p>
        </w:tc>
        <w:tc>
          <w:tcPr>
            <w:tcW w:type="dxa" w:w="3600"/>
            <w:tcMar>
              <w:top w:w="90" w:type="dxa"/>
              <w:start w:w="110" w:type="dxa"/>
              <w:bottom w:w="90" w:type="dxa"/>
              <w:end w:w="110" w:type="dxa"/>
            </w:tcMar>
            <w:vAlign w:val="top"/>
            <w:shd w:fill="F3F5F7"/>
          </w:tcPr>
          <w:p>
            <w:pPr>
              <w:spacing w:after="0"/>
            </w:pPr>
            <w:r>
              <w:rPr>
                <w:rFonts w:ascii="Aptos" w:hAnsi="Aptos"/>
                <w:sz w:val="18"/>
              </w:rPr>
              <w:t>Restating / resurfacing the constraint near the decision point should reduce gaming even with the same failure history.</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H3: mundane confound</w:t>
            </w:r>
          </w:p>
        </w:tc>
        <w:tc>
          <w:tcPr>
            <w:tcW w:type="dxa" w:w="3456"/>
            <w:tcMar>
              <w:top w:w="90" w:type="dxa"/>
              <w:start w:w="110" w:type="dxa"/>
              <w:bottom w:w="90" w:type="dxa"/>
              <w:end w:w="110" w:type="dxa"/>
            </w:tcMar>
            <w:vAlign w:val="top"/>
          </w:tcPr>
          <w:p>
            <w:pPr>
              <w:spacing w:after="0"/>
            </w:pPr>
            <w:r>
              <w:rPr>
                <w:rFonts w:ascii="Aptos" w:hAnsi="Aptos"/>
                <w:sz w:val="18"/>
              </w:rPr>
              <w:t>The behaviour is caused by something else: ambiguity, random sampling, prompt wording, evaluator cue, etc.</w:t>
            </w:r>
          </w:p>
        </w:tc>
        <w:tc>
          <w:tcPr>
            <w:tcW w:type="dxa" w:w="3600"/>
            <w:tcMar>
              <w:top w:w="90" w:type="dxa"/>
              <w:start w:w="110" w:type="dxa"/>
              <w:bottom w:w="90" w:type="dxa"/>
              <w:end w:w="110" w:type="dxa"/>
            </w:tcMar>
            <w:vAlign w:val="top"/>
          </w:tcPr>
          <w:p>
            <w:pPr>
              <w:spacing w:after="0"/>
            </w:pPr>
            <w:r>
              <w:rPr>
                <w:rFonts w:ascii="Aptos" w:hAnsi="Aptos"/>
                <w:sz w:val="18"/>
              </w:rPr>
              <w:t>Small wording/control changes may explain the effect without either H1 or H2.</w:t>
            </w:r>
          </w:p>
        </w:tc>
      </w:tr>
    </w:tbl>
    <w:p>
      <w:pPr>
        <w:spacing w:after="0"/>
      </w:pPr>
    </w:p>
    <w:p>
      <w:pPr>
        <w:pStyle w:val="Heading1"/>
        <w:keepNext/>
      </w:pPr>
      <w:r>
        <w:t>5. Run counterfactual interventions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600"/>
            <w:shd w:fill="2F5597"/>
            <w:tcMar>
              <w:top w:w="90" w:type="dxa"/>
              <w:start w:w="110" w:type="dxa"/>
              <w:bottom w:w="90" w:type="dxa"/>
              <w:end w:w="110" w:type="dxa"/>
            </w:tcMar>
          </w:tcPr>
          <w:p>
            <w:r>
              <w:rPr>
                <w:rFonts w:ascii="Aptos" w:hAnsi="Aptos"/>
                <w:b/>
                <w:color w:val="FFFFFF"/>
                <w:sz w:val="18"/>
              </w:rPr>
              <w:t>Intervention</w:t>
            </w:r>
          </w:p>
        </w:tc>
        <w:tc>
          <w:tcPr>
            <w:tcW w:type="dxa" w:w="6192"/>
            <w:shd w:fill="2F5597"/>
            <w:tcMar>
              <w:top w:w="90" w:type="dxa"/>
              <w:start w:w="110" w:type="dxa"/>
              <w:bottom w:w="90" w:type="dxa"/>
              <w:end w:w="110" w:type="dxa"/>
            </w:tcMar>
          </w:tcPr>
          <w:p>
            <w:r>
              <w:rPr>
                <w:rFonts w:ascii="Aptos" w:hAnsi="Aptos"/>
                <w:b/>
                <w:color w:val="FFFFFF"/>
                <w:sz w:val="18"/>
              </w:rPr>
              <w:t>What it helps distinguish</w:t>
            </w:r>
          </w:p>
        </w:tc>
      </w:tr>
      <w:tr>
        <w:trPr>
          <w:cantSplit/>
        </w:trPr>
        <w:tc>
          <w:tcPr>
            <w:tcW w:type="dxa" w:w="3600"/>
            <w:tcMar>
              <w:top w:w="90" w:type="dxa"/>
              <w:start w:w="110" w:type="dxa"/>
              <w:bottom w:w="90" w:type="dxa"/>
              <w:end w:w="110" w:type="dxa"/>
            </w:tcMar>
            <w:vAlign w:val="top"/>
          </w:tcPr>
          <w:p>
            <w:pPr>
              <w:spacing w:after="0"/>
            </w:pPr>
            <w:r>
              <w:rPr>
                <w:rFonts w:ascii="Aptos" w:hAnsi="Aptos"/>
                <w:b/>
                <w:sz w:val="18"/>
              </w:rPr>
              <w:t>A. Remove failure history</w:t>
            </w:r>
          </w:p>
        </w:tc>
        <w:tc>
          <w:tcPr>
            <w:tcW w:type="dxa" w:w="6192"/>
            <w:tcMar>
              <w:top w:w="90" w:type="dxa"/>
              <w:start w:w="110" w:type="dxa"/>
              <w:bottom w:w="90" w:type="dxa"/>
              <w:end w:w="110" w:type="dxa"/>
            </w:tcMar>
            <w:vAlign w:val="top"/>
          </w:tcPr>
          <w:p>
            <w:pPr>
              <w:spacing w:after="0"/>
            </w:pPr>
            <w:r>
              <w:rPr>
                <w:rFonts w:ascii="Aptos" w:hAnsi="Aptos"/>
                <w:b w:val="0"/>
                <w:sz w:val="18"/>
              </w:rPr>
              <w:t>Keep the later task as similar as possible, but start from a fresh trajectory. If gaming drops, H1 gains support.</w:t>
            </w:r>
          </w:p>
        </w:tc>
      </w:tr>
      <w:tr>
        <w:trPr>
          <w:cantSplit/>
        </w:trPr>
        <w:tc>
          <w:tcPr>
            <w:tcW w:type="dxa" w:w="3600"/>
            <w:tcMar>
              <w:top w:w="90" w:type="dxa"/>
              <w:start w:w="110" w:type="dxa"/>
              <w:bottom w:w="90" w:type="dxa"/>
              <w:end w:w="110" w:type="dxa"/>
            </w:tcMar>
            <w:vAlign w:val="top"/>
            <w:shd w:fill="F3F5F7"/>
          </w:tcPr>
          <w:p>
            <w:pPr>
              <w:spacing w:after="0"/>
            </w:pPr>
            <w:r>
              <w:rPr>
                <w:rFonts w:ascii="Aptos" w:hAnsi="Aptos"/>
                <w:b/>
                <w:sz w:val="18"/>
              </w:rPr>
              <w:t>B. Preserve failure history, resurface constraints</w:t>
            </w:r>
          </w:p>
        </w:tc>
        <w:tc>
          <w:tcPr>
            <w:tcW w:type="dxa" w:w="6192"/>
            <w:tcMar>
              <w:top w:w="90" w:type="dxa"/>
              <w:start w:w="110" w:type="dxa"/>
              <w:bottom w:w="90" w:type="dxa"/>
              <w:end w:w="110" w:type="dxa"/>
            </w:tcMar>
            <w:vAlign w:val="top"/>
            <w:shd w:fill="F3F5F7"/>
          </w:tcPr>
          <w:p>
            <w:pPr>
              <w:spacing w:after="0"/>
            </w:pPr>
            <w:r>
              <w:rPr>
                <w:rFonts w:ascii="Aptos" w:hAnsi="Aptos"/>
                <w:b w:val="0"/>
                <w:sz w:val="18"/>
              </w:rPr>
              <w:t>Restate the original constraint immediately before the critical choice. If gaming drops, H2 gains support.</w:t>
            </w:r>
          </w:p>
        </w:tc>
      </w:tr>
      <w:tr>
        <w:trPr>
          <w:cantSplit/>
        </w:trPr>
        <w:tc>
          <w:tcPr>
            <w:tcW w:type="dxa" w:w="3600"/>
            <w:tcMar>
              <w:top w:w="90" w:type="dxa"/>
              <w:start w:w="110" w:type="dxa"/>
              <w:bottom w:w="90" w:type="dxa"/>
              <w:end w:w="110" w:type="dxa"/>
            </w:tcMar>
            <w:vAlign w:val="top"/>
          </w:tcPr>
          <w:p>
            <w:pPr>
              <w:spacing w:after="0"/>
            </w:pPr>
            <w:r>
              <w:rPr>
                <w:rFonts w:ascii="Aptos" w:hAnsi="Aptos"/>
                <w:b/>
                <w:sz w:val="18"/>
              </w:rPr>
              <w:t>C. Equal-length control</w:t>
            </w:r>
          </w:p>
        </w:tc>
        <w:tc>
          <w:tcPr>
            <w:tcW w:type="dxa" w:w="6192"/>
            <w:tcMar>
              <w:top w:w="90" w:type="dxa"/>
              <w:start w:w="110" w:type="dxa"/>
              <w:bottom w:w="90" w:type="dxa"/>
              <w:end w:w="110" w:type="dxa"/>
            </w:tcMar>
            <w:vAlign w:val="top"/>
          </w:tcPr>
          <w:p>
            <w:pPr>
              <w:spacing w:after="0"/>
            </w:pPr>
            <w:r>
              <w:rPr>
                <w:rFonts w:ascii="Aptos" w:hAnsi="Aptos"/>
                <w:b w:val="0"/>
                <w:sz w:val="18"/>
              </w:rPr>
              <w:t>Add neutral filler or equivalent context so “shorter context” is not accidentally the explanation for A.</w:t>
            </w:r>
          </w:p>
        </w:tc>
      </w:tr>
      <w:tr>
        <w:trPr>
          <w:cantSplit/>
        </w:trPr>
        <w:tc>
          <w:tcPr>
            <w:tcW w:type="dxa" w:w="3600"/>
            <w:tcMar>
              <w:top w:w="90" w:type="dxa"/>
              <w:start w:w="110" w:type="dxa"/>
              <w:bottom w:w="90" w:type="dxa"/>
              <w:end w:w="110" w:type="dxa"/>
            </w:tcMar>
            <w:vAlign w:val="top"/>
            <w:shd w:fill="F3F5F7"/>
          </w:tcPr>
          <w:p>
            <w:pPr>
              <w:spacing w:after="0"/>
            </w:pPr>
            <w:r>
              <w:rPr>
                <w:rFonts w:ascii="Aptos" w:hAnsi="Aptos"/>
                <w:b/>
                <w:sz w:val="18"/>
              </w:rPr>
              <w:t>D. Failure-history control</w:t>
            </w:r>
          </w:p>
        </w:tc>
        <w:tc>
          <w:tcPr>
            <w:tcW w:type="dxa" w:w="6192"/>
            <w:tcMar>
              <w:top w:w="90" w:type="dxa"/>
              <w:start w:w="110" w:type="dxa"/>
              <w:bottom w:w="90" w:type="dxa"/>
              <w:end w:w="110" w:type="dxa"/>
            </w:tcMar>
            <w:vAlign w:val="top"/>
            <w:shd w:fill="F3F5F7"/>
          </w:tcPr>
          <w:p>
            <w:pPr>
              <w:spacing w:after="0"/>
            </w:pPr>
            <w:r>
              <w:rPr>
                <w:rFonts w:ascii="Aptos" w:hAnsi="Aptos"/>
                <w:b w:val="0"/>
                <w:sz w:val="18"/>
              </w:rPr>
              <w:t>Replace previous failures with equally long non-failure interaction. Tests whether “history length” versus “history of failure” matters.</w:t>
            </w:r>
          </w:p>
        </w:tc>
      </w:tr>
      <w:tr>
        <w:trPr>
          <w:cantSplit/>
        </w:trPr>
        <w:tc>
          <w:tcPr>
            <w:tcW w:type="dxa" w:w="3600"/>
            <w:tcMar>
              <w:top w:w="90" w:type="dxa"/>
              <w:start w:w="110" w:type="dxa"/>
              <w:bottom w:w="90" w:type="dxa"/>
              <w:end w:w="110" w:type="dxa"/>
            </w:tcMar>
            <w:vAlign w:val="top"/>
          </w:tcPr>
          <w:p>
            <w:pPr>
              <w:spacing w:after="0"/>
            </w:pPr>
            <w:r>
              <w:rPr>
                <w:rFonts w:ascii="Aptos" w:hAnsi="Aptos"/>
                <w:b/>
                <w:sz w:val="18"/>
              </w:rPr>
              <w:t>E. Prompt/evaluator sanity check</w:t>
            </w:r>
          </w:p>
        </w:tc>
        <w:tc>
          <w:tcPr>
            <w:tcW w:type="dxa" w:w="6192"/>
            <w:tcMar>
              <w:top w:w="90" w:type="dxa"/>
              <w:start w:w="110" w:type="dxa"/>
              <w:bottom w:w="90" w:type="dxa"/>
              <w:end w:w="110" w:type="dxa"/>
            </w:tcMar>
            <w:vAlign w:val="top"/>
          </w:tcPr>
          <w:p>
            <w:pPr>
              <w:spacing w:after="0"/>
            </w:pPr>
            <w:r>
              <w:rPr>
                <w:rFonts w:ascii="Aptos" w:hAnsi="Aptos"/>
                <w:b w:val="0"/>
                <w:sz w:val="18"/>
              </w:rPr>
              <w:t>Slightly reword the instruction or remove an obvious evaluator cue. Tests whether the original setup was inadvertently steering the behaviour.</w:t>
            </w:r>
          </w:p>
        </w:tc>
      </w:tr>
    </w:tbl>
    <w:p>
      <w:pPr>
        <w:spacing w:after="0"/>
      </w:pPr>
    </w:p>
    <w:p>
      <w:pPr>
        <w:pStyle w:val="Heading1"/>
        <w:keepNext/>
      </w:pPr>
      <w:r>
        <w:t>6. Decide in advance what evidence would change your mind</w:t>
      </w:r>
    </w:p>
    <w:tbl>
      <w:tblPr>
        <w:tblW w:type="auto" w:w="0"/>
        <w:jc w:val="center"/>
        <w:tblLayout w:type="autofit"/>
        <w:tblLook w:firstColumn="1" w:firstRow="1" w:lastColumn="0" w:lastRow="0" w:noHBand="0" w:noVBand="1" w:val="04A0"/>
      </w:tblPr>
      <w:tblGrid>
        <w:gridCol w:w="10166"/>
      </w:tblGrid>
      <w:tr>
        <w:tc>
          <w:tcPr>
            <w:tcW w:type="dxa" w:w="10166"/>
            <w:shd w:fill="F6F2E8"/>
            <w:tcMar>
              <w:top w:w="110" w:type="dxa"/>
              <w:start w:w="140" w:type="dxa"/>
              <w:bottom w:w="110" w:type="dxa"/>
              <w:end w:w="140" w:type="dxa"/>
            </w:tcMar>
          </w:tcPr>
          <w:p>
            <w:pPr>
              <w:spacing w:after="40"/>
            </w:pPr>
            <w:r>
              <w:rPr>
                <w:rFonts w:ascii="Aptos" w:hAnsi="Aptos"/>
                <w:b/>
                <w:color w:val="2F5597"/>
                <w:sz w:val="21"/>
              </w:rPr>
              <w:t>Example prediction rule</w:t>
            </w:r>
          </w:p>
          <w:p>
            <w:pPr>
              <w:spacing w:after="0"/>
            </w:pPr>
            <w:r>
              <w:rPr>
                <w:rFonts w:ascii="Aptos" w:hAnsi="Aptos"/>
                <w:color w:val="1F1F1F"/>
                <w:sz w:val="20"/>
              </w:rPr>
              <w:t>If removing failure history changes the behaviour but resurfacing constraints does not, that is evidence for H1 over H2. If the opposite occurs, it favours H2. If both matter, report interaction rather than forcing a single-cause story. If neither is robust, the correct result may be “the original interpretation was not supported”.</w:t>
            </w:r>
          </w:p>
        </w:tc>
      </w:tr>
    </w:tbl>
    <w:p>
      <w:pPr>
        <w:spacing w:after="0"/>
      </w:pPr>
    </w:p>
    <w:p>
      <w:pPr>
        <w:pStyle w:val="Heading1"/>
        <w:keepNext/>
      </w:pPr>
      <w:r>
        <w:t>7. Analyse the results without overclaiming</w:t>
      </w:r>
    </w:p>
    <w:p>
      <w:pPr>
        <w:pStyle w:val="ListBullet"/>
      </w:pPr>
      <w:r>
        <w:rPr>
          <w:rFonts w:ascii="Aptos" w:hAnsi="Aptos"/>
          <w:b/>
        </w:rPr>
        <w:t xml:space="preserve">First: </w:t>
      </w:r>
      <w:r>
        <w:rPr>
          <w:rFonts w:ascii="Aptos" w:hAnsi="Aptos"/>
        </w:rPr>
        <w:t>show the behaviour and the intervention outcomes.</w:t>
      </w:r>
    </w:p>
    <w:p>
      <w:pPr>
        <w:pStyle w:val="ListBullet"/>
      </w:pPr>
      <w:r>
        <w:rPr>
          <w:rFonts w:ascii="Aptos" w:hAnsi="Aptos"/>
          <w:b/>
        </w:rPr>
        <w:t xml:space="preserve">Second: </w:t>
      </w:r>
      <w:r>
        <w:rPr>
          <w:rFonts w:ascii="Aptos" w:hAnsi="Aptos"/>
        </w:rPr>
        <w:t>state the narrowest conclusion the comparisons support.</w:t>
      </w:r>
    </w:p>
    <w:p>
      <w:pPr>
        <w:pStyle w:val="ListBullet"/>
      </w:pPr>
      <w:r>
        <w:rPr>
          <w:rFonts w:ascii="Aptos" w:hAnsi="Aptos"/>
          <w:b/>
        </w:rPr>
        <w:t xml:space="preserve">Third: </w:t>
      </w:r>
      <w:r>
        <w:rPr>
          <w:rFonts w:ascii="Aptos" w:hAnsi="Aptos"/>
        </w:rPr>
        <w:t>give the strongest alternative explanation.</w:t>
      </w:r>
    </w:p>
    <w:p>
      <w:pPr>
        <w:pStyle w:val="ListBullet"/>
      </w:pPr>
      <w:r>
        <w:rPr>
          <w:rFonts w:ascii="Aptos" w:hAnsi="Aptos"/>
          <w:b/>
        </w:rPr>
        <w:t xml:space="preserve">Fourth: </w:t>
      </w:r>
      <w:r>
        <w:rPr>
          <w:rFonts w:ascii="Aptos" w:hAnsi="Aptos"/>
        </w:rPr>
        <w:t>say what your experiment cannot establish — especially generality across models/tasks or true internal motivation.</w:t>
      </w:r>
    </w:p>
    <w:p>
      <w:pPr>
        <w:pStyle w:val="ListBullet"/>
      </w:pPr>
      <w:r>
        <w:rPr>
          <w:rFonts w:ascii="Aptos" w:hAnsi="Aptos"/>
          <w:b/>
        </w:rPr>
        <w:t xml:space="preserve">Fifth: </w:t>
      </w:r>
      <w:r>
        <w:rPr>
          <w:rFonts w:ascii="Aptos" w:hAnsi="Aptos"/>
        </w:rPr>
        <w:t>if sample size is small, report counts and variability rather than implying statistical certainty.</w:t>
      </w:r>
    </w:p>
    <w:p>
      <w:pPr>
        <w:pStyle w:val="Heading1"/>
        <w:keepNext/>
      </w:pPr>
      <w:r>
        <w:t>8. Recommended write-up structure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2F5597"/>
            <w:tcMar>
              <w:top w:w="90" w:type="dxa"/>
              <w:start w:w="110" w:type="dxa"/>
              <w:bottom w:w="90" w:type="dxa"/>
              <w:end w:w="110" w:type="dxa"/>
            </w:tcMar>
          </w:tcPr>
          <w:p>
            <w:r>
              <w:rPr>
                <w:rFonts w:ascii="Aptos" w:hAnsi="Aptos"/>
                <w:b/>
                <w:color w:val="FFFFFF"/>
                <w:sz w:val="18"/>
              </w:rPr>
              <w:t>Section</w:t>
            </w:r>
          </w:p>
        </w:tc>
        <w:tc>
          <w:tcPr>
            <w:tcW w:type="dxa" w:w="6912"/>
            <w:shd w:fill="2F5597"/>
            <w:tcMar>
              <w:top w:w="90" w:type="dxa"/>
              <w:start w:w="110" w:type="dxa"/>
              <w:bottom w:w="90" w:type="dxa"/>
              <w:end w:w="110" w:type="dxa"/>
            </w:tcMar>
          </w:tcPr>
          <w:p>
            <w:r>
              <w:rPr>
                <w:rFonts w:ascii="Aptos" w:hAnsi="Aptos"/>
                <w:b/>
                <w:color w:val="FFFFFF"/>
                <w:sz w:val="18"/>
              </w:rPr>
              <w:t>What goes in it</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1. One-paragraph summary</w:t>
            </w:r>
          </w:p>
        </w:tc>
        <w:tc>
          <w:tcPr>
            <w:tcW w:type="dxa" w:w="6912"/>
            <w:tcMar>
              <w:top w:w="90" w:type="dxa"/>
              <w:start w:w="110" w:type="dxa"/>
              <w:bottom w:w="90" w:type="dxa"/>
              <w:end w:w="110" w:type="dxa"/>
            </w:tcMar>
            <w:vAlign w:val="top"/>
          </w:tcPr>
          <w:p>
            <w:pPr>
              <w:spacing w:after="0"/>
            </w:pPr>
            <w:r>
              <w:rPr>
                <w:rFonts w:ascii="Aptos" w:hAnsi="Aptos"/>
                <w:b w:val="0"/>
                <w:sz w:val="18"/>
              </w:rPr>
              <w:t>Question, key experiment, result, and main caveat.</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2. Why this case</w:t>
            </w:r>
          </w:p>
        </w:tc>
        <w:tc>
          <w:tcPr>
            <w:tcW w:type="dxa" w:w="6912"/>
            <w:tcMar>
              <w:top w:w="90" w:type="dxa"/>
              <w:start w:w="110" w:type="dxa"/>
              <w:bottom w:w="90" w:type="dxa"/>
              <w:end w:w="110" w:type="dxa"/>
            </w:tcMar>
            <w:vAlign w:val="top"/>
            <w:shd w:fill="F3F5F7"/>
          </w:tcPr>
          <w:p>
            <w:pPr>
              <w:spacing w:after="0"/>
            </w:pPr>
            <w:r>
              <w:rPr>
                <w:rFonts w:ascii="Aptos" w:hAnsi="Aptos"/>
                <w:b w:val="0"/>
                <w:sz w:val="18"/>
              </w:rPr>
              <w:t>Why the behaviour is interesting and why this task is a clean test.</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3. Definitions</w:t>
            </w:r>
          </w:p>
        </w:tc>
        <w:tc>
          <w:tcPr>
            <w:tcW w:type="dxa" w:w="6912"/>
            <w:tcMar>
              <w:top w:w="90" w:type="dxa"/>
              <w:start w:w="110" w:type="dxa"/>
              <w:bottom w:w="90" w:type="dxa"/>
              <w:end w:w="110" w:type="dxa"/>
            </w:tcMar>
            <w:vAlign w:val="top"/>
          </w:tcPr>
          <w:p>
            <w:pPr>
              <w:spacing w:after="0"/>
            </w:pPr>
            <w:r>
              <w:rPr>
                <w:rFonts w:ascii="Aptos" w:hAnsi="Aptos"/>
                <w:b w:val="0"/>
                <w:sz w:val="18"/>
              </w:rPr>
              <w:t>What you mean by task gaming; what would not count.</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4. Hypotheses + predictions</w:t>
            </w:r>
          </w:p>
        </w:tc>
        <w:tc>
          <w:tcPr>
            <w:tcW w:type="dxa" w:w="6912"/>
            <w:tcMar>
              <w:top w:w="90" w:type="dxa"/>
              <w:start w:w="110" w:type="dxa"/>
              <w:bottom w:w="90" w:type="dxa"/>
              <w:end w:w="110" w:type="dxa"/>
            </w:tcMar>
            <w:vAlign w:val="top"/>
            <w:shd w:fill="F3F5F7"/>
          </w:tcPr>
          <w:p>
            <w:pPr>
              <w:spacing w:after="0"/>
            </w:pPr>
            <w:r>
              <w:rPr>
                <w:rFonts w:ascii="Aptos" w:hAnsi="Aptos"/>
                <w:b w:val="0"/>
                <w:sz w:val="18"/>
              </w:rPr>
              <w:t>H1/H2/H3 and the expected direction of each intervention.</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5. Setup</w:t>
            </w:r>
          </w:p>
        </w:tc>
        <w:tc>
          <w:tcPr>
            <w:tcW w:type="dxa" w:w="6912"/>
            <w:tcMar>
              <w:top w:w="90" w:type="dxa"/>
              <w:start w:w="110" w:type="dxa"/>
              <w:bottom w:w="90" w:type="dxa"/>
              <w:end w:w="110" w:type="dxa"/>
            </w:tcMar>
            <w:vAlign w:val="top"/>
          </w:tcPr>
          <w:p>
            <w:pPr>
              <w:spacing w:after="0"/>
            </w:pPr>
            <w:r>
              <w:rPr>
                <w:rFonts w:ascii="Aptos" w:hAnsi="Aptos"/>
                <w:b w:val="0"/>
                <w:sz w:val="18"/>
              </w:rPr>
              <w:t>Model, prompts, tools/environment, sampling settings, evaluator, number of runs.</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6. Baseline case</w:t>
            </w:r>
          </w:p>
        </w:tc>
        <w:tc>
          <w:tcPr>
            <w:tcW w:type="dxa" w:w="6912"/>
            <w:tcMar>
              <w:top w:w="90" w:type="dxa"/>
              <w:start w:w="110" w:type="dxa"/>
              <w:bottom w:w="90" w:type="dxa"/>
              <w:end w:w="110" w:type="dxa"/>
            </w:tcMar>
            <w:vAlign w:val="top"/>
            <w:shd w:fill="F3F5F7"/>
          </w:tcPr>
          <w:p>
            <w:pPr>
              <w:spacing w:after="0"/>
            </w:pPr>
            <w:r>
              <w:rPr>
                <w:rFonts w:ascii="Aptos" w:hAnsi="Aptos"/>
                <w:b w:val="0"/>
                <w:sz w:val="18"/>
              </w:rPr>
              <w:t>The key trajectory with only the excerpts needed to understand it.</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7. Counterfactuals</w:t>
            </w:r>
          </w:p>
        </w:tc>
        <w:tc>
          <w:tcPr>
            <w:tcW w:type="dxa" w:w="6912"/>
            <w:tcMar>
              <w:top w:w="90" w:type="dxa"/>
              <w:start w:w="110" w:type="dxa"/>
              <w:bottom w:w="90" w:type="dxa"/>
              <w:end w:w="110" w:type="dxa"/>
            </w:tcMar>
            <w:vAlign w:val="top"/>
          </w:tcPr>
          <w:p>
            <w:pPr>
              <w:spacing w:after="0"/>
            </w:pPr>
            <w:r>
              <w:rPr>
                <w:rFonts w:ascii="Aptos" w:hAnsi="Aptos"/>
                <w:b w:val="0"/>
                <w:sz w:val="18"/>
              </w:rPr>
              <w:t>Interventions and outcomes, preferably in one table.</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8. Interpretation</w:t>
            </w:r>
          </w:p>
        </w:tc>
        <w:tc>
          <w:tcPr>
            <w:tcW w:type="dxa" w:w="6912"/>
            <w:tcMar>
              <w:top w:w="90" w:type="dxa"/>
              <w:start w:w="110" w:type="dxa"/>
              <w:bottom w:w="90" w:type="dxa"/>
              <w:end w:w="110" w:type="dxa"/>
            </w:tcMar>
            <w:vAlign w:val="top"/>
            <w:shd w:fill="F3F5F7"/>
          </w:tcPr>
          <w:p>
            <w:pPr>
              <w:spacing w:after="0"/>
            </w:pPr>
            <w:r>
              <w:rPr>
                <w:rFonts w:ascii="Aptos" w:hAnsi="Aptos"/>
                <w:b w:val="0"/>
                <w:sz w:val="18"/>
              </w:rPr>
              <w:t>What the evidence supports; what it does not.</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9. Scepticism / failure modes</w:t>
            </w:r>
          </w:p>
        </w:tc>
        <w:tc>
          <w:tcPr>
            <w:tcW w:type="dxa" w:w="6912"/>
            <w:tcMar>
              <w:top w:w="90" w:type="dxa"/>
              <w:start w:w="110" w:type="dxa"/>
              <w:bottom w:w="90" w:type="dxa"/>
              <w:end w:w="110" w:type="dxa"/>
            </w:tcMar>
            <w:vAlign w:val="top"/>
          </w:tcPr>
          <w:p>
            <w:pPr>
              <w:spacing w:after="0"/>
            </w:pPr>
            <w:r>
              <w:rPr>
                <w:rFonts w:ascii="Aptos" w:hAnsi="Aptos"/>
                <w:b w:val="0"/>
                <w:sz w:val="18"/>
              </w:rPr>
              <w:t>Confounds, failed ideas, ambiguous cases, and one thing that changed your mind.</w:t>
            </w:r>
          </w:p>
        </w:tc>
      </w:tr>
      <w:tr>
        <w:trPr>
          <w:cantSplit/>
        </w:trPr>
        <w:tc>
          <w:tcPr>
            <w:tcW w:type="dxa" w:w="2880"/>
            <w:tcMar>
              <w:top w:w="90" w:type="dxa"/>
              <w:start w:w="110" w:type="dxa"/>
              <w:bottom w:w="90" w:type="dxa"/>
              <w:end w:w="110" w:type="dxa"/>
            </w:tcMar>
            <w:vAlign w:val="top"/>
            <w:shd w:fill="F3F5F7"/>
          </w:tcPr>
          <w:p>
            <w:pPr>
              <w:spacing w:after="0"/>
            </w:pPr>
            <w:r>
              <w:rPr>
                <w:rFonts w:ascii="Aptos" w:hAnsi="Aptos"/>
                <w:b/>
                <w:sz w:val="18"/>
              </w:rPr>
              <w:t>10. AI use</w:t>
            </w:r>
          </w:p>
        </w:tc>
        <w:tc>
          <w:tcPr>
            <w:tcW w:type="dxa" w:w="6912"/>
            <w:tcMar>
              <w:top w:w="90" w:type="dxa"/>
              <w:start w:w="110" w:type="dxa"/>
              <w:bottom w:w="90" w:type="dxa"/>
              <w:end w:w="110" w:type="dxa"/>
            </w:tcMar>
            <w:vAlign w:val="top"/>
            <w:shd w:fill="F3F5F7"/>
          </w:tcPr>
          <w:p>
            <w:pPr>
              <w:spacing w:after="0"/>
            </w:pPr>
            <w:r>
              <w:rPr>
                <w:rFonts w:ascii="Aptos" w:hAnsi="Aptos"/>
                <w:b w:val="0"/>
                <w:sz w:val="18"/>
              </w:rPr>
              <w:t>Material prompts/assistance, code generation, what was checked or rejected.</w:t>
            </w:r>
          </w:p>
        </w:tc>
      </w:tr>
      <w:tr>
        <w:trPr>
          <w:cantSplit/>
        </w:trPr>
        <w:tc>
          <w:tcPr>
            <w:tcW w:type="dxa" w:w="2880"/>
            <w:tcMar>
              <w:top w:w="90" w:type="dxa"/>
              <w:start w:w="110" w:type="dxa"/>
              <w:bottom w:w="90" w:type="dxa"/>
              <w:end w:w="110" w:type="dxa"/>
            </w:tcMar>
            <w:vAlign w:val="top"/>
          </w:tcPr>
          <w:p>
            <w:pPr>
              <w:spacing w:after="0"/>
            </w:pPr>
            <w:r>
              <w:rPr>
                <w:rFonts w:ascii="Aptos" w:hAnsi="Aptos"/>
                <w:b/>
                <w:sz w:val="18"/>
              </w:rPr>
              <w:t>11. Next experiment</w:t>
            </w:r>
          </w:p>
        </w:tc>
        <w:tc>
          <w:tcPr>
            <w:tcW w:type="dxa" w:w="6912"/>
            <w:tcMar>
              <w:top w:w="90" w:type="dxa"/>
              <w:start w:w="110" w:type="dxa"/>
              <w:bottom w:w="90" w:type="dxa"/>
              <w:end w:w="110" w:type="dxa"/>
            </w:tcMar>
            <w:vAlign w:val="top"/>
          </w:tcPr>
          <w:p>
            <w:pPr>
              <w:spacing w:after="0"/>
            </w:pPr>
            <w:r>
              <w:rPr>
                <w:rFonts w:ascii="Aptos" w:hAnsi="Aptos"/>
                <w:b w:val="0"/>
                <w:sz w:val="18"/>
              </w:rPr>
              <w:t>The single most informative follow-up if you had another day.</w:t>
            </w:r>
          </w:p>
        </w:tc>
      </w:tr>
    </w:tbl>
    <w:p>
      <w:pPr>
        <w:spacing w:after="0"/>
      </w:pPr>
    </w:p>
    <w:p>
      <w:pPr>
        <w:pStyle w:val="Heading1"/>
        <w:keepNext/>
      </w:pPr>
      <w:r>
        <w:t>9. Minimal experiment log template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736"/>
            <w:shd w:fill="2F5597"/>
            <w:tcMar>
              <w:top w:w="90" w:type="dxa"/>
              <w:start w:w="110" w:type="dxa"/>
              <w:bottom w:w="90" w:type="dxa"/>
              <w:end w:w="110" w:type="dxa"/>
            </w:tcMar>
          </w:tcPr>
          <w:p>
            <w:r>
              <w:rPr>
                <w:rFonts w:ascii="Aptos" w:hAnsi="Aptos"/>
                <w:b/>
                <w:color w:val="FFFFFF"/>
                <w:sz w:val="18"/>
              </w:rPr>
              <w:t>Decision / run</w:t>
            </w:r>
          </w:p>
        </w:tc>
        <w:tc>
          <w:tcPr>
            <w:tcW w:type="dxa" w:w="3456"/>
            <w:shd w:fill="2F5597"/>
            <w:tcMar>
              <w:top w:w="90" w:type="dxa"/>
              <w:start w:w="110" w:type="dxa"/>
              <w:bottom w:w="90" w:type="dxa"/>
              <w:end w:w="110" w:type="dxa"/>
            </w:tcMar>
          </w:tcPr>
          <w:p>
            <w:r>
              <w:rPr>
                <w:rFonts w:ascii="Aptos" w:hAnsi="Aptos"/>
                <w:b/>
                <w:color w:val="FFFFFF"/>
                <w:sz w:val="18"/>
              </w:rPr>
              <w:t>Before doing it</w:t>
            </w:r>
          </w:p>
        </w:tc>
        <w:tc>
          <w:tcPr>
            <w:tcW w:type="dxa" w:w="3600"/>
            <w:shd w:fill="2F5597"/>
            <w:tcMar>
              <w:top w:w="90" w:type="dxa"/>
              <w:start w:w="110" w:type="dxa"/>
              <w:bottom w:w="90" w:type="dxa"/>
              <w:end w:w="110" w:type="dxa"/>
            </w:tcMar>
          </w:tcPr>
          <w:p>
            <w:r>
              <w:rPr>
                <w:rFonts w:ascii="Aptos" w:hAnsi="Aptos"/>
                <w:b/>
                <w:color w:val="FFFFFF"/>
                <w:sz w:val="18"/>
              </w:rPr>
              <w:t>After</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Why this task?</w:t>
            </w:r>
          </w:p>
        </w:tc>
        <w:tc>
          <w:tcPr>
            <w:tcW w:type="dxa" w:w="3456"/>
            <w:tcMar>
              <w:top w:w="90" w:type="dxa"/>
              <w:start w:w="110" w:type="dxa"/>
              <w:bottom w:w="90" w:type="dxa"/>
              <w:end w:w="110" w:type="dxa"/>
            </w:tcMar>
            <w:vAlign w:val="top"/>
          </w:tcPr>
          <w:p>
            <w:pPr>
              <w:spacing w:after="0"/>
            </w:pPr>
            <w:r>
              <w:rPr>
                <w:rFonts w:ascii="Aptos" w:hAnsi="Aptos"/>
                <w:sz w:val="18"/>
              </w:rPr>
              <w:t>What property makes it diagnostically useful?</w:t>
            </w:r>
          </w:p>
        </w:tc>
        <w:tc>
          <w:tcPr>
            <w:tcW w:type="dxa" w:w="3600"/>
            <w:tcMar>
              <w:top w:w="90" w:type="dxa"/>
              <w:start w:w="110" w:type="dxa"/>
              <w:bottom w:w="90" w:type="dxa"/>
              <w:end w:w="110" w:type="dxa"/>
            </w:tcMar>
            <w:vAlign w:val="top"/>
          </w:tcPr>
          <w:p>
            <w:pPr>
              <w:spacing w:after="0"/>
            </w:pPr>
            <w:r>
              <w:rPr>
                <w:rFonts w:ascii="Aptos" w:hAnsi="Aptos"/>
                <w:sz w:val="18"/>
              </w:rPr>
              <w:t>Did it actually produce a clean case?</w:t>
            </w:r>
          </w:p>
        </w:tc>
      </w:tr>
      <w:tr>
        <w:trPr>
          <w:cantSplit/>
        </w:trPr>
        <w:tc>
          <w:tcPr>
            <w:tcW w:type="dxa" w:w="2736"/>
            <w:tcMar>
              <w:top w:w="90" w:type="dxa"/>
              <w:start w:w="110" w:type="dxa"/>
              <w:bottom w:w="90" w:type="dxa"/>
              <w:end w:w="110" w:type="dxa"/>
            </w:tcMar>
            <w:vAlign w:val="top"/>
            <w:shd w:fill="F3F5F7"/>
          </w:tcPr>
          <w:p>
            <w:pPr>
              <w:spacing w:after="0"/>
            </w:pPr>
            <w:r>
              <w:rPr>
                <w:rFonts w:ascii="Aptos" w:hAnsi="Aptos"/>
                <w:sz w:val="18"/>
              </w:rPr>
              <w:t>Intervention A</w:t>
            </w:r>
          </w:p>
        </w:tc>
        <w:tc>
          <w:tcPr>
            <w:tcW w:type="dxa" w:w="3456"/>
            <w:tcMar>
              <w:top w:w="90" w:type="dxa"/>
              <w:start w:w="110" w:type="dxa"/>
              <w:bottom w:w="90" w:type="dxa"/>
              <w:end w:w="110" w:type="dxa"/>
            </w:tcMar>
            <w:vAlign w:val="top"/>
            <w:shd w:fill="F3F5F7"/>
          </w:tcPr>
          <w:p>
            <w:pPr>
              <w:spacing w:after="0"/>
            </w:pPr>
            <w:r>
              <w:rPr>
                <w:rFonts w:ascii="Aptos" w:hAnsi="Aptos"/>
                <w:sz w:val="18"/>
              </w:rPr>
              <w:t>What does H1 predict? What does H2 predict?</w:t>
            </w:r>
          </w:p>
        </w:tc>
        <w:tc>
          <w:tcPr>
            <w:tcW w:type="dxa" w:w="3600"/>
            <w:tcMar>
              <w:top w:w="90" w:type="dxa"/>
              <w:start w:w="110" w:type="dxa"/>
              <w:bottom w:w="90" w:type="dxa"/>
              <w:end w:w="110" w:type="dxa"/>
            </w:tcMar>
            <w:vAlign w:val="top"/>
            <w:shd w:fill="F3F5F7"/>
          </w:tcPr>
          <w:p>
            <w:pPr>
              <w:spacing w:after="0"/>
            </w:pPr>
            <w:r>
              <w:rPr>
                <w:rFonts w:ascii="Aptos" w:hAnsi="Aptos"/>
                <w:sz w:val="18"/>
              </w:rPr>
              <w:t>Observed outcome; belief update.</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Intervention B</w:t>
            </w:r>
          </w:p>
        </w:tc>
        <w:tc>
          <w:tcPr>
            <w:tcW w:type="dxa" w:w="3456"/>
            <w:tcMar>
              <w:top w:w="90" w:type="dxa"/>
              <w:start w:w="110" w:type="dxa"/>
              <w:bottom w:w="90" w:type="dxa"/>
              <w:end w:w="110" w:type="dxa"/>
            </w:tcMar>
            <w:vAlign w:val="top"/>
          </w:tcPr>
          <w:p>
            <w:pPr>
              <w:spacing w:after="0"/>
            </w:pPr>
            <w:r>
              <w:rPr>
                <w:rFonts w:ascii="Aptos" w:hAnsi="Aptos"/>
                <w:sz w:val="18"/>
              </w:rPr>
              <w:t>What does H1 predict? What does H2 predict?</w:t>
            </w:r>
          </w:p>
        </w:tc>
        <w:tc>
          <w:tcPr>
            <w:tcW w:type="dxa" w:w="3600"/>
            <w:tcMar>
              <w:top w:w="90" w:type="dxa"/>
              <w:start w:w="110" w:type="dxa"/>
              <w:bottom w:w="90" w:type="dxa"/>
              <w:end w:w="110" w:type="dxa"/>
            </w:tcMar>
            <w:vAlign w:val="top"/>
          </w:tcPr>
          <w:p>
            <w:pPr>
              <w:spacing w:after="0"/>
            </w:pPr>
            <w:r>
              <w:rPr>
                <w:rFonts w:ascii="Aptos" w:hAnsi="Aptos"/>
                <w:sz w:val="18"/>
              </w:rPr>
              <w:t>Observed outcome; belief update.</w:t>
            </w:r>
          </w:p>
        </w:tc>
      </w:tr>
      <w:tr>
        <w:trPr>
          <w:cantSplit/>
        </w:trPr>
        <w:tc>
          <w:tcPr>
            <w:tcW w:type="dxa" w:w="2736"/>
            <w:tcMar>
              <w:top w:w="90" w:type="dxa"/>
              <w:start w:w="110" w:type="dxa"/>
              <w:bottom w:w="90" w:type="dxa"/>
              <w:end w:w="110" w:type="dxa"/>
            </w:tcMar>
            <w:vAlign w:val="top"/>
            <w:shd w:fill="F3F5F7"/>
          </w:tcPr>
          <w:p>
            <w:pPr>
              <w:spacing w:after="0"/>
            </w:pPr>
            <w:r>
              <w:rPr>
                <w:rFonts w:ascii="Aptos" w:hAnsi="Aptos"/>
                <w:sz w:val="18"/>
              </w:rPr>
              <w:t>Confound check</w:t>
            </w:r>
          </w:p>
        </w:tc>
        <w:tc>
          <w:tcPr>
            <w:tcW w:type="dxa" w:w="3456"/>
            <w:tcMar>
              <w:top w:w="90" w:type="dxa"/>
              <w:start w:w="110" w:type="dxa"/>
              <w:bottom w:w="90" w:type="dxa"/>
              <w:end w:w="110" w:type="dxa"/>
            </w:tcMar>
            <w:vAlign w:val="top"/>
            <w:shd w:fill="F3F5F7"/>
          </w:tcPr>
          <w:p>
            <w:pPr>
              <w:spacing w:after="0"/>
            </w:pPr>
            <w:r>
              <w:rPr>
                <w:rFonts w:ascii="Aptos" w:hAnsi="Aptos"/>
                <w:sz w:val="18"/>
              </w:rPr>
              <w:t>What boring explanation am I testing?</w:t>
            </w:r>
          </w:p>
        </w:tc>
        <w:tc>
          <w:tcPr>
            <w:tcW w:type="dxa" w:w="3600"/>
            <w:tcMar>
              <w:top w:w="90" w:type="dxa"/>
              <w:start w:w="110" w:type="dxa"/>
              <w:bottom w:w="90" w:type="dxa"/>
              <w:end w:w="110" w:type="dxa"/>
            </w:tcMar>
            <w:vAlign w:val="top"/>
            <w:shd w:fill="F3F5F7"/>
          </w:tcPr>
          <w:p>
            <w:pPr>
              <w:spacing w:after="0"/>
            </w:pPr>
            <w:r>
              <w:rPr>
                <w:rFonts w:ascii="Aptos" w:hAnsi="Aptos"/>
                <w:sz w:val="18"/>
              </w:rPr>
              <w:t>Did it survive?</w:t>
            </w:r>
          </w:p>
        </w:tc>
      </w:tr>
      <w:tr>
        <w:trPr>
          <w:cantSplit/>
        </w:trPr>
        <w:tc>
          <w:tcPr>
            <w:tcW w:type="dxa" w:w="2736"/>
            <w:tcMar>
              <w:top w:w="90" w:type="dxa"/>
              <w:start w:w="110" w:type="dxa"/>
              <w:bottom w:w="90" w:type="dxa"/>
              <w:end w:w="110" w:type="dxa"/>
            </w:tcMar>
            <w:vAlign w:val="top"/>
          </w:tcPr>
          <w:p>
            <w:pPr>
              <w:spacing w:after="0"/>
            </w:pPr>
            <w:r>
              <w:rPr>
                <w:rFonts w:ascii="Aptos" w:hAnsi="Aptos"/>
                <w:sz w:val="18"/>
              </w:rPr>
              <w:t>Pivot / cut</w:t>
            </w:r>
          </w:p>
        </w:tc>
        <w:tc>
          <w:tcPr>
            <w:tcW w:type="dxa" w:w="3456"/>
            <w:tcMar>
              <w:top w:w="90" w:type="dxa"/>
              <w:start w:w="110" w:type="dxa"/>
              <w:bottom w:w="90" w:type="dxa"/>
              <w:end w:w="110" w:type="dxa"/>
            </w:tcMar>
            <w:vAlign w:val="top"/>
          </w:tcPr>
          <w:p>
            <w:pPr>
              <w:spacing w:after="0"/>
            </w:pPr>
            <w:r>
              <w:rPr>
                <w:rFonts w:ascii="Aptos" w:hAnsi="Aptos"/>
                <w:sz w:val="18"/>
              </w:rPr>
              <w:t>What am I dropping and why?</w:t>
            </w:r>
          </w:p>
        </w:tc>
        <w:tc>
          <w:tcPr>
            <w:tcW w:type="dxa" w:w="3600"/>
            <w:tcMar>
              <w:top w:w="90" w:type="dxa"/>
              <w:start w:w="110" w:type="dxa"/>
              <w:bottom w:w="90" w:type="dxa"/>
              <w:end w:w="110" w:type="dxa"/>
            </w:tcMar>
            <w:vAlign w:val="top"/>
          </w:tcPr>
          <w:p>
            <w:pPr>
              <w:spacing w:after="0"/>
            </w:pPr>
            <w:r>
              <w:rPr>
                <w:rFonts w:ascii="Aptos" w:hAnsi="Aptos"/>
                <w:sz w:val="18"/>
              </w:rPr>
              <w:t>What time or ambiguity did this save?</w:t>
            </w:r>
          </w:p>
        </w:tc>
      </w:tr>
    </w:tbl>
    <w:p>
      <w:pPr>
        <w:spacing w:after="0"/>
      </w:pPr>
    </w:p>
    <w:p>
      <w:pPr>
        <w:pStyle w:val="Heading1"/>
        <w:keepNext/>
      </w:pPr>
      <w:r>
        <w:t>10. The standard for “done”</w:t>
      </w:r>
    </w:p>
    <w:p>
      <w:pPr>
        <w:pStyle w:val="ListBullet"/>
      </w:pPr>
      <w:r>
        <w:rPr>
          <w:rFonts w:ascii="Aptos" w:hAnsi="Aptos"/>
        </w:rPr>
        <w:t>One reproducible or at least well-documented sketchy behaviour.</w:t>
      </w:r>
    </w:p>
    <w:p>
      <w:pPr>
        <w:pStyle w:val="ListBullet"/>
      </w:pPr>
      <w:r>
        <w:rPr>
          <w:rFonts w:ascii="Aptos" w:hAnsi="Aptos"/>
        </w:rPr>
        <w:t>Two genuinely competing explanations.</w:t>
      </w:r>
    </w:p>
    <w:p>
      <w:pPr>
        <w:pStyle w:val="ListBullet"/>
      </w:pPr>
      <w:r>
        <w:rPr>
          <w:rFonts w:ascii="Aptos" w:hAnsi="Aptos"/>
        </w:rPr>
        <w:t>At least two counterfactual interventions that separate them.</w:t>
      </w:r>
    </w:p>
    <w:p>
      <w:pPr>
        <w:pStyle w:val="ListBullet"/>
      </w:pPr>
      <w:r>
        <w:rPr>
          <w:rFonts w:ascii="Aptos" w:hAnsi="Aptos"/>
        </w:rPr>
        <w:t>At least one control aimed at a mundane confound.</w:t>
      </w:r>
    </w:p>
    <w:p>
      <w:pPr>
        <w:pStyle w:val="ListBullet"/>
      </w:pPr>
      <w:r>
        <w:rPr>
          <w:rFonts w:ascii="Aptos" w:hAnsi="Aptos"/>
        </w:rPr>
        <w:t>A conclusion that is narrower than the original question if the evidence demands it.</w:t>
      </w:r>
    </w:p>
    <w:p>
      <w:pPr>
        <w:pStyle w:val="ListBullet"/>
      </w:pPr>
      <w:r>
        <w:rPr>
          <w:rFonts w:ascii="Aptos" w:hAnsi="Aptos"/>
        </w:rPr>
        <w:t>A reader can reproduce the setup from the write-up and tell which decisions were yours.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A7A7A"/>
        <w:sz w:val="16"/>
      </w:rPr>
      <w:t>Working strategy • 8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2F5597"/>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1F1F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F559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