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100"/>
        <w:jc w:val="center"/>
      </w:pPr>
      <w:r>
        <w:rPr>
          <w:rFonts w:ascii="Calibri" w:cs="Calibri" w:eastAsia="Calibri" w:hAnsi="Calibri"/>
          <w:b/>
          <w:bCs/>
          <w:color w:val="2D1B4E"/>
          <w:sz w:val="52"/>
          <w:szCs w:val="52"/>
        </w:rPr>
        <w:t xml:space="preserve">BUSINESS PLAN</w:t>
      </w:r>
    </w:p>
    <w:p>
      <w:pPr>
        <w:pBdr>
          <w:bottom w:val="single" w:color="8B5CF6" w:sz="3" w:space="10"/>
        </w:pBdr>
        <w:spacing w:after="60"/>
        <w:jc w:val="center"/>
      </w:pPr>
    </w:p>
    <w:p>
      <w:pPr>
        <w:spacing w:after="60"/>
      </w:pPr>
    </w:p>
    <w:p>
      <w:pPr>
        <w:spacing w:after="80"/>
        <w:jc w:val="center"/>
      </w:pPr>
      <w:r>
        <w:rPr>
          <w:rFonts w:ascii="Calibri" w:cs="Calibri" w:eastAsia="Calibri" w:hAnsi="Calibri"/>
          <w:color w:val="6C3FA0"/>
          <w:sz w:val="30"/>
          <w:szCs w:val="30"/>
        </w:rPr>
        <w:t xml:space="preserve">Agent-First Wallet Abstraction Platform</w:t>
      </w:r>
    </w:p>
    <w:p>
      <w:pPr>
        <w:spacing w:after="40"/>
        <w:jc w:val="center"/>
      </w:pPr>
      <w:r>
        <w:rPr>
          <w:rFonts w:ascii="Calibri" w:cs="Calibri" w:eastAsia="Calibri" w:hAnsi="Calibri"/>
          <w:color w:val="555566"/>
          <w:sz w:val="23"/>
          <w:szCs w:val="23"/>
        </w:rPr>
        <w:t xml:space="preserve">with Native x402 Payment Protocol Integration</w:t>
      </w:r>
    </w:p>
    <w:p>
      <w:pPr>
        <w:spacing w:after="60"/>
      </w:pPr>
    </w:p>
    <w:p>
      <w:pPr>
        <w:spacing w:after="40"/>
        <w:jc w:val="center"/>
      </w:pPr>
      <w:r>
        <w:rPr>
          <w:rFonts w:ascii="Calibri" w:cs="Calibri" w:eastAsia="Calibri" w:hAnsi="Calibri"/>
          <w:color w:val="555566"/>
          <w:sz w:val="20"/>
          <w:szCs w:val="20"/>
        </w:rPr>
        <w:t xml:space="preserve">ZeroDev Kernel  ·  ERC-4337  ·  ERC-7579  ·  x402</w:t>
      </w:r>
    </w:p>
    <w:p>
      <w:pPr>
        <w:spacing w:after="60"/>
      </w:pPr>
    </w:p>
    <w:p>
      <w:pPr>
        <w:spacing w:after="60"/>
      </w:pPr>
    </w:p>
    <w:p>
      <w:pPr>
        <w:spacing w:after="60"/>
      </w:pPr>
    </w:p>
    <w:p>
      <w:pPr>
        <w:spacing w:after="60"/>
      </w:pPr>
    </w:p>
    <w:p>
      <w:pPr>
        <w:spacing w:after="60"/>
      </w:pPr>
    </w:p>
    <w:p>
      <w:pPr>
        <w:spacing w:after="60"/>
      </w:pPr>
    </w:p>
    <w:p>
      <w:pPr>
        <w:spacing w:after="60"/>
      </w:pPr>
    </w:p>
    <w:p>
      <w:pPr>
        <w:spacing w:after="60"/>
      </w:pPr>
    </w:p>
    <w:p>
      <w:pPr>
        <w:spacing w:after="40"/>
        <w:jc w:val="center"/>
      </w:pPr>
      <w:r>
        <w:rPr>
          <w:rFonts w:ascii="Calibri" w:cs="Calibri" w:eastAsia="Calibri" w:hAnsi="Calibri"/>
          <w:color w:val="555566"/>
          <w:sz w:val="19"/>
          <w:szCs w:val="19"/>
        </w:rPr>
        <w:t xml:space="preserve">Prepared by</w:t>
      </w:r>
    </w:p>
    <w:p>
      <w:pPr>
        <w:spacing w:after="40"/>
        <w:jc w:val="center"/>
      </w:pPr>
      <w:r>
        <w:rPr>
          <w:rFonts w:ascii="Calibri" w:cs="Calibri" w:eastAsia="Calibri" w:hAnsi="Calibri"/>
          <w:b/>
          <w:bCs/>
          <w:color w:val="2D1B4E"/>
          <w:sz w:val="24"/>
          <w:szCs w:val="24"/>
        </w:rPr>
        <w:t xml:space="preserve">Cătălin “intheloop” Tișcă</w:t>
      </w:r>
    </w:p>
    <w:p>
      <w:pPr>
        <w:spacing w:after="60"/>
      </w:pPr>
    </w:p>
    <w:p>
      <w:pPr>
        <w:spacing w:after="40"/>
        <w:jc w:val="center"/>
      </w:pPr>
      <w:r>
        <w:rPr>
          <w:rFonts w:ascii="Calibri" w:cs="Calibri" w:eastAsia="Calibri" w:hAnsi="Calibri"/>
          <w:color w:val="555566"/>
          <w:sz w:val="19"/>
          <w:szCs w:val="19"/>
        </w:rPr>
        <w:t xml:space="preserve">21 February 2026  ·  Confidential</w:t>
      </w:r>
    </w:p>
    <w:p>
      <w:r>
        <w:br w:type="page"/>
      </w:r>
    </w:p>
    <w:p>
      <w:pPr>
        <w:sectPr>
          <w:pgSz w:w="12240" w:h="15840" w:orient="portrait"/>
          <w:pgMar w:top="1440" w:right="1440" w:bottom="1440" w:left="1440" w:header="708" w:footer="708" w:gutter="0"/>
          <w:pgNumType/>
          <w:docGrid w:linePitch="360"/>
        </w:sectPr>
      </w:pPr>
    </w:p>
    <w:p>
      <w:pPr>
        <w:pStyle w:val="Heading1"/>
        <w:spacing w:before="340" w:after="180"/>
      </w:pPr>
      <w:r>
        <w:rPr>
          <w:rFonts w:ascii="Calibri" w:cs="Calibri" w:eastAsia="Calibri" w:hAnsi="Calibri"/>
          <w:b/>
          <w:bCs/>
          <w:color w:val="2D1B4E"/>
          <w:sz w:val="30"/>
          <w:szCs w:val="30"/>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6"/>
              <w:bottom w:val="single" w:color="8B5CF6" w:sz="1"/>
              <w:right w:val="single" w:color="8B5CF6" w:sz="1"/>
            </w:tcBorders>
            <w:shd w:fill="EDE9FE" w:val="clear"/>
            <w:tcMar>
              <w:top w:type="dxa" w:w="100"/>
              <w:left w:type="dxa" w:w="180"/>
              <w:bottom w:type="dxa" w:w="100"/>
              <w:right w:type="dxa" w:w="180"/>
            </w:tcMar>
          </w:tcPr>
          <w:p>
            <w:pPr>
              <w:spacing w:after="60"/>
            </w:pPr>
            <w:r>
              <w:rPr>
                <w:rFonts w:ascii="Calibri" w:cs="Calibri" w:eastAsia="Calibri" w:hAnsi="Calibri"/>
                <w:b/>
                <w:bCs/>
                <w:color w:val="2D1B4E"/>
                <w:sz w:val="21"/>
                <w:szCs w:val="21"/>
              </w:rPr>
              <w:t xml:space="preserve">The Opportunity</w:t>
            </w:r>
          </w:p>
          <w:p>
            <w:pPr>
              <w:spacing w:after="0"/>
            </w:pPr>
            <w:r>
              <w:rPr>
                <w:rFonts w:ascii="Calibri" w:cs="Calibri" w:eastAsia="Calibri" w:hAnsi="Calibri"/>
                <w:color w:val="1E1E2E"/>
                <w:sz w:val="20"/>
                <w:szCs w:val="20"/>
              </w:rPr>
              <w:t xml:space="preserve">AI agents will soon manage billions in on-chain value. Meanwhile, x402 is turning every API on the internet into a payable endpoint. The missing piece? A wallet layer that lets agents transact and pay for services autonomously, within clear guardrails. That’s what we’re building.</w:t>
            </w:r>
          </w:p>
        </w:tc>
      </w:tr>
    </w:tbl>
    <w:p>
      <w:pPr>
        <w:spacing w:after="60"/>
      </w:pPr>
    </w:p>
    <w:p>
      <w:pPr>
        <w:spacing w:after="140" w:line="276"/>
      </w:pPr>
      <w:r>
        <w:rPr>
          <w:rFonts w:ascii="Calibri" w:cs="Calibri" w:eastAsia="Calibri" w:hAnsi="Calibri"/>
          <w:color w:val="1E1E2E"/>
          <w:sz w:val="21"/>
          <w:szCs w:val="21"/>
        </w:rPr>
        <w:t xml:space="preserve">We’re creating a wallet abstraction platform on top of ZeroDev Kernel (ERC-4337/ERC-7579) with native x402 protocol support. Developers plug in our SDK and immediately get smart wallets with agent session keys, x402 payment automation, social recovery, chain abstraction, and DeFi primitives. No need to touch EntryPoints, UserOps, or bundler plumbing.</w:t>
      </w:r>
    </w:p>
    <w:p>
      <w:pPr>
        <w:spacing w:after="140" w:line="276"/>
      </w:pPr>
      <w:r>
        <w:rPr>
          <w:rFonts w:ascii="Calibri" w:cs="Calibri" w:eastAsia="Calibri" w:hAnsi="Calibri"/>
          <w:color w:val="1E1E2E"/>
          <w:sz w:val="21"/>
          <w:szCs w:val="21"/>
        </w:rPr>
        <w:t xml:space="preserve">Think of it this way: ZeroDev gives you the engine. We give you the car, keys, insurance, and GPS.</w:t>
      </w:r>
    </w:p>
    <w:p>
      <w:pPr>
        <w:pStyle w:val="Heading2"/>
        <w:spacing w:before="260" w:after="120"/>
      </w:pPr>
      <w:r>
        <w:rPr>
          <w:rFonts w:ascii="Calibri" w:cs="Calibri" w:eastAsia="Calibri" w:hAnsi="Calibri"/>
          <w:b/>
          <w:bCs/>
          <w:color w:val="6C3FA0"/>
          <w:sz w:val="25"/>
          <w:szCs w:val="25"/>
        </w:rPr>
        <w:t xml:space="preserve">What Sets Us Apart</w:t>
      </w:r>
    </w:p>
    <w:p>
      <w:pPr>
        <w:pStyle w:val="ListParagraph"/>
        <w:numPr>
          <w:ilvl w:val="0"/>
          <w:numId w:val="2"/>
        </w:numPr>
        <w:spacing w:after="60" w:line="276"/>
      </w:pPr>
      <w:r>
        <w:rPr>
          <w:rFonts w:ascii="Calibri" w:cs="Calibri" w:eastAsia="Calibri" w:hAnsi="Calibri"/>
          <w:b/>
          <w:bCs/>
          <w:color w:val="1E1E2E"/>
          <w:sz w:val="21"/>
          <w:szCs w:val="21"/>
        </w:rPr>
        <w:t xml:space="preserve">Agent-first architecture. </w:t>
      </w:r>
      <w:r>
        <w:rPr>
          <w:rFonts w:ascii="Calibri" w:cs="Calibri" w:eastAsia="Calibri" w:hAnsi="Calibri"/>
          <w:color w:val="1E1E2E"/>
          <w:sz w:val="21"/>
          <w:szCs w:val="21"/>
        </w:rPr>
        <w:t xml:space="preserve">Session keys with composable permission policies designed specifically for autonomous software.</w:t>
      </w:r>
    </w:p>
    <w:p>
      <w:pPr>
        <w:pStyle w:val="ListParagraph"/>
        <w:numPr>
          <w:ilvl w:val="0"/>
          <w:numId w:val="2"/>
        </w:numPr>
        <w:spacing w:after="60" w:line="276"/>
      </w:pPr>
      <w:r>
        <w:rPr>
          <w:rFonts w:ascii="Calibri" w:cs="Calibri" w:eastAsia="Calibri" w:hAnsi="Calibri"/>
          <w:b/>
          <w:bCs/>
          <w:color w:val="1E1E2E"/>
          <w:sz w:val="21"/>
          <w:szCs w:val="21"/>
        </w:rPr>
        <w:t xml:space="preserve">Built-in x402 payments. </w:t>
      </w:r>
      <w:r>
        <w:rPr>
          <w:rFonts w:ascii="Calibri" w:cs="Calibri" w:eastAsia="Calibri" w:hAnsi="Calibri"/>
          <w:color w:val="1E1E2E"/>
          <w:sz w:val="21"/>
          <w:szCs w:val="21"/>
        </w:rPr>
        <w:t xml:space="preserve">Agents auto-detect paid APIs, validate against their budget, sign, and retry. Zero developer code for the payment flow.</w:t>
      </w:r>
    </w:p>
    <w:p>
      <w:pPr>
        <w:pStyle w:val="ListParagraph"/>
        <w:numPr>
          <w:ilvl w:val="0"/>
          <w:numId w:val="2"/>
        </w:numPr>
        <w:spacing w:after="60" w:line="276"/>
      </w:pPr>
      <w:r>
        <w:rPr>
          <w:rFonts w:ascii="Calibri" w:cs="Calibri" w:eastAsia="Calibri" w:hAnsi="Calibri"/>
          <w:b/>
          <w:bCs/>
          <w:color w:val="1E1E2E"/>
          <w:sz w:val="21"/>
          <w:szCs w:val="21"/>
        </w:rPr>
        <w:t xml:space="preserve">Dual SDK. </w:t>
      </w:r>
      <w:r>
        <w:rPr>
          <w:rFonts w:ascii="Calibri" w:cs="Calibri" w:eastAsia="Calibri" w:hAnsi="Calibri"/>
          <w:color w:val="1E1E2E"/>
          <w:sz w:val="21"/>
          <w:szCs w:val="21"/>
        </w:rPr>
        <w:t xml:space="preserve">TypeScript for web developers, Go binary for backend agent pipelines. Meet builders where they are.</w:t>
      </w:r>
    </w:p>
    <w:p>
      <w:pPr>
        <w:pStyle w:val="ListParagraph"/>
        <w:numPr>
          <w:ilvl w:val="0"/>
          <w:numId w:val="2"/>
        </w:numPr>
        <w:spacing w:after="60" w:line="276"/>
      </w:pPr>
      <w:r>
        <w:rPr>
          <w:rFonts w:ascii="Calibri" w:cs="Calibri" w:eastAsia="Calibri" w:hAnsi="Calibri"/>
          <w:b/>
          <w:bCs/>
          <w:color w:val="1E1E2E"/>
          <w:sz w:val="21"/>
          <w:szCs w:val="21"/>
        </w:rPr>
        <w:t xml:space="preserve">x402 policy engine. </w:t>
      </w:r>
      <w:r>
        <w:rPr>
          <w:rFonts w:ascii="Calibri" w:cs="Calibri" w:eastAsia="Calibri" w:hAnsi="Calibri"/>
          <w:color w:val="1E1E2E"/>
          <w:sz w:val="21"/>
          <w:szCs w:val="21"/>
        </w:rPr>
        <w:t xml:space="preserve">Per-request caps, domain allowlists, rate limits, budget tracking. Nobody else offers this.</w:t>
      </w:r>
    </w:p>
    <w:p>
      <w:pPr>
        <w:pStyle w:val="ListParagraph"/>
        <w:numPr>
          <w:ilvl w:val="0"/>
          <w:numId w:val="2"/>
        </w:numPr>
        <w:spacing w:after="60" w:line="276"/>
      </w:pPr>
      <w:r>
        <w:rPr>
          <w:rFonts w:ascii="Calibri" w:cs="Calibri" w:eastAsia="Calibri" w:hAnsi="Calibri"/>
          <w:b/>
          <w:bCs/>
          <w:color w:val="1E1E2E"/>
          <w:sz w:val="21"/>
          <w:szCs w:val="21"/>
        </w:rPr>
        <w:t xml:space="preserve">Ship-ready modules. </w:t>
      </w:r>
      <w:r>
        <w:rPr>
          <w:rFonts w:ascii="Calibri" w:cs="Calibri" w:eastAsia="Calibri" w:hAnsi="Calibri"/>
          <w:color w:val="1E1E2E"/>
          <w:sz w:val="21"/>
          <w:szCs w:val="21"/>
        </w:rPr>
        <w:t xml:space="preserve">Social recovery, chain abstraction, DeFi actions, onboarding hooks. Pre-built, audited, pluggable.</w:t>
      </w:r>
    </w:p>
    <w:p>
      <w:r>
        <w:br w:type="page"/>
      </w:r>
    </w:p>
    <w:p>
      <w:pPr>
        <w:pStyle w:val="Heading1"/>
        <w:spacing w:before="340" w:after="180"/>
      </w:pPr>
      <w:r>
        <w:rPr>
          <w:rFonts w:ascii="Calibri" w:cs="Calibri" w:eastAsia="Calibri" w:hAnsi="Calibri"/>
          <w:b/>
          <w:bCs/>
          <w:color w:val="2D1B4E"/>
          <w:sz w:val="30"/>
          <w:szCs w:val="30"/>
        </w:rPr>
        <w:t xml:space="preserve">2. The Problem</w:t>
      </w:r>
    </w:p>
    <w:p>
      <w:pPr>
        <w:pStyle w:val="Heading2"/>
        <w:spacing w:before="260" w:after="120"/>
      </w:pPr>
      <w:r>
        <w:rPr>
          <w:rFonts w:ascii="Calibri" w:cs="Calibri" w:eastAsia="Calibri" w:hAnsi="Calibri"/>
          <w:b/>
          <w:bCs/>
          <w:color w:val="6C3FA0"/>
          <w:sz w:val="25"/>
          <w:szCs w:val="25"/>
        </w:rPr>
        <w:t xml:space="preserve">Agents can’t safely hold money</w:t>
      </w:r>
    </w:p>
    <w:p>
      <w:pPr>
        <w:spacing w:after="140" w:line="276"/>
      </w:pPr>
      <w:r>
        <w:rPr>
          <w:rFonts w:ascii="Calibri" w:cs="Calibri" w:eastAsia="Calibri" w:hAnsi="Calibri"/>
          <w:color w:val="1E1E2E"/>
          <w:sz w:val="21"/>
          <w:szCs w:val="21"/>
        </w:rPr>
        <w:t xml:space="preserve">Today, giving an AI agent blockchain access means handing it a private key with unlimited power. If the agent misbehaves or gets compromised, every token is at risk. There’s no native way to say “you can spend up to $500/day on Uniswap, nothing else.”</w:t>
      </w:r>
    </w:p>
    <w:p>
      <w:pPr>
        <w:pStyle w:val="Heading2"/>
        <w:spacing w:before="260" w:after="120"/>
      </w:pPr>
      <w:r>
        <w:rPr>
          <w:rFonts w:ascii="Calibri" w:cs="Calibri" w:eastAsia="Calibri" w:hAnsi="Calibri"/>
          <w:b/>
          <w:bCs/>
          <w:color w:val="6C3FA0"/>
          <w:sz w:val="25"/>
          <w:szCs w:val="25"/>
        </w:rPr>
        <w:t xml:space="preserve">x402 has no wallet layer</w:t>
      </w:r>
    </w:p>
    <w:p>
      <w:pPr>
        <w:spacing w:after="140" w:line="276"/>
      </w:pPr>
      <w:r>
        <w:rPr>
          <w:rFonts w:ascii="Calibri" w:cs="Calibri" w:eastAsia="Calibri" w:hAnsi="Calibri"/>
          <w:color w:val="1E1E2E"/>
          <w:sz w:val="21"/>
          <w:szCs w:val="21"/>
        </w:rPr>
        <w:t xml:space="preserve">Coinbase’s x402 protocol lets any API charge per request via HTTP 402. It’s elegant, but it assumes the caller already has a wallet that can sign EIP-3009 authorizations. Nobody provides the wallet, the budget controls, the domain restrictions, or the audit trail an agent operator actually needs.</w:t>
      </w:r>
    </w:p>
    <w:p>
      <w:pPr>
        <w:pStyle w:val="Heading2"/>
        <w:spacing w:before="260" w:after="120"/>
      </w:pPr>
      <w:r>
        <w:rPr>
          <w:rFonts w:ascii="Calibri" w:cs="Calibri" w:eastAsia="Calibri" w:hAnsi="Calibri"/>
          <w:b/>
          <w:bCs/>
          <w:color w:val="6C3FA0"/>
          <w:sz w:val="25"/>
          <w:szCs w:val="25"/>
        </w:rPr>
        <w:t xml:space="preserve">Integration is still painful</w:t>
      </w:r>
    </w:p>
    <w:p>
      <w:pPr>
        <w:spacing w:after="140" w:line="276"/>
      </w:pPr>
      <w:r>
        <w:rPr>
          <w:rFonts w:ascii="Calibri" w:cs="Calibri" w:eastAsia="Calibri" w:hAnsi="Calibri"/>
          <w:color w:val="1E1E2E"/>
          <w:sz w:val="21"/>
          <w:szCs w:val="21"/>
        </w:rPr>
        <w:t xml:space="preserve">Even with ZeroDev, building a production wallet means wiring together accounts, validators, bundlers, paymasters, and key management. Layer x402 on top and you’re looking at weeks of glue code before shipping anything useful.</w:t>
      </w:r>
    </w:p>
    <w:p>
      <w:pPr>
        <w:pStyle w:val="Heading2"/>
        <w:spacing w:before="260" w:after="120"/>
      </w:pPr>
      <w:r>
        <w:rPr>
          <w:rFonts w:ascii="Calibri" w:cs="Calibri" w:eastAsia="Calibri" w:hAnsi="Calibri"/>
          <w:b/>
          <w:bCs/>
          <w:color w:val="6C3FA0"/>
          <w:sz w:val="25"/>
          <w:szCs w:val="25"/>
        </w:rPr>
        <w:t xml:space="preserve">Onboarding kills conversion</w:t>
      </w:r>
    </w:p>
    <w:p>
      <w:pPr>
        <w:spacing w:after="140" w:line="276"/>
      </w:pPr>
      <w:r>
        <w:rPr>
          <w:rFonts w:ascii="Calibri" w:cs="Calibri" w:eastAsia="Calibri" w:hAnsi="Calibri"/>
          <w:color w:val="1E1E2E"/>
          <w:sz w:val="21"/>
          <w:szCs w:val="21"/>
        </w:rPr>
        <w:t xml:space="preserve">Seed phrases drop 60–90% of users. Gas fees create a chicken-and-egg problem. Multi-chain fragmentation makes the whole experience feel broken.</w:t>
      </w:r>
    </w:p>
    <w:p>
      <w:r>
        <w:br w:type="page"/>
      </w:r>
    </w:p>
    <w:p>
      <w:pPr>
        <w:pStyle w:val="Heading1"/>
        <w:spacing w:before="340" w:after="180"/>
      </w:pPr>
      <w:r>
        <w:rPr>
          <w:rFonts w:ascii="Calibri" w:cs="Calibri" w:eastAsia="Calibri" w:hAnsi="Calibri"/>
          <w:b/>
          <w:bCs/>
          <w:color w:val="2D1B4E"/>
          <w:sz w:val="30"/>
          <w:szCs w:val="30"/>
        </w:rPr>
        <w:t xml:space="preserve">3. Our Solution</w:t>
      </w:r>
    </w:p>
    <w:p>
      <w:pPr>
        <w:spacing w:after="140" w:line="276"/>
      </w:pPr>
      <w:r>
        <w:rPr>
          <w:rFonts w:ascii="Calibri" w:cs="Calibri" w:eastAsia="Calibri" w:hAnsi="Calibri"/>
          <w:color w:val="1E1E2E"/>
          <w:sz w:val="21"/>
          <w:szCs w:val="21"/>
        </w:rPr>
        <w:t xml:space="preserve">One SDK. Wallet creation, agent provisioning, x402 payments, DeFi actions, recovery, chain abstraction. All handled.</w:t>
      </w:r>
    </w:p>
    <w:p>
      <w:pPr>
        <w:pStyle w:val="Heading2"/>
        <w:spacing w:before="260" w:after="120"/>
      </w:pPr>
      <w:r>
        <w:rPr>
          <w:rFonts w:ascii="Calibri" w:cs="Calibri" w:eastAsia="Calibri" w:hAnsi="Calibri"/>
          <w:b/>
          <w:bCs/>
          <w:color w:val="6C3FA0"/>
          <w:sz w:val="25"/>
          <w:szCs w:val="25"/>
        </w:rPr>
        <w:t xml:space="preserve">Platform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Layer</w:t>
            </w:r>
          </w:p>
        </w:tc>
        <w:tc>
          <w:tcPr>
            <w:tcW w:type="dxa" w:w="6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It Does</w:t>
            </w:r>
          </w:p>
        </w:tc>
      </w:tr>
      <w:tr>
        <w:tc>
          <w:tcPr>
            <w:tcW w:type="dxa" w:w="28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SDK</w:t>
            </w:r>
          </w:p>
        </w:tc>
        <w:tc>
          <w:tcPr>
            <w:tcW w:type="dxa" w:w="6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TypeScript + Go. Wallet creation, agent management, transaction execution, x402 auto-payment. Abstracts all ERC-4337 internals.</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x402 Middleware</w:t>
            </w:r>
          </w:p>
        </w:tc>
        <w:tc>
          <w:tcPr>
            <w:tcW w:type="dxa" w:w="6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Intercepts 402 responses, validates against policies, signs EIP-3009 via session key, retries. Developer writes zero payment code.</w:t>
            </w:r>
          </w:p>
        </w:tc>
      </w:tr>
      <w:tr>
        <w:tc>
          <w:tcPr>
            <w:tcW w:type="dxa" w:w="28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Policy Engine</w:t>
            </w:r>
          </w:p>
        </w:tc>
        <w:tc>
          <w:tcPr>
            <w:tcW w:type="dxa" w:w="6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Per-request caps, domain allowlists, daily budgets, rate limits, function scoping, time windows. On-chain hooks + off-chain pre-validation.</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Module Suite</w:t>
            </w:r>
          </w:p>
        </w:tc>
        <w:tc>
          <w:tcPr>
            <w:tcW w:type="dxa" w:w="6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ERC-7579 modules: Agent Permissions, x402 Policy Hook, Social Recovery, Chain Abstraction, DeFi Actions, Onboarding.</w:t>
            </w:r>
          </w:p>
        </w:tc>
      </w:tr>
      <w:tr>
        <w:tc>
          <w:tcPr>
            <w:tcW w:type="dxa" w:w="28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Backend</w:t>
            </w:r>
          </w:p>
        </w:tc>
        <w:tc>
          <w:tcPr>
            <w:tcW w:type="dxa" w:w="6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Agent registry, key management, x402 payment ledger, notifications, analytics pipeline.</w:t>
            </w:r>
          </w:p>
        </w:tc>
      </w:tr>
      <w:tr>
        <w:tc>
          <w:tcPr>
            <w:tcW w:type="dxa" w:w="28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Infrastructure</w:t>
            </w:r>
          </w:p>
        </w:tc>
        <w:tc>
          <w:tcPr>
            <w:tcW w:type="dxa" w:w="6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ZeroDev Kernel + bundler + paymaster. Coinbase CDP facilitator for x402. Multi-chain L2 deployment.</w:t>
            </w:r>
          </w:p>
        </w:tc>
      </w:tr>
    </w:tbl>
    <w:p>
      <w:pPr>
        <w:spacing w:after="60"/>
      </w:pPr>
    </w:p>
    <w:p>
      <w:pPr>
        <w:pStyle w:val="Heading2"/>
        <w:spacing w:before="260" w:after="120"/>
      </w:pPr>
      <w:r>
        <w:rPr>
          <w:rFonts w:ascii="Calibri" w:cs="Calibri" w:eastAsia="Calibri" w:hAnsi="Calibri"/>
          <w:b/>
          <w:bCs/>
          <w:color w:val="6C3FA0"/>
          <w:sz w:val="25"/>
          <w:szCs w:val="25"/>
        </w:rPr>
        <w:t xml:space="preserve">How x402 Payments Work Through Us</w:t>
      </w:r>
    </w:p>
    <w:p>
      <w:pPr>
        <w:spacing w:after="140" w:line="276"/>
      </w:pPr>
      <w:r>
        <w:rPr>
          <w:rFonts w:ascii="Calibri" w:cs="Calibri" w:eastAsia="Calibri" w:hAnsi="Calibri"/>
          <w:color w:val="1E1E2E"/>
          <w:sz w:val="21"/>
          <w:szCs w:val="21"/>
        </w:rPr>
        <w:t xml:space="preserve">Agent calls a paid API. Server returns HTTP 402 with payment requirements. Our middleware intercepts it, checks the agent’s policies (amount OK? domain allowed? budget remaining?), signs the authorization with the session key, and retries with the X-PAYMENT header. Facilitator settles on-chain. Agent gets the data. Owner sees everything in the dashboard. The developer wrote none of that logic.</w:t>
      </w:r>
    </w:p>
    <w:p>
      <w:pPr>
        <w:pStyle w:val="Heading2"/>
        <w:spacing w:before="260" w:after="120"/>
      </w:pPr>
      <w:r>
        <w:rPr>
          <w:rFonts w:ascii="Calibri" w:cs="Calibri" w:eastAsia="Calibri" w:hAnsi="Calibri"/>
          <w:b/>
          <w:bCs/>
          <w:color w:val="6C3FA0"/>
          <w:sz w:val="25"/>
          <w:szCs w:val="25"/>
        </w:rPr>
        <w:t xml:space="preserve">Core Features</w:t>
      </w:r>
    </w:p>
    <w:p>
      <w:pPr>
        <w:pStyle w:val="Heading3"/>
        <w:spacing w:before="180" w:after="80"/>
      </w:pPr>
      <w:r>
        <w:rPr>
          <w:rFonts w:ascii="Calibri" w:cs="Calibri" w:eastAsia="Calibri" w:hAnsi="Calibri"/>
          <w:b/>
          <w:bCs/>
          <w:color w:val="2D1B4E"/>
          <w:sz w:val="22"/>
          <w:szCs w:val="22"/>
        </w:rPr>
        <w:t xml:space="preserve">Agent Wallets</w:t>
      </w:r>
    </w:p>
    <w:p>
      <w:pPr>
        <w:spacing w:after="140" w:line="276"/>
      </w:pPr>
      <w:r>
        <w:rPr>
          <w:rFonts w:ascii="Calibri" w:cs="Calibri" w:eastAsia="Calibri" w:hAnsi="Calibri"/>
          <w:color w:val="1E1E2E"/>
          <w:sz w:val="21"/>
          <w:szCs w:val="21"/>
        </w:rPr>
        <w:t xml:space="preserve">Scoped session keys with composable permissions. Each agent gets precisely the access it needs and nothing more. Owners monitor everything, revoke instantly.</w:t>
      </w:r>
    </w:p>
    <w:p>
      <w:pPr>
        <w:pStyle w:val="Heading3"/>
        <w:spacing w:before="180" w:after="80"/>
      </w:pPr>
      <w:r>
        <w:rPr>
          <w:rFonts w:ascii="Calibri" w:cs="Calibri" w:eastAsia="Calibri" w:hAnsi="Calibri"/>
          <w:b/>
          <w:bCs/>
          <w:color w:val="2D1B4E"/>
          <w:sz w:val="22"/>
          <w:szCs w:val="22"/>
        </w:rPr>
        <w:t xml:space="preserve">x402 Policy Controls</w:t>
      </w:r>
    </w:p>
    <w:p>
      <w:pPr>
        <w:spacing w:after="140" w:line="276"/>
      </w:pPr>
      <w:r>
        <w:rPr>
          <w:rFonts w:ascii="Calibri" w:cs="Calibri" w:eastAsia="Calibri" w:hAnsi="Calibri"/>
          <w:color w:val="1E1E2E"/>
          <w:sz w:val="21"/>
          <w:szCs w:val="21"/>
        </w:rPr>
        <w:t xml:space="preserve">Max spend per request, approved domains only, daily/weekly budgets, rate limiting, cumulative tracking with auto-halt. Purpose-built for agents making hundreds of API calls per hour.</w:t>
      </w:r>
    </w:p>
    <w:p>
      <w:pPr>
        <w:pStyle w:val="Heading3"/>
        <w:spacing w:before="180" w:after="80"/>
      </w:pPr>
      <w:r>
        <w:rPr>
          <w:rFonts w:ascii="Calibri" w:cs="Calibri" w:eastAsia="Calibri" w:hAnsi="Calibri"/>
          <w:b/>
          <w:bCs/>
          <w:color w:val="2D1B4E"/>
          <w:sz w:val="22"/>
          <w:szCs w:val="22"/>
        </w:rPr>
        <w:t xml:space="preserve">Social Recovery</w:t>
      </w:r>
    </w:p>
    <w:p>
      <w:pPr>
        <w:spacing w:after="140" w:line="276"/>
      </w:pPr>
      <w:r>
        <w:rPr>
          <w:rFonts w:ascii="Calibri" w:cs="Calibri" w:eastAsia="Calibri" w:hAnsi="Calibri"/>
          <w:color w:val="1E1E2E"/>
          <w:sz w:val="21"/>
          <w:szCs w:val="21"/>
        </w:rPr>
        <w:t xml:space="preserve">Guardians can be emails, phone numbers, wallets, or institutions. M-of-N threshold. No seed phrase ever touches the user.</w:t>
      </w:r>
    </w:p>
    <w:p>
      <w:pPr>
        <w:pStyle w:val="Heading3"/>
        <w:spacing w:before="180" w:after="80"/>
      </w:pPr>
      <w:r>
        <w:rPr>
          <w:rFonts w:ascii="Calibri" w:cs="Calibri" w:eastAsia="Calibri" w:hAnsi="Calibri"/>
          <w:b/>
          <w:bCs/>
          <w:color w:val="2D1B4E"/>
          <w:sz w:val="22"/>
          <w:szCs w:val="22"/>
        </w:rPr>
        <w:t xml:space="preserve">Chain Abstraction</w:t>
      </w:r>
    </w:p>
    <w:p>
      <w:pPr>
        <w:spacing w:after="140" w:line="276"/>
      </w:pPr>
      <w:r>
        <w:rPr>
          <w:rFonts w:ascii="Calibri" w:cs="Calibri" w:eastAsia="Calibri" w:hAnsi="Calibri"/>
          <w:color w:val="1E1E2E"/>
          <w:sz w:val="21"/>
          <w:szCs w:val="21"/>
        </w:rPr>
        <w:t xml:space="preserve">One account, every chain. Bridging and settlement happen transparently. x402 payments route to the optimal chain automatically.</w:t>
      </w:r>
    </w:p>
    <w:p>
      <w:pPr>
        <w:pStyle w:val="Heading3"/>
        <w:spacing w:before="180" w:after="80"/>
      </w:pPr>
      <w:r>
        <w:rPr>
          <w:rFonts w:ascii="Calibri" w:cs="Calibri" w:eastAsia="Calibri" w:hAnsi="Calibri"/>
          <w:b/>
          <w:bCs/>
          <w:color w:val="2D1B4E"/>
          <w:sz w:val="22"/>
          <w:szCs w:val="22"/>
        </w:rPr>
        <w:t xml:space="preserve">DeFi Primitives</w:t>
      </w:r>
    </w:p>
    <w:p>
      <w:pPr>
        <w:spacing w:after="140" w:line="276"/>
      </w:pPr>
      <w:r>
        <w:rPr>
          <w:rFonts w:ascii="Calibri" w:cs="Calibri" w:eastAsia="Calibri" w:hAnsi="Calibri"/>
          <w:color w:val="1E1E2E"/>
          <w:sz w:val="21"/>
          <w:szCs w:val="21"/>
        </w:rPr>
        <w:t xml:space="preserve">wallet.swap(), wallet.supply(), wallet.stake(). Pre-built executor modules for common DeFi operations so developers don’t spend weeks encoding calldata.</w:t>
      </w:r>
    </w:p>
    <w:p>
      <w:pPr>
        <w:pStyle w:val="Heading3"/>
        <w:spacing w:before="180" w:after="80"/>
      </w:pPr>
      <w:r>
        <w:rPr>
          <w:rFonts w:ascii="Calibri" w:cs="Calibri" w:eastAsia="Calibri" w:hAnsi="Calibri"/>
          <w:b/>
          <w:bCs/>
          <w:color w:val="2D1B4E"/>
          <w:sz w:val="22"/>
          <w:szCs w:val="22"/>
        </w:rPr>
        <w:t xml:space="preserve">Onboarding</w:t>
      </w:r>
    </w:p>
    <w:p>
      <w:pPr>
        <w:spacing w:after="140" w:line="276"/>
      </w:pPr>
      <w:r>
        <w:rPr>
          <w:rFonts w:ascii="Calibri" w:cs="Calibri" w:eastAsia="Calibri" w:hAnsi="Calibri"/>
          <w:color w:val="1E1E2E"/>
          <w:sz w:val="21"/>
          <w:szCs w:val="21"/>
        </w:rPr>
        <w:t xml:space="preserve">Passkey authentication, gas sponsorship, lazy deployment. Users go from zero to transacting without ever seeing a seed phrase or buying ETH.</w:t>
      </w:r>
    </w:p>
    <w:p>
      <w:r>
        <w:br w:type="page"/>
      </w:r>
    </w:p>
    <w:p>
      <w:pPr>
        <w:pStyle w:val="Heading1"/>
        <w:spacing w:before="340" w:after="180"/>
      </w:pPr>
      <w:r>
        <w:rPr>
          <w:rFonts w:ascii="Calibri" w:cs="Calibri" w:eastAsia="Calibri" w:hAnsi="Calibri"/>
          <w:b/>
          <w:bCs/>
          <w:color w:val="2D1B4E"/>
          <w:sz w:val="30"/>
          <w:szCs w:val="30"/>
        </w:rPr>
        <w:t xml:space="preserve">4. Market</w:t>
      </w:r>
    </w:p>
    <w:p>
      <w:pPr>
        <w:pStyle w:val="Heading2"/>
        <w:spacing w:before="260" w:after="120"/>
      </w:pPr>
      <w:r>
        <w:rPr>
          <w:rFonts w:ascii="Calibri" w:cs="Calibri" w:eastAsia="Calibri" w:hAnsi="Calibri"/>
          <w:b/>
          <w:bCs/>
          <w:color w:val="6C3FA0"/>
          <w:sz w:val="25"/>
          <w:szCs w:val="25"/>
        </w:rPr>
        <w:t xml:space="preserve">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Segment</w:t>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2024</w:t>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2026E</w:t>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2028E</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AA Wallets Deployed</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~10M</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~50M</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~200M</w:t>
            </w:r>
          </w:p>
        </w:tc>
      </w:tr>
      <w:tr>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AI Agent Market (Crypto)</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$500M</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$2B</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$8B</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Wallet-as-a-Service</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$1.2B</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$3.5B</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$9B</w:t>
            </w:r>
          </w:p>
        </w:tc>
      </w:tr>
      <w:tr>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x402 / Agent Payments</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Nascent</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$500M</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$3B+</w:t>
            </w:r>
          </w:p>
        </w:tc>
      </w:tr>
    </w:tbl>
    <w:p>
      <w:pPr>
        <w:spacing w:after="60"/>
      </w:pPr>
    </w:p>
    <w:p>
      <w:pPr>
        <w:pStyle w:val="Heading2"/>
        <w:spacing w:before="260" w:after="120"/>
      </w:pPr>
      <w:r>
        <w:rPr>
          <w:rFonts w:ascii="Calibri" w:cs="Calibri" w:eastAsia="Calibri" w:hAnsi="Calibri"/>
          <w:b/>
          <w:bCs/>
          <w:color w:val="6C3FA0"/>
          <w:sz w:val="25"/>
          <w:szCs w:val="25"/>
        </w:rPr>
        <w:t xml:space="preserve">Who We Sell To</w:t>
      </w:r>
    </w:p>
    <w:p>
      <w:pPr>
        <w:pStyle w:val="ListParagraph"/>
        <w:numPr>
          <w:ilvl w:val="0"/>
          <w:numId w:val="2"/>
        </w:numPr>
        <w:spacing w:after="60" w:line="276"/>
      </w:pPr>
      <w:r>
        <w:rPr>
          <w:rFonts w:ascii="Calibri" w:cs="Calibri" w:eastAsia="Calibri" w:hAnsi="Calibri"/>
          <w:b/>
          <w:bCs/>
          <w:color w:val="1E1E2E"/>
          <w:sz w:val="21"/>
          <w:szCs w:val="21"/>
        </w:rPr>
        <w:t xml:space="preserve">AI agent teams. </w:t>
      </w:r>
      <w:r>
        <w:rPr>
          <w:rFonts w:ascii="Calibri" w:cs="Calibri" w:eastAsia="Calibri" w:hAnsi="Calibri"/>
          <w:color w:val="1E1E2E"/>
          <w:sz w:val="21"/>
          <w:szCs w:val="21"/>
        </w:rPr>
        <w:t xml:space="preserve">Trading bots, DeFi automation, portfolio managers, AI assistants consuming x402 APIs. Immediate need for scoped wallets with payment automation.</w:t>
      </w:r>
    </w:p>
    <w:p>
      <w:pPr>
        <w:pStyle w:val="ListParagraph"/>
        <w:numPr>
          <w:ilvl w:val="0"/>
          <w:numId w:val="2"/>
        </w:numPr>
        <w:spacing w:after="60" w:line="276"/>
      </w:pPr>
      <w:r>
        <w:rPr>
          <w:rFonts w:ascii="Calibri" w:cs="Calibri" w:eastAsia="Calibri" w:hAnsi="Calibri"/>
          <w:b/>
          <w:bCs/>
          <w:color w:val="1E1E2E"/>
          <w:sz w:val="21"/>
          <w:szCs w:val="21"/>
        </w:rPr>
        <w:t xml:space="preserve">x402 API providers. </w:t>
      </w:r>
      <w:r>
        <w:rPr>
          <w:rFonts w:ascii="Calibri" w:cs="Calibri" w:eastAsia="Calibri" w:hAnsi="Calibri"/>
          <w:color w:val="1E1E2E"/>
          <w:sz w:val="21"/>
          <w:szCs w:val="21"/>
        </w:rPr>
        <w:t xml:space="preserve">They want their consumers to have reliable wallets. Natural referral channel.</w:t>
      </w:r>
    </w:p>
    <w:p>
      <w:pPr>
        <w:pStyle w:val="ListParagraph"/>
        <w:numPr>
          <w:ilvl w:val="0"/>
          <w:numId w:val="2"/>
        </w:numPr>
        <w:spacing w:after="60" w:line="276"/>
      </w:pPr>
      <w:r>
        <w:rPr>
          <w:rFonts w:ascii="Calibri" w:cs="Calibri" w:eastAsia="Calibri" w:hAnsi="Calibri"/>
          <w:b/>
          <w:bCs/>
          <w:color w:val="1E1E2E"/>
          <w:sz w:val="21"/>
          <w:szCs w:val="21"/>
        </w:rPr>
        <w:t xml:space="preserve">DeFi app builders. </w:t>
      </w:r>
      <w:r>
        <w:rPr>
          <w:rFonts w:ascii="Calibri" w:cs="Calibri" w:eastAsia="Calibri" w:hAnsi="Calibri"/>
          <w:color w:val="1E1E2E"/>
          <w:sz w:val="21"/>
          <w:szCs w:val="21"/>
        </w:rPr>
        <w:t xml:space="preserve">Need embedded wallets with DeFi primitives, not raw account abstraction infrastructure.</w:t>
      </w:r>
    </w:p>
    <w:p>
      <w:pPr>
        <w:pStyle w:val="ListParagraph"/>
        <w:numPr>
          <w:ilvl w:val="0"/>
          <w:numId w:val="2"/>
        </w:numPr>
        <w:spacing w:after="60" w:line="276"/>
      </w:pPr>
      <w:r>
        <w:rPr>
          <w:rFonts w:ascii="Calibri" w:cs="Calibri" w:eastAsia="Calibri" w:hAnsi="Calibri"/>
          <w:b/>
          <w:bCs/>
          <w:color w:val="1E1E2E"/>
          <w:sz w:val="21"/>
          <w:szCs w:val="21"/>
        </w:rPr>
        <w:t xml:space="preserve">Enterprise AI ops. </w:t>
      </w:r>
      <w:r>
        <w:rPr>
          <w:rFonts w:ascii="Calibri" w:cs="Calibri" w:eastAsia="Calibri" w:hAnsi="Calibri"/>
          <w:color w:val="1E1E2E"/>
          <w:sz w:val="21"/>
          <w:szCs w:val="21"/>
        </w:rPr>
        <w:t xml:space="preserve">Fleets of agents, centralized budget controls, audit trails, compliance.</w:t>
      </w:r>
    </w:p>
    <w:p>
      <w:pPr>
        <w:pStyle w:val="Heading2"/>
        <w:spacing w:before="260" w:after="120"/>
      </w:pPr>
      <w:r>
        <w:rPr>
          <w:rFonts w:ascii="Calibri" w:cs="Calibri" w:eastAsia="Calibri" w:hAnsi="Calibri"/>
          <w:b/>
          <w:bCs/>
          <w:color w:val="6C3FA0"/>
          <w:sz w:val="25"/>
          <w:szCs w:val="25"/>
        </w:rPr>
        <w:t xml:space="preserve">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Player</w:t>
            </w:r>
          </w:p>
        </w:tc>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Focus</w:t>
            </w:r>
          </w:p>
        </w:tc>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Agents</w:t>
            </w:r>
          </w:p>
        </w:tc>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x402</w:t>
            </w:r>
          </w:p>
        </w:tc>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DeFi</w:t>
            </w:r>
          </w:p>
        </w:tc>
        <w:tc>
          <w:tcPr>
            <w:tcW w:type="dxa" w:w="156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Go SDK</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ZeroDev</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AA infra</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Basic</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Basic</w:t>
            </w:r>
          </w:p>
        </w:tc>
      </w:tr>
      <w:tr>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Privy</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Auth</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Biconomy</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AA infra</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Limited</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r>
      <w:tr>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Coinbase CDP</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Facilitator</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AgentKit</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Server only</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c>
          <w:tcPr>
            <w:tcW w:type="dxa" w:w="156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No</w:t>
            </w:r>
          </w:p>
        </w:tc>
      </w:tr>
      <w:tr>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Us</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Agent wallet + x402</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Full engine</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Native</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Yes</w:t>
            </w:r>
          </w:p>
        </w:tc>
        <w:tc>
          <w:tcPr>
            <w:tcW w:type="dxa" w:w="156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Yes</w:t>
            </w:r>
          </w:p>
        </w:tc>
      </w:tr>
    </w:tbl>
    <w:p>
      <w:pPr>
        <w:spacing w:after="60"/>
      </w:pPr>
    </w:p>
    <w:p>
      <w:pPr>
        <w:spacing w:after="140" w:line="276"/>
      </w:pPr>
      <w:r>
        <w:rPr>
          <w:rFonts w:ascii="Calibri" w:cs="Calibri" w:eastAsia="Calibri" w:hAnsi="Calibri"/>
          <w:color w:val="1E1E2E"/>
          <w:sz w:val="21"/>
          <w:szCs w:val="21"/>
        </w:rPr>
        <w:t xml:space="preserve">Coinbase builds the payment rails. ZeroDev builds the account. We’re the layer that makes them work together safely for autonomous agents.</w:t>
      </w:r>
    </w:p>
    <w:p>
      <w:r>
        <w:br w:type="page"/>
      </w:r>
    </w:p>
    <w:p>
      <w:pPr>
        <w:pStyle w:val="Heading1"/>
        <w:spacing w:before="340" w:after="180"/>
      </w:pPr>
      <w:r>
        <w:rPr>
          <w:rFonts w:ascii="Calibri" w:cs="Calibri" w:eastAsia="Calibri" w:hAnsi="Calibri"/>
          <w:b/>
          <w:bCs/>
          <w:color w:val="2D1B4E"/>
          <w:sz w:val="30"/>
          <w:szCs w:val="30"/>
        </w:rPr>
        <w:t xml:space="preserve">5. Roadmap</w:t>
      </w:r>
    </w:p>
    <w:p>
      <w:pPr>
        <w:pStyle w:val="Heading2"/>
        <w:spacing w:before="260" w:after="120"/>
      </w:pPr>
      <w:r>
        <w:rPr>
          <w:rFonts w:ascii="Calibri" w:cs="Calibri" w:eastAsia="Calibri" w:hAnsi="Calibri"/>
          <w:b/>
          <w:bCs/>
          <w:color w:val="6C3FA0"/>
          <w:sz w:val="25"/>
          <w:szCs w:val="25"/>
        </w:rPr>
        <w:t xml:space="preserve">Phase 1: Agent MVP + x402 Foundation (Months 1–4)</w:t>
      </w:r>
    </w:p>
    <w:p>
      <w:pPr>
        <w:pStyle w:val="ListParagraph"/>
        <w:numPr>
          <w:ilvl w:val="0"/>
          <w:numId w:val="2"/>
        </w:numPr>
        <w:spacing w:after="60" w:line="276"/>
      </w:pPr>
      <w:r>
        <w:rPr>
          <w:rFonts w:ascii="Calibri" w:cs="Calibri" w:eastAsia="Calibri" w:hAnsi="Calibri"/>
          <w:color w:val="1E1E2E"/>
          <w:sz w:val="21"/>
          <w:szCs w:val="21"/>
        </w:rPr>
        <w:t xml:space="preserve">TypeScript + Go SDKs with wallet and agent APIs</w:t>
      </w:r>
    </w:p>
    <w:p>
      <w:pPr>
        <w:pStyle w:val="ListParagraph"/>
        <w:numPr>
          <w:ilvl w:val="0"/>
          <w:numId w:val="2"/>
        </w:numPr>
        <w:spacing w:after="60" w:line="276"/>
      </w:pPr>
      <w:r>
        <w:rPr>
          <w:rFonts w:ascii="Calibri" w:cs="Calibri" w:eastAsia="Calibri" w:hAnsi="Calibri"/>
          <w:color w:val="1E1E2E"/>
          <w:sz w:val="21"/>
          <w:szCs w:val="21"/>
        </w:rPr>
        <w:t xml:space="preserve">Agent Permission Manager (spending caps, contract/function scoping, time windows)</w:t>
      </w:r>
    </w:p>
    <w:p>
      <w:pPr>
        <w:pStyle w:val="ListParagraph"/>
        <w:numPr>
          <w:ilvl w:val="0"/>
          <w:numId w:val="2"/>
        </w:numPr>
        <w:spacing w:after="60" w:line="276"/>
      </w:pPr>
      <w:r>
        <w:rPr>
          <w:rFonts w:ascii="Calibri" w:cs="Calibri" w:eastAsia="Calibri" w:hAnsi="Calibri"/>
          <w:color w:val="1E1E2E"/>
          <w:sz w:val="21"/>
          <w:szCs w:val="21"/>
        </w:rPr>
        <w:t xml:space="preserve">x402 auto-detect middleware with basic policies (per-request cap, domain allowlist, daily budget)</w:t>
      </w:r>
    </w:p>
    <w:p>
      <w:pPr>
        <w:pStyle w:val="ListParagraph"/>
        <w:numPr>
          <w:ilvl w:val="0"/>
          <w:numId w:val="2"/>
        </w:numPr>
        <w:spacing w:after="60" w:line="276"/>
      </w:pPr>
      <w:r>
        <w:rPr>
          <w:rFonts w:ascii="Calibri" w:cs="Calibri" w:eastAsia="Calibri" w:hAnsi="Calibri"/>
          <w:color w:val="1E1E2E"/>
          <w:sz w:val="21"/>
          <w:szCs w:val="21"/>
        </w:rPr>
        <w:t xml:space="preserve">Coinbase CDP facilitator integration</w:t>
      </w:r>
    </w:p>
    <w:p>
      <w:pPr>
        <w:pStyle w:val="ListParagraph"/>
        <w:numPr>
          <w:ilvl w:val="0"/>
          <w:numId w:val="2"/>
        </w:numPr>
        <w:spacing w:after="60" w:line="276"/>
      </w:pPr>
      <w:r>
        <w:rPr>
          <w:rFonts w:ascii="Calibri" w:cs="Calibri" w:eastAsia="Calibri" w:hAnsi="Calibri"/>
          <w:color w:val="1E1E2E"/>
          <w:sz w:val="21"/>
          <w:szCs w:val="21"/>
        </w:rPr>
        <w:t xml:space="preserve">Monitoring dashboard with x402 payment logs</w:t>
      </w:r>
    </w:p>
    <w:p>
      <w:pPr>
        <w:pStyle w:val="ListParagraph"/>
        <w:numPr>
          <w:ilvl w:val="0"/>
          <w:numId w:val="2"/>
        </w:numPr>
        <w:spacing w:after="60" w:line="276"/>
      </w:pPr>
      <w:r>
        <w:rPr>
          <w:rFonts w:ascii="Calibri" w:cs="Calibri" w:eastAsia="Calibri" w:hAnsi="Calibri"/>
          <w:color w:val="1E1E2E"/>
          <w:sz w:val="21"/>
          <w:szCs w:val="21"/>
        </w:rPr>
        <w:t xml:space="preserve">Base + Arbitrum deployment, 5–10 design partners</w:t>
      </w:r>
    </w:p>
    <w:p>
      <w:pPr>
        <w:pStyle w:val="Heading2"/>
        <w:spacing w:before="260" w:after="120"/>
      </w:pPr>
      <w:r>
        <w:rPr>
          <w:rFonts w:ascii="Calibri" w:cs="Calibri" w:eastAsia="Calibri" w:hAnsi="Calibri"/>
          <w:b/>
          <w:bCs/>
          <w:color w:val="6C3FA0"/>
          <w:sz w:val="25"/>
          <w:szCs w:val="25"/>
        </w:rPr>
        <w:t xml:space="preserve">Phase 2: Full x402 Engine + DeFi (Months 5–8)</w:t>
      </w:r>
    </w:p>
    <w:p>
      <w:pPr>
        <w:pStyle w:val="ListParagraph"/>
        <w:numPr>
          <w:ilvl w:val="0"/>
          <w:numId w:val="2"/>
        </w:numPr>
        <w:spacing w:after="60" w:line="276"/>
      </w:pPr>
      <w:r>
        <w:rPr>
          <w:rFonts w:ascii="Calibri" w:cs="Calibri" w:eastAsia="Calibri" w:hAnsi="Calibri"/>
          <w:color w:val="1E1E2E"/>
          <w:sz w:val="21"/>
          <w:szCs w:val="21"/>
        </w:rPr>
        <w:t xml:space="preserve">Full x402 policy engine: rate limits, cumulative tracking, auto-halt, anomaly detection</w:t>
      </w:r>
    </w:p>
    <w:p>
      <w:pPr>
        <w:pStyle w:val="ListParagraph"/>
        <w:numPr>
          <w:ilvl w:val="0"/>
          <w:numId w:val="2"/>
        </w:numPr>
        <w:spacing w:after="60" w:line="276"/>
      </w:pPr>
      <w:r>
        <w:rPr>
          <w:rFonts w:ascii="Calibri" w:cs="Calibri" w:eastAsia="Calibri" w:hAnsi="Calibri"/>
          <w:color w:val="1E1E2E"/>
          <w:sz w:val="21"/>
          <w:szCs w:val="21"/>
        </w:rPr>
        <w:t xml:space="preserve">x402 analytics dashboard with cost breakdown and optimization insights</w:t>
      </w:r>
    </w:p>
    <w:p>
      <w:pPr>
        <w:pStyle w:val="ListParagraph"/>
        <w:numPr>
          <w:ilvl w:val="0"/>
          <w:numId w:val="2"/>
        </w:numPr>
        <w:spacing w:after="60" w:line="276"/>
      </w:pPr>
      <w:r>
        <w:rPr>
          <w:rFonts w:ascii="Calibri" w:cs="Calibri" w:eastAsia="Calibri" w:hAnsi="Calibri"/>
          <w:color w:val="1E1E2E"/>
          <w:sz w:val="21"/>
          <w:szCs w:val="21"/>
        </w:rPr>
        <w:t xml:space="preserve">DeFi Action Library (swap, supply, borrow, stake)</w:t>
      </w:r>
    </w:p>
    <w:p>
      <w:pPr>
        <w:pStyle w:val="ListParagraph"/>
        <w:numPr>
          <w:ilvl w:val="0"/>
          <w:numId w:val="2"/>
        </w:numPr>
        <w:spacing w:after="60" w:line="276"/>
      </w:pPr>
      <w:r>
        <w:rPr>
          <w:rFonts w:ascii="Calibri" w:cs="Calibri" w:eastAsia="Calibri" w:hAnsi="Calibri"/>
          <w:color w:val="1E1E2E"/>
          <w:sz w:val="21"/>
          <w:szCs w:val="21"/>
        </w:rPr>
        <w:t xml:space="preserve">Passkey onboarding, social recovery, chain abstraction</w:t>
      </w:r>
    </w:p>
    <w:p>
      <w:pPr>
        <w:pStyle w:val="ListParagraph"/>
        <w:numPr>
          <w:ilvl w:val="0"/>
          <w:numId w:val="2"/>
        </w:numPr>
        <w:spacing w:after="60" w:line="276"/>
      </w:pPr>
      <w:r>
        <w:rPr>
          <w:rFonts w:ascii="Calibri" w:cs="Calibri" w:eastAsia="Calibri" w:hAnsi="Calibri"/>
          <w:color w:val="1E1E2E"/>
          <w:sz w:val="21"/>
          <w:szCs w:val="21"/>
        </w:rPr>
        <w:t xml:space="preserve">Third-party facilitator support, React component library</w:t>
      </w:r>
    </w:p>
    <w:p>
      <w:pPr>
        <w:pStyle w:val="Heading2"/>
        <w:spacing w:before="260" w:after="120"/>
      </w:pPr>
      <w:r>
        <w:rPr>
          <w:rFonts w:ascii="Calibri" w:cs="Calibri" w:eastAsia="Calibri" w:hAnsi="Calibri"/>
          <w:b/>
          <w:bCs/>
          <w:color w:val="6C3FA0"/>
          <w:sz w:val="25"/>
          <w:szCs w:val="25"/>
        </w:rPr>
        <w:t xml:space="preserve">Phase 3: Platform + Ecosystem (Months 9–12)</w:t>
      </w:r>
    </w:p>
    <w:p>
      <w:pPr>
        <w:pStyle w:val="ListParagraph"/>
        <w:numPr>
          <w:ilvl w:val="0"/>
          <w:numId w:val="2"/>
        </w:numPr>
        <w:spacing w:after="60" w:line="276"/>
      </w:pPr>
      <w:r>
        <w:rPr>
          <w:rFonts w:ascii="Calibri" w:cs="Calibri" w:eastAsia="Calibri" w:hAnsi="Calibri"/>
          <w:color w:val="1E1E2E"/>
          <w:sz w:val="21"/>
          <w:szCs w:val="21"/>
        </w:rPr>
        <w:t xml:space="preserve">Custom facilitator with native policy awareness</w:t>
      </w:r>
    </w:p>
    <w:p>
      <w:pPr>
        <w:pStyle w:val="ListParagraph"/>
        <w:numPr>
          <w:ilvl w:val="0"/>
          <w:numId w:val="2"/>
        </w:numPr>
        <w:spacing w:after="60" w:line="276"/>
      </w:pPr>
      <w:r>
        <w:rPr>
          <w:rFonts w:ascii="Calibri" w:cs="Calibri" w:eastAsia="Calibri" w:hAnsi="Calibri"/>
          <w:color w:val="1E1E2E"/>
          <w:sz w:val="21"/>
          <w:szCs w:val="21"/>
        </w:rPr>
        <w:t xml:space="preserve">Module marketplace, enterprise tier with fleet management</w:t>
      </w:r>
    </w:p>
    <w:p>
      <w:pPr>
        <w:pStyle w:val="ListParagraph"/>
        <w:numPr>
          <w:ilvl w:val="0"/>
          <w:numId w:val="2"/>
        </w:numPr>
        <w:spacing w:after="60" w:line="276"/>
      </w:pPr>
      <w:r>
        <w:rPr>
          <w:rFonts w:ascii="Calibri" w:cs="Calibri" w:eastAsia="Calibri" w:hAnsi="Calibri"/>
          <w:color w:val="1E1E2E"/>
          <w:sz w:val="21"/>
          <w:szCs w:val="21"/>
        </w:rPr>
        <w:t xml:space="preserve">Python SDK, MCP integration, multi-agent coordination</w:t>
      </w:r>
    </w:p>
    <w:p>
      <w:pPr>
        <w:pStyle w:val="ListParagraph"/>
        <w:numPr>
          <w:ilvl w:val="0"/>
          <w:numId w:val="2"/>
        </w:numPr>
        <w:spacing w:after="60" w:line="276"/>
      </w:pPr>
      <w:r>
        <w:rPr>
          <w:rFonts w:ascii="Calibri" w:cs="Calibri" w:eastAsia="Calibri" w:hAnsi="Calibri"/>
          <w:color w:val="1E1E2E"/>
          <w:sz w:val="21"/>
          <w:szCs w:val="21"/>
        </w:rPr>
        <w:t xml:space="preserve">x402 monetization of our own APIs</w:t>
      </w:r>
    </w:p>
    <w:p>
      <w:pPr>
        <w:pStyle w:val="ListParagraph"/>
        <w:numPr>
          <w:ilvl w:val="0"/>
          <w:numId w:val="2"/>
        </w:numPr>
        <w:spacing w:after="60" w:line="276"/>
      </w:pPr>
      <w:r>
        <w:rPr>
          <w:rFonts w:ascii="Calibri" w:cs="Calibri" w:eastAsia="Calibri" w:hAnsi="Calibri"/>
          <w:color w:val="1E1E2E"/>
          <w:sz w:val="21"/>
          <w:szCs w:val="21"/>
        </w:rPr>
        <w:t xml:space="preserve">Strategic partnerships (x402.org listing, Coinbase, Offchain Labs)</w:t>
      </w:r>
    </w:p>
    <w:p>
      <w:r>
        <w:br w:type="page"/>
      </w:r>
    </w:p>
    <w:p>
      <w:pPr>
        <w:pStyle w:val="Heading1"/>
        <w:spacing w:before="340" w:after="180"/>
      </w:pPr>
      <w:r>
        <w:rPr>
          <w:rFonts w:ascii="Calibri" w:cs="Calibri" w:eastAsia="Calibri" w:hAnsi="Calibri"/>
          <w:b/>
          <w:bCs/>
          <w:color w:val="2D1B4E"/>
          <w:sz w:val="30"/>
          <w:szCs w:val="30"/>
        </w:rPr>
        <w:t xml:space="preserve">6. Business Model</w:t>
      </w:r>
    </w:p>
    <w:p>
      <w:pPr>
        <w:pStyle w:val="Heading2"/>
        <w:spacing w:before="260" w:after="120"/>
      </w:pPr>
      <w:r>
        <w:rPr>
          <w:rFonts w:ascii="Calibri" w:cs="Calibri" w:eastAsia="Calibri" w:hAnsi="Calibri"/>
          <w:b/>
          <w:bCs/>
          <w:color w:val="6C3FA0"/>
          <w:sz w:val="25"/>
          <w:szCs w:val="25"/>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Stream</w:t>
            </w:r>
          </w:p>
        </w:tc>
        <w:tc>
          <w:tcPr>
            <w:tcW w:type="dxa" w:w="252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Model</w:t>
            </w:r>
          </w:p>
        </w:tc>
        <w:tc>
          <w:tcPr>
            <w:tcW w:type="dxa" w:w="252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Pricing</w:t>
            </w:r>
          </w:p>
        </w:tc>
        <w:tc>
          <w:tcPr>
            <w:tcW w:type="dxa" w:w="252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Margin</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UserOp fees</w:t>
            </w:r>
          </w:p>
        </w:tc>
        <w:tc>
          <w:tcPr>
            <w:tcW w:type="dxa" w:w="252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Per transaction</w:t>
            </w:r>
          </w:p>
        </w:tc>
        <w:tc>
          <w:tcPr>
            <w:tcW w:type="dxa" w:w="252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$0.01–$0.05/op</w:t>
            </w:r>
          </w:p>
        </w:tc>
        <w:tc>
          <w:tcPr>
            <w:tcW w:type="dxa" w:w="252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30–50%</w:t>
            </w:r>
          </w:p>
        </w:tc>
      </w:tr>
      <w:tr>
        <w:tc>
          <w:tcPr>
            <w:tcW w:type="dxa" w:w="18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x402 fees</w:t>
            </w:r>
          </w:p>
        </w:tc>
        <w:tc>
          <w:tcPr>
            <w:tcW w:type="dxa" w:w="252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Per payment signed</w:t>
            </w:r>
          </w:p>
        </w:tc>
        <w:tc>
          <w:tcPr>
            <w:tcW w:type="dxa" w:w="252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$0.002–$0.01 or 0.5–1%</w:t>
            </w:r>
          </w:p>
        </w:tc>
        <w:tc>
          <w:tcPr>
            <w:tcW w:type="dxa" w:w="252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&gt;90% (no gas cost)</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Agent fees</w:t>
            </w:r>
          </w:p>
        </w:tc>
        <w:tc>
          <w:tcPr>
            <w:tcW w:type="dxa" w:w="252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Monthly per agent</w:t>
            </w:r>
          </w:p>
        </w:tc>
        <w:tc>
          <w:tcPr>
            <w:tcW w:type="dxa" w:w="252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$10–$50/agent</w:t>
            </w:r>
          </w:p>
        </w:tc>
        <w:tc>
          <w:tcPr>
            <w:tcW w:type="dxa" w:w="252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High (SaaS)</w:t>
            </w:r>
          </w:p>
        </w:tc>
      </w:tr>
      <w:tr>
        <w:tc>
          <w:tcPr>
            <w:tcW w:type="dxa" w:w="18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Platform</w:t>
            </w:r>
          </w:p>
        </w:tc>
        <w:tc>
          <w:tcPr>
            <w:tcW w:type="dxa" w:w="252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Monthly subscription</w:t>
            </w:r>
          </w:p>
        </w:tc>
        <w:tc>
          <w:tcPr>
            <w:tcW w:type="dxa" w:w="252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Free / $99 / $499+</w:t>
            </w:r>
          </w:p>
        </w:tc>
        <w:tc>
          <w:tcPr>
            <w:tcW w:type="dxa" w:w="252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High (SaaS)</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Enterprise</w:t>
            </w:r>
          </w:p>
        </w:tc>
        <w:tc>
          <w:tcPr>
            <w:tcW w:type="dxa" w:w="252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Annual contract</w:t>
            </w:r>
          </w:p>
        </w:tc>
        <w:tc>
          <w:tcPr>
            <w:tcW w:type="dxa" w:w="252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$25K–$200K+/yr</w:t>
            </w:r>
          </w:p>
        </w:tc>
        <w:tc>
          <w:tcPr>
            <w:tcW w:type="dxa" w:w="252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60–75%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6"/>
              <w:bottom w:val="single" w:color="8B5CF6" w:sz="1"/>
              <w:right w:val="single" w:color="8B5CF6" w:sz="1"/>
            </w:tcBorders>
            <w:shd w:fill="EDE9FE" w:val="clear"/>
            <w:tcMar>
              <w:top w:type="dxa" w:w="100"/>
              <w:left w:type="dxa" w:w="180"/>
              <w:bottom w:type="dxa" w:w="100"/>
              <w:right w:type="dxa" w:w="180"/>
            </w:tcMar>
          </w:tcPr>
          <w:p>
            <w:pPr>
              <w:spacing w:after="60"/>
            </w:pPr>
            <w:r>
              <w:rPr>
                <w:rFonts w:ascii="Calibri" w:cs="Calibri" w:eastAsia="Calibri" w:hAnsi="Calibri"/>
                <w:b/>
                <w:bCs/>
                <w:color w:val="2D1B4E"/>
                <w:sz w:val="21"/>
                <w:szCs w:val="21"/>
              </w:rPr>
              <w:t xml:space="preserve">Why x402 Fees Matter</w:t>
            </w:r>
          </w:p>
          <w:p>
            <w:pPr>
              <w:spacing w:after="0"/>
            </w:pPr>
            <w:r>
              <w:rPr>
                <w:rFonts w:ascii="Calibri" w:cs="Calibri" w:eastAsia="Calibri" w:hAnsi="Calibri"/>
                <w:color w:val="1E1E2E"/>
                <w:sz w:val="20"/>
                <w:szCs w:val="20"/>
              </w:rPr>
              <w:t xml:space="preserve">An agent making 1,000 x402 API calls/day at $0.005 each generates $150/month in pure signing fees. A fleet of 100 agents: $15K/month on top of subscriptions. This is high-frequency, near-zero-cost revenue that scales with the agent economy.</w:t>
            </w:r>
          </w:p>
        </w:tc>
      </w:tr>
    </w:tbl>
    <w:p>
      <w:pPr>
        <w:spacing w:after="60"/>
      </w:pPr>
    </w:p>
    <w:p>
      <w:pPr>
        <w:pStyle w:val="Heading2"/>
        <w:spacing w:before="260" w:after="120"/>
      </w:pPr>
      <w:r>
        <w:rPr>
          <w:rFonts w:ascii="Calibri" w:cs="Calibri" w:eastAsia="Calibri" w:hAnsi="Calibri"/>
          <w:b/>
          <w:bCs/>
          <w:color w:val="6C3FA0"/>
          <w:sz w:val="25"/>
          <w:szCs w:val="25"/>
        </w:rPr>
        <w:t xml:space="preserve">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Free</w:t>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Growth ($99–499)</w:t>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Enterprise</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Accounts</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100</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10,000</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Unlimited</w:t>
            </w:r>
          </w:p>
        </w:tc>
      </w:tr>
      <w:tr>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Agents</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500</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Unlimited</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x402 payments/mo</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500</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50,000</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Unlimited</w:t>
            </w:r>
          </w:p>
        </w:tc>
      </w:tr>
      <w:tr>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x402 policies</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Basic</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Full</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Full + custom</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Analytics</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7 days</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90 days + export</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Unlimited + API</w:t>
            </w:r>
          </w:p>
        </w:tc>
      </w:tr>
      <w:tr>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Support</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Community</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Priority</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Dedicated + SLA</w:t>
            </w:r>
          </w:p>
        </w:tc>
      </w:tr>
    </w:tbl>
    <w:p>
      <w:r>
        <w:br w:type="page"/>
      </w:r>
    </w:p>
    <w:p>
      <w:pPr>
        <w:pStyle w:val="Heading1"/>
        <w:spacing w:before="340" w:after="180"/>
      </w:pPr>
      <w:r>
        <w:rPr>
          <w:rFonts w:ascii="Calibri" w:cs="Calibri" w:eastAsia="Calibri" w:hAnsi="Calibri"/>
          <w:b/>
          <w:bCs/>
          <w:color w:val="2D1B4E"/>
          <w:sz w:val="30"/>
          <w:szCs w:val="30"/>
        </w:rPr>
        <w:t xml:space="preserve">7. Go-to-Market</w:t>
      </w:r>
    </w:p>
    <w:p>
      <w:pPr>
        <w:pStyle w:val="Heading2"/>
        <w:spacing w:before="260" w:after="120"/>
      </w:pPr>
      <w:r>
        <w:rPr>
          <w:rFonts w:ascii="Calibri" w:cs="Calibri" w:eastAsia="Calibri" w:hAnsi="Calibri"/>
          <w:b/>
          <w:bCs/>
          <w:color w:val="6C3FA0"/>
          <w:sz w:val="25"/>
          <w:szCs w:val="25"/>
        </w:rPr>
        <w:t xml:space="preserve">Months 1–6: Developer-Led</w:t>
      </w:r>
    </w:p>
    <w:p>
      <w:pPr>
        <w:pStyle w:val="ListParagraph"/>
        <w:numPr>
          <w:ilvl w:val="0"/>
          <w:numId w:val="2"/>
        </w:numPr>
        <w:spacing w:after="60" w:line="276"/>
      </w:pPr>
      <w:r>
        <w:rPr>
          <w:rFonts w:ascii="Calibri" w:cs="Calibri" w:eastAsia="Calibri" w:hAnsi="Calibri"/>
          <w:color w:val="1E1E2E"/>
          <w:sz w:val="21"/>
          <w:szCs w:val="21"/>
        </w:rPr>
        <w:t xml:space="preserve">5–10 design partners from AI agent and x402 communities, free usage for feedback</w:t>
      </w:r>
    </w:p>
    <w:p>
      <w:pPr>
        <w:pStyle w:val="ListParagraph"/>
        <w:numPr>
          <w:ilvl w:val="0"/>
          <w:numId w:val="2"/>
        </w:numPr>
        <w:spacing w:after="60" w:line="276"/>
      </w:pPr>
      <w:r>
        <w:rPr>
          <w:rFonts w:ascii="Calibri" w:cs="Calibri" w:eastAsia="Calibri" w:hAnsi="Calibri"/>
          <w:color w:val="1E1E2E"/>
          <w:sz w:val="21"/>
          <w:szCs w:val="21"/>
        </w:rPr>
        <w:t xml:space="preserve">Open-source examples, weekly tutorials, x402.org ecosystem submission</w:t>
      </w:r>
    </w:p>
    <w:p>
      <w:pPr>
        <w:pStyle w:val="ListParagraph"/>
        <w:numPr>
          <w:ilvl w:val="0"/>
          <w:numId w:val="2"/>
        </w:numPr>
        <w:spacing w:after="60" w:line="276"/>
      </w:pPr>
      <w:r>
        <w:rPr>
          <w:rFonts w:ascii="Calibri" w:cs="Calibri" w:eastAsia="Calibri" w:hAnsi="Calibri"/>
          <w:color w:val="1E1E2E"/>
          <w:sz w:val="21"/>
          <w:szCs w:val="21"/>
        </w:rPr>
        <w:t xml:space="preserve">Presence in ZeroDev, x402, and agent builder Discord/Telegram communities</w:t>
      </w:r>
    </w:p>
    <w:p>
      <w:pPr>
        <w:pStyle w:val="ListParagraph"/>
        <w:numPr>
          <w:ilvl w:val="0"/>
          <w:numId w:val="2"/>
        </w:numPr>
        <w:spacing w:after="60" w:line="276"/>
      </w:pPr>
      <w:r>
        <w:rPr>
          <w:rFonts w:ascii="Calibri" w:cs="Calibri" w:eastAsia="Calibri" w:hAnsi="Calibri"/>
          <w:color w:val="1E1E2E"/>
          <w:sz w:val="21"/>
          <w:szCs w:val="21"/>
        </w:rPr>
        <w:t xml:space="preserve">Product Hunt / HN launch: “AI agent paying for APIs in 5 minutes”</w:t>
      </w:r>
    </w:p>
    <w:p>
      <w:pPr>
        <w:pStyle w:val="ListParagraph"/>
        <w:numPr>
          <w:ilvl w:val="0"/>
          <w:numId w:val="2"/>
        </w:numPr>
        <w:spacing w:after="60" w:line="276"/>
      </w:pPr>
      <w:r>
        <w:rPr>
          <w:rFonts w:ascii="Calibri" w:cs="Calibri" w:eastAsia="Calibri" w:hAnsi="Calibri"/>
          <w:color w:val="1E1E2E"/>
          <w:sz w:val="21"/>
          <w:szCs w:val="21"/>
        </w:rPr>
        <w:t xml:space="preserve">ETHDenver, EthCC, AI-agent conference talks</w:t>
      </w:r>
    </w:p>
    <w:p>
      <w:pPr>
        <w:pStyle w:val="Heading2"/>
        <w:spacing w:before="260" w:after="120"/>
      </w:pPr>
      <w:r>
        <w:rPr>
          <w:rFonts w:ascii="Calibri" w:cs="Calibri" w:eastAsia="Calibri" w:hAnsi="Calibri"/>
          <w:b/>
          <w:bCs/>
          <w:color w:val="6C3FA0"/>
          <w:sz w:val="25"/>
          <w:szCs w:val="25"/>
        </w:rPr>
        <w:t xml:space="preserve">Months 4–9: Ecosystem Partnerships</w:t>
      </w:r>
    </w:p>
    <w:p>
      <w:pPr>
        <w:pStyle w:val="ListParagraph"/>
        <w:numPr>
          <w:ilvl w:val="0"/>
          <w:numId w:val="2"/>
        </w:numPr>
        <w:spacing w:after="60" w:line="276"/>
      </w:pPr>
      <w:r>
        <w:rPr>
          <w:rFonts w:ascii="Calibri" w:cs="Calibri" w:eastAsia="Calibri" w:hAnsi="Calibri"/>
          <w:color w:val="1E1E2E"/>
          <w:sz w:val="21"/>
          <w:szCs w:val="21"/>
        </w:rPr>
        <w:t xml:space="preserve">x402 API providers recommend us to their consumers (natural referral loop)</w:t>
      </w:r>
    </w:p>
    <w:p>
      <w:pPr>
        <w:pStyle w:val="ListParagraph"/>
        <w:numPr>
          <w:ilvl w:val="0"/>
          <w:numId w:val="2"/>
        </w:numPr>
        <w:spacing w:after="60" w:line="276"/>
      </w:pPr>
      <w:r>
        <w:rPr>
          <w:rFonts w:ascii="Calibri" w:cs="Calibri" w:eastAsia="Calibri" w:hAnsi="Calibri"/>
          <w:color w:val="1E1E2E"/>
          <w:sz w:val="21"/>
          <w:szCs w:val="21"/>
        </w:rPr>
        <w:t xml:space="preserve">Coinbase CDP partnership as featured x402-compatible wallet</w:t>
      </w:r>
    </w:p>
    <w:p>
      <w:pPr>
        <w:pStyle w:val="ListParagraph"/>
        <w:numPr>
          <w:ilvl w:val="0"/>
          <w:numId w:val="2"/>
        </w:numPr>
        <w:spacing w:after="60" w:line="276"/>
      </w:pPr>
      <w:r>
        <w:rPr>
          <w:rFonts w:ascii="Calibri" w:cs="Calibri" w:eastAsia="Calibri" w:hAnsi="Calibri"/>
          <w:color w:val="1E1E2E"/>
          <w:sz w:val="21"/>
          <w:szCs w:val="21"/>
        </w:rPr>
        <w:t xml:space="preserve">Integration with LangChain, CrewAI, AutoGen as default wallet provider</w:t>
      </w:r>
    </w:p>
    <w:p>
      <w:pPr>
        <w:pStyle w:val="ListParagraph"/>
        <w:numPr>
          <w:ilvl w:val="0"/>
          <w:numId w:val="2"/>
        </w:numPr>
        <w:spacing w:after="60" w:line="276"/>
      </w:pPr>
      <w:r>
        <w:rPr>
          <w:rFonts w:ascii="Calibri" w:cs="Calibri" w:eastAsia="Calibri" w:hAnsi="Calibri"/>
          <w:color w:val="1E1E2E"/>
          <w:sz w:val="21"/>
          <w:szCs w:val="21"/>
        </w:rPr>
        <w:t xml:space="preserve">Case studies with measurable outcomes (cost savings, security, automation speed)</w:t>
      </w:r>
    </w:p>
    <w:p>
      <w:pPr>
        <w:pStyle w:val="Heading2"/>
        <w:spacing w:before="260" w:after="120"/>
      </w:pPr>
      <w:r>
        <w:rPr>
          <w:rFonts w:ascii="Calibri" w:cs="Calibri" w:eastAsia="Calibri" w:hAnsi="Calibri"/>
          <w:b/>
          <w:bCs/>
          <w:color w:val="6C3FA0"/>
          <w:sz w:val="25"/>
          <w:szCs w:val="25"/>
        </w:rPr>
        <w:t xml:space="preserve">Months 9–12+: Enterprise</w:t>
      </w:r>
    </w:p>
    <w:p>
      <w:pPr>
        <w:pStyle w:val="ListParagraph"/>
        <w:numPr>
          <w:ilvl w:val="0"/>
          <w:numId w:val="2"/>
        </w:numPr>
        <w:spacing w:after="60" w:line="276"/>
      </w:pPr>
      <w:r>
        <w:rPr>
          <w:rFonts w:ascii="Calibri" w:cs="Calibri" w:eastAsia="Calibri" w:hAnsi="Calibri"/>
          <w:color w:val="1E1E2E"/>
          <w:sz w:val="21"/>
          <w:szCs w:val="21"/>
        </w:rPr>
        <w:t xml:space="preserve">Outbound sales to firms running agent fleets (quant funds, DeFi protocols, AI companies)</w:t>
      </w:r>
    </w:p>
    <w:p>
      <w:pPr>
        <w:pStyle w:val="ListParagraph"/>
        <w:numPr>
          <w:ilvl w:val="0"/>
          <w:numId w:val="2"/>
        </w:numPr>
        <w:spacing w:after="60" w:line="276"/>
      </w:pPr>
      <w:r>
        <w:rPr>
          <w:rFonts w:ascii="Calibri" w:cs="Calibri" w:eastAsia="Calibri" w:hAnsi="Calibri"/>
          <w:color w:val="1E1E2E"/>
          <w:sz w:val="21"/>
          <w:szCs w:val="21"/>
        </w:rPr>
        <w:t xml:space="preserve">Fleet-level x402 budgets, compliance modules, SSO, audit export</w:t>
      </w:r>
    </w:p>
    <w:p>
      <w:pPr>
        <w:pStyle w:val="ListParagraph"/>
        <w:numPr>
          <w:ilvl w:val="0"/>
          <w:numId w:val="2"/>
        </w:numPr>
        <w:spacing w:after="60" w:line="276"/>
      </w:pPr>
      <w:r>
        <w:rPr>
          <w:rFonts w:ascii="Calibri" w:cs="Calibri" w:eastAsia="Calibri" w:hAnsi="Calibri"/>
          <w:color w:val="1E1E2E"/>
          <w:sz w:val="21"/>
          <w:szCs w:val="21"/>
        </w:rPr>
        <w:t xml:space="preserve">Monetize our own APIs via x402 (DeFi data, policy-as-a-service)</w:t>
      </w:r>
    </w:p>
    <w:p>
      <w:r>
        <w:br w:type="page"/>
      </w:r>
    </w:p>
    <w:p>
      <w:pPr>
        <w:pStyle w:val="Heading1"/>
        <w:spacing w:before="340" w:after="180"/>
      </w:pPr>
      <w:r>
        <w:rPr>
          <w:rFonts w:ascii="Calibri" w:cs="Calibri" w:eastAsia="Calibri" w:hAnsi="Calibri"/>
          <w:b/>
          <w:bCs/>
          <w:color w:val="2D1B4E"/>
          <w:sz w:val="30"/>
          <w:szCs w:val="30"/>
        </w:rPr>
        <w:t xml:space="preserve">8. Financial Projections</w:t>
      </w:r>
    </w:p>
    <w:p>
      <w:pPr>
        <w:spacing w:after="140" w:line="276"/>
      </w:pPr>
      <w:r>
        <w:rPr>
          <w:rFonts w:ascii="Calibri" w:cs="Calibri" w:eastAsia="Calibri" w:hAnsi="Calibri"/>
          <w:i/>
          <w:iCs/>
          <w:color w:val="1E1E2E"/>
          <w:sz w:val="21"/>
          <w:szCs w:val="21"/>
        </w:rPr>
        <w:t xml:space="preserve">Revenue starts Month 5 after the design partner phase. x402 fees are modeled separately as a high-growth line.</w:t>
      </w:r>
    </w:p>
    <w:p>
      <w:pPr>
        <w:pStyle w:val="Heading2"/>
        <w:spacing w:before="260" w:after="120"/>
      </w:pPr>
      <w:r>
        <w:rPr>
          <w:rFonts w:ascii="Calibri" w:cs="Calibri" w:eastAsia="Calibri" w:hAnsi="Calibri"/>
          <w:b/>
          <w:bCs/>
          <w:color w:val="6C3FA0"/>
          <w:sz w:val="25"/>
          <w:szCs w:val="25"/>
        </w:rPr>
        <w:t xml:space="preserve">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Year 1</w:t>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Year 2</w:t>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Year 3</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Active projects</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50</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300</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1,200</w:t>
            </w:r>
          </w:p>
        </w:tc>
      </w:tr>
      <w:tr>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Active agents</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500</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5,000</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30,000</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x402 payments/mo</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50K</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1.5M</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10M</w:t>
            </w:r>
          </w:p>
        </w:tc>
      </w:tr>
      <w:tr>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Platform + Agent ARR</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$250K</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$2.2M</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$10M</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x402 fee ARR</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$30K</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$900K</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$6M</w:t>
            </w:r>
          </w:p>
        </w:tc>
      </w:tr>
      <w:tr>
        <w:tc>
          <w:tcPr>
            <w:tcW w:type="dxa" w:w="2340"/>
            <w:tcBorders>
              <w:top w:val="single" w:color="D4D4D8" w:sz="1"/>
              <w:left w:val="single" w:color="D4D4D8" w:sz="1"/>
              <w:bottom w:val="single" w:color="D4D4D8" w:sz="1"/>
              <w:right w:val="single" w:color="D4D4D8" w:sz="1"/>
            </w:tcBorders>
            <w:shd w:fill="DDD6FE"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Total ARR</w:t>
            </w:r>
          </w:p>
        </w:tc>
        <w:tc>
          <w:tcPr>
            <w:tcW w:type="dxa" w:w="2340"/>
            <w:tcBorders>
              <w:top w:val="single" w:color="D4D4D8" w:sz="1"/>
              <w:left w:val="single" w:color="D4D4D8" w:sz="1"/>
              <w:bottom w:val="single" w:color="D4D4D8" w:sz="1"/>
              <w:right w:val="single" w:color="D4D4D8" w:sz="1"/>
            </w:tcBorders>
            <w:shd w:fill="DDD6FE"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$280K</w:t>
            </w:r>
          </w:p>
        </w:tc>
        <w:tc>
          <w:tcPr>
            <w:tcW w:type="dxa" w:w="2340"/>
            <w:tcBorders>
              <w:top w:val="single" w:color="D4D4D8" w:sz="1"/>
              <w:left w:val="single" w:color="D4D4D8" w:sz="1"/>
              <w:bottom w:val="single" w:color="D4D4D8" w:sz="1"/>
              <w:right w:val="single" w:color="D4D4D8" w:sz="1"/>
            </w:tcBorders>
            <w:shd w:fill="DDD6FE"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$3.1M</w:t>
            </w:r>
          </w:p>
        </w:tc>
        <w:tc>
          <w:tcPr>
            <w:tcW w:type="dxa" w:w="2340"/>
            <w:tcBorders>
              <w:top w:val="single" w:color="D4D4D8" w:sz="1"/>
              <w:left w:val="single" w:color="D4D4D8" w:sz="1"/>
              <w:bottom w:val="single" w:color="D4D4D8" w:sz="1"/>
              <w:right w:val="single" w:color="D4D4D8" w:sz="1"/>
            </w:tcBorders>
            <w:shd w:fill="DDD6FE"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$16M</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Gross margin</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55%</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67%</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74%</w:t>
            </w:r>
          </w:p>
        </w:tc>
      </w:tr>
    </w:tbl>
    <w:p>
      <w:pPr>
        <w:spacing w:after="60"/>
      </w:pPr>
    </w:p>
    <w:p>
      <w:pPr>
        <w:spacing w:after="140" w:line="276"/>
      </w:pPr>
      <w:r>
        <w:rPr>
          <w:rFonts w:ascii="Calibri" w:cs="Calibri" w:eastAsia="Calibri" w:hAnsi="Calibri"/>
          <w:color w:val="1E1E2E"/>
          <w:sz w:val="21"/>
          <w:szCs w:val="21"/>
        </w:rPr>
        <w:t xml:space="preserve">x402 fees grow from 11% of ARR in Year 1 to 37% by Year 3. This is our highest-margin line (&gt;90%) since it involves only signing and policy validation with no on-chain gas.</w:t>
      </w:r>
    </w:p>
    <w:p>
      <w:pPr>
        <w:pStyle w:val="Heading2"/>
        <w:spacing w:before="260" w:after="120"/>
      </w:pPr>
      <w:r>
        <w:rPr>
          <w:rFonts w:ascii="Calibri" w:cs="Calibri" w:eastAsia="Calibri" w:hAnsi="Calibri"/>
          <w:b/>
          <w:bCs/>
          <w:color w:val="6C3FA0"/>
          <w:sz w:val="25"/>
          <w:szCs w:val="25"/>
        </w:rPr>
        <w:t xml:space="preserve">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Year 1</w:t>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Year 2</w:t>
            </w:r>
          </w:p>
        </w:tc>
        <w:tc>
          <w:tcPr>
            <w:tcW w:type="dxa" w:w="234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Year 3</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Engineering (4→8)</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$600K</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$1.1M</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$1.8M</w:t>
            </w:r>
          </w:p>
        </w:tc>
      </w:tr>
      <w:tr>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Infrastructure</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$80K</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$250K</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$600K</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Sales &amp; marketing</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$100K</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$350K</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$800K</w:t>
            </w:r>
          </w:p>
        </w:tc>
      </w:tr>
      <w:tr>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Audits</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$150K</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$200K</w:t>
            </w:r>
          </w:p>
        </w:tc>
        <w:tc>
          <w:tcPr>
            <w:tcW w:type="dxa" w:w="234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$250K</w:t>
            </w:r>
          </w:p>
        </w:tc>
      </w:tr>
      <w:tr>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Ops &amp; legal</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$70K</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$150K</w:t>
            </w:r>
          </w:p>
        </w:tc>
        <w:tc>
          <w:tcPr>
            <w:tcW w:type="dxa" w:w="234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$300K</w:t>
            </w:r>
          </w:p>
        </w:tc>
      </w:tr>
      <w:tr>
        <w:tc>
          <w:tcPr>
            <w:tcW w:type="dxa" w:w="2340"/>
            <w:tcBorders>
              <w:top w:val="single" w:color="D4D4D8" w:sz="1"/>
              <w:left w:val="single" w:color="D4D4D8" w:sz="1"/>
              <w:bottom w:val="single" w:color="D4D4D8" w:sz="1"/>
              <w:right w:val="single" w:color="D4D4D8" w:sz="1"/>
            </w:tcBorders>
            <w:shd w:fill="DDD6FE"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Total</w:t>
            </w:r>
          </w:p>
        </w:tc>
        <w:tc>
          <w:tcPr>
            <w:tcW w:type="dxa" w:w="2340"/>
            <w:tcBorders>
              <w:top w:val="single" w:color="D4D4D8" w:sz="1"/>
              <w:left w:val="single" w:color="D4D4D8" w:sz="1"/>
              <w:bottom w:val="single" w:color="D4D4D8" w:sz="1"/>
              <w:right w:val="single" w:color="D4D4D8" w:sz="1"/>
            </w:tcBorders>
            <w:shd w:fill="DDD6FE"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$1.0M</w:t>
            </w:r>
          </w:p>
        </w:tc>
        <w:tc>
          <w:tcPr>
            <w:tcW w:type="dxa" w:w="2340"/>
            <w:tcBorders>
              <w:top w:val="single" w:color="D4D4D8" w:sz="1"/>
              <w:left w:val="single" w:color="D4D4D8" w:sz="1"/>
              <w:bottom w:val="single" w:color="D4D4D8" w:sz="1"/>
              <w:right w:val="single" w:color="D4D4D8" w:sz="1"/>
            </w:tcBorders>
            <w:shd w:fill="DDD6FE"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$2.05M</w:t>
            </w:r>
          </w:p>
        </w:tc>
        <w:tc>
          <w:tcPr>
            <w:tcW w:type="dxa" w:w="2340"/>
            <w:tcBorders>
              <w:top w:val="single" w:color="D4D4D8" w:sz="1"/>
              <w:left w:val="single" w:color="D4D4D8" w:sz="1"/>
              <w:bottom w:val="single" w:color="D4D4D8" w:sz="1"/>
              <w:right w:val="single" w:color="D4D4D8" w:sz="1"/>
            </w:tcBorders>
            <w:shd w:fill="DDD6FE"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$3.75M</w:t>
            </w:r>
          </w:p>
        </w:tc>
      </w:tr>
    </w:tbl>
    <w:p>
      <w:r>
        <w:br w:type="page"/>
      </w:r>
    </w:p>
    <w:p>
      <w:pPr>
        <w:pStyle w:val="Heading1"/>
        <w:spacing w:before="340" w:after="180"/>
      </w:pPr>
      <w:r>
        <w:rPr>
          <w:rFonts w:ascii="Calibri" w:cs="Calibri" w:eastAsia="Calibri" w:hAnsi="Calibri"/>
          <w:b/>
          <w:bCs/>
          <w:color w:val="2D1B4E"/>
          <w:sz w:val="30"/>
          <w:szCs w:val="30"/>
        </w:rPr>
        <w:t xml:space="preserve">9. Funding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5CF6" w:sz="1"/>
              <w:left w:val="single" w:color="8B5CF6" w:sz="6"/>
              <w:bottom w:val="single" w:color="8B5CF6" w:sz="1"/>
              <w:right w:val="single" w:color="8B5CF6" w:sz="1"/>
            </w:tcBorders>
            <w:shd w:fill="EDE9FE" w:val="clear"/>
            <w:tcMar>
              <w:top w:type="dxa" w:w="100"/>
              <w:left w:type="dxa" w:w="180"/>
              <w:bottom w:type="dxa" w:w="100"/>
              <w:right w:type="dxa" w:w="180"/>
            </w:tcMar>
          </w:tcPr>
          <w:p>
            <w:pPr>
              <w:spacing w:after="60"/>
            </w:pPr>
            <w:r>
              <w:rPr>
                <w:rFonts w:ascii="Calibri" w:cs="Calibri" w:eastAsia="Calibri" w:hAnsi="Calibri"/>
                <w:b/>
                <w:bCs/>
                <w:color w:val="2D1B4E"/>
                <w:sz w:val="21"/>
                <w:szCs w:val="21"/>
              </w:rPr>
              <w:t xml:space="preserve">Seed Round: $1.5M–$2.0M</w:t>
            </w:r>
          </w:p>
          <w:p>
            <w:pPr>
              <w:spacing w:after="0"/>
            </w:pPr>
            <w:r>
              <w:rPr>
                <w:rFonts w:ascii="Calibri" w:cs="Calibri" w:eastAsia="Calibri" w:hAnsi="Calibri"/>
                <w:color w:val="1E1E2E"/>
                <w:sz w:val="20"/>
                <w:szCs w:val="20"/>
              </w:rPr>
              <w:t xml:space="preserve">Target close Q2 2026. Gives us 18–24 months of runway to reach Series A milestones.</w:t>
            </w:r>
          </w:p>
        </w:tc>
      </w:tr>
    </w:tbl>
    <w:p>
      <w:pPr>
        <w:spacing w:after="60"/>
      </w:pPr>
    </w:p>
    <w:p>
      <w:pPr>
        <w:pStyle w:val="Heading2"/>
        <w:spacing w:before="260" w:after="120"/>
      </w:pPr>
      <w:r>
        <w:rPr>
          <w:rFonts w:ascii="Calibri" w:cs="Calibri" w:eastAsia="Calibri" w:hAnsi="Calibri"/>
          <w:b/>
          <w:bCs/>
          <w:color w:val="6C3FA0"/>
          <w:sz w:val="25"/>
          <w:szCs w:val="25"/>
        </w:rPr>
        <w:t xml:space="preserve">Allocation</w:t>
      </w:r>
    </w:p>
    <w:p>
      <w:pPr>
        <w:pStyle w:val="ListParagraph"/>
        <w:numPr>
          <w:ilvl w:val="0"/>
          <w:numId w:val="2"/>
        </w:numPr>
        <w:spacing w:after="60" w:line="276"/>
      </w:pPr>
      <w:r>
        <w:rPr>
          <w:rFonts w:ascii="Calibri" w:cs="Calibri" w:eastAsia="Calibri" w:hAnsi="Calibri"/>
          <w:b/>
          <w:bCs/>
          <w:color w:val="1E1E2E"/>
          <w:sz w:val="21"/>
          <w:szCs w:val="21"/>
        </w:rPr>
        <w:t xml:space="preserve">Engineering (58%): </w:t>
      </w:r>
      <w:r>
        <w:rPr>
          <w:rFonts w:ascii="Calibri" w:cs="Calibri" w:eastAsia="Calibri" w:hAnsi="Calibri"/>
          <w:color w:val="1E1E2E"/>
          <w:sz w:val="21"/>
          <w:szCs w:val="21"/>
        </w:rPr>
        <w:t xml:space="preserve">2–3 senior hires (Solidity, TypeScript, Go). SDK, x402 layer, modules, backend, dashboard.</w:t>
      </w:r>
    </w:p>
    <w:p>
      <w:pPr>
        <w:pStyle w:val="ListParagraph"/>
        <w:numPr>
          <w:ilvl w:val="0"/>
          <w:numId w:val="2"/>
        </w:numPr>
        <w:spacing w:after="60" w:line="276"/>
      </w:pPr>
      <w:r>
        <w:rPr>
          <w:rFonts w:ascii="Calibri" w:cs="Calibri" w:eastAsia="Calibri" w:hAnsi="Calibri"/>
          <w:b/>
          <w:bCs/>
          <w:color w:val="1E1E2E"/>
          <w:sz w:val="21"/>
          <w:szCs w:val="21"/>
        </w:rPr>
        <w:t xml:space="preserve">Audits (10%): </w:t>
      </w:r>
      <w:r>
        <w:rPr>
          <w:rFonts w:ascii="Calibri" w:cs="Calibri" w:eastAsia="Calibri" w:hAnsi="Calibri"/>
          <w:color w:val="1E1E2E"/>
          <w:sz w:val="21"/>
          <w:szCs w:val="21"/>
        </w:rPr>
        <w:t xml:space="preserve">Independent security audits for all ERC-7579 modules and x402 signing logic.</w:t>
      </w:r>
    </w:p>
    <w:p>
      <w:pPr>
        <w:pStyle w:val="ListParagraph"/>
        <w:numPr>
          <w:ilvl w:val="0"/>
          <w:numId w:val="2"/>
        </w:numPr>
        <w:spacing w:after="60" w:line="276"/>
      </w:pPr>
      <w:r>
        <w:rPr>
          <w:rFonts w:ascii="Calibri" w:cs="Calibri" w:eastAsia="Calibri" w:hAnsi="Calibri"/>
          <w:b/>
          <w:bCs/>
          <w:color w:val="1E1E2E"/>
          <w:sz w:val="21"/>
          <w:szCs w:val="21"/>
        </w:rPr>
        <w:t xml:space="preserve">Infra (10%): </w:t>
      </w:r>
      <w:r>
        <w:rPr>
          <w:rFonts w:ascii="Calibri" w:cs="Calibri" w:eastAsia="Calibri" w:hAnsi="Calibri"/>
          <w:color w:val="1E1E2E"/>
          <w:sz w:val="21"/>
          <w:szCs w:val="21"/>
        </w:rPr>
        <w:t xml:space="preserve">ZeroDev, facilitator fees, cloud, key management, monitoring.</w:t>
      </w:r>
    </w:p>
    <w:p>
      <w:pPr>
        <w:pStyle w:val="ListParagraph"/>
        <w:numPr>
          <w:ilvl w:val="0"/>
          <w:numId w:val="2"/>
        </w:numPr>
        <w:spacing w:after="60" w:line="276"/>
      </w:pPr>
      <w:r>
        <w:rPr>
          <w:rFonts w:ascii="Calibri" w:cs="Calibri" w:eastAsia="Calibri" w:hAnsi="Calibri"/>
          <w:b/>
          <w:bCs/>
          <w:color w:val="1E1E2E"/>
          <w:sz w:val="21"/>
          <w:szCs w:val="21"/>
        </w:rPr>
        <w:t xml:space="preserve">GTM (14%): </w:t>
      </w:r>
      <w:r>
        <w:rPr>
          <w:rFonts w:ascii="Calibri" w:cs="Calibri" w:eastAsia="Calibri" w:hAnsi="Calibri"/>
          <w:color w:val="1E1E2E"/>
          <w:sz w:val="21"/>
          <w:szCs w:val="21"/>
        </w:rPr>
        <w:t xml:space="preserve">DevRel, x402 ecosystem partnerships, content, conferences.</w:t>
      </w:r>
    </w:p>
    <w:p>
      <w:pPr>
        <w:pStyle w:val="ListParagraph"/>
        <w:numPr>
          <w:ilvl w:val="0"/>
          <w:numId w:val="2"/>
        </w:numPr>
        <w:spacing w:after="60" w:line="276"/>
      </w:pPr>
      <w:r>
        <w:rPr>
          <w:rFonts w:ascii="Calibri" w:cs="Calibri" w:eastAsia="Calibri" w:hAnsi="Calibri"/>
          <w:b/>
          <w:bCs/>
          <w:color w:val="1E1E2E"/>
          <w:sz w:val="21"/>
          <w:szCs w:val="21"/>
        </w:rPr>
        <w:t xml:space="preserve">Ops &amp; legal (8%): </w:t>
      </w:r>
      <w:r>
        <w:rPr>
          <w:rFonts w:ascii="Calibri" w:cs="Calibri" w:eastAsia="Calibri" w:hAnsi="Calibri"/>
          <w:color w:val="1E1E2E"/>
          <w:sz w:val="21"/>
          <w:szCs w:val="21"/>
        </w:rPr>
        <w:t xml:space="preserve">Formation, compliance, accounting.</w:t>
      </w:r>
    </w:p>
    <w:p>
      <w:pPr>
        <w:pStyle w:val="Heading2"/>
        <w:spacing w:before="260" w:after="120"/>
      </w:pPr>
      <w:r>
        <w:rPr>
          <w:rFonts w:ascii="Calibri" w:cs="Calibri" w:eastAsia="Calibri" w:hAnsi="Calibri"/>
          <w:b/>
          <w:bCs/>
          <w:color w:val="6C3FA0"/>
          <w:sz w:val="25"/>
          <w:szCs w:val="25"/>
        </w:rPr>
        <w:t xml:space="preserve">Series A Milestones</w:t>
      </w:r>
    </w:p>
    <w:p>
      <w:pPr>
        <w:pStyle w:val="ListParagraph"/>
        <w:numPr>
          <w:ilvl w:val="0"/>
          <w:numId w:val="3"/>
        </w:numPr>
        <w:spacing w:after="60" w:line="276"/>
      </w:pPr>
      <w:r>
        <w:rPr>
          <w:rFonts w:ascii="Calibri" w:cs="Calibri" w:eastAsia="Calibri" w:hAnsi="Calibri"/>
          <w:color w:val="1E1E2E"/>
          <w:sz w:val="21"/>
          <w:szCs w:val="21"/>
        </w:rPr>
        <w:t xml:space="preserve">50+ paying developer projects</w:t>
      </w:r>
    </w:p>
    <w:p>
      <w:pPr>
        <w:pStyle w:val="ListParagraph"/>
        <w:numPr>
          <w:ilvl w:val="0"/>
          <w:numId w:val="3"/>
        </w:numPr>
        <w:spacing w:after="60" w:line="276"/>
      </w:pPr>
      <w:r>
        <w:rPr>
          <w:rFonts w:ascii="Calibri" w:cs="Calibri" w:eastAsia="Calibri" w:hAnsi="Calibri"/>
          <w:color w:val="1E1E2E"/>
          <w:sz w:val="21"/>
          <w:szCs w:val="21"/>
        </w:rPr>
        <w:t xml:space="preserve">500+ agents on mainnet</w:t>
      </w:r>
    </w:p>
    <w:p>
      <w:pPr>
        <w:pStyle w:val="ListParagraph"/>
        <w:numPr>
          <w:ilvl w:val="0"/>
          <w:numId w:val="3"/>
        </w:numPr>
        <w:spacing w:after="60" w:line="276"/>
      </w:pPr>
      <w:r>
        <w:rPr>
          <w:rFonts w:ascii="Calibri" w:cs="Calibri" w:eastAsia="Calibri" w:hAnsi="Calibri"/>
          <w:color w:val="1E1E2E"/>
          <w:sz w:val="21"/>
          <w:szCs w:val="21"/>
        </w:rPr>
        <w:t xml:space="preserve">100K+ x402 payments/month</w:t>
      </w:r>
    </w:p>
    <w:p>
      <w:pPr>
        <w:pStyle w:val="ListParagraph"/>
        <w:numPr>
          <w:ilvl w:val="0"/>
          <w:numId w:val="3"/>
        </w:numPr>
        <w:spacing w:after="60" w:line="276"/>
      </w:pPr>
      <w:r>
        <w:rPr>
          <w:rFonts w:ascii="Calibri" w:cs="Calibri" w:eastAsia="Calibri" w:hAnsi="Calibri"/>
          <w:color w:val="1E1E2E"/>
          <w:sz w:val="21"/>
          <w:szCs w:val="21"/>
        </w:rPr>
        <w:t xml:space="preserve">$25K+ MRR</w:t>
      </w:r>
    </w:p>
    <w:p>
      <w:pPr>
        <w:pStyle w:val="ListParagraph"/>
        <w:numPr>
          <w:ilvl w:val="0"/>
          <w:numId w:val="3"/>
        </w:numPr>
        <w:spacing w:after="60" w:line="276"/>
      </w:pPr>
      <w:r>
        <w:rPr>
          <w:rFonts w:ascii="Calibri" w:cs="Calibri" w:eastAsia="Calibri" w:hAnsi="Calibri"/>
          <w:color w:val="1E1E2E"/>
          <w:sz w:val="21"/>
          <w:szCs w:val="21"/>
        </w:rPr>
        <w:t xml:space="preserve">2+ enterprise contracts</w:t>
      </w:r>
    </w:p>
    <w:p>
      <w:pPr>
        <w:pStyle w:val="ListParagraph"/>
        <w:numPr>
          <w:ilvl w:val="0"/>
          <w:numId w:val="3"/>
        </w:numPr>
        <w:spacing w:after="60" w:line="276"/>
      </w:pPr>
      <w:r>
        <w:rPr>
          <w:rFonts w:ascii="Calibri" w:cs="Calibri" w:eastAsia="Calibri" w:hAnsi="Calibri"/>
          <w:color w:val="1E1E2E"/>
          <w:sz w:val="21"/>
          <w:szCs w:val="21"/>
        </w:rPr>
        <w:t xml:space="preserve">Security audit complete, listed on x402.org ecosystem</w:t>
      </w:r>
    </w:p>
    <w:p>
      <w:pPr>
        <w:pStyle w:val="ListParagraph"/>
        <w:numPr>
          <w:ilvl w:val="0"/>
          <w:numId w:val="3"/>
        </w:numPr>
        <w:spacing w:after="60" w:line="276"/>
      </w:pPr>
      <w:r>
        <w:rPr>
          <w:rFonts w:ascii="Calibri" w:cs="Calibri" w:eastAsia="Calibri" w:hAnsi="Calibri"/>
          <w:color w:val="1E1E2E"/>
          <w:sz w:val="21"/>
          <w:szCs w:val="21"/>
        </w:rPr>
        <w:t xml:space="preserve">Strategic partnership with Coinbase CDP or Offchain Labs</w:t>
      </w:r>
    </w:p>
    <w:p>
      <w:r>
        <w:br w:type="page"/>
      </w:r>
    </w:p>
    <w:p>
      <w:pPr>
        <w:pStyle w:val="Heading1"/>
        <w:spacing w:before="340" w:after="180"/>
      </w:pPr>
      <w:r>
        <w:rPr>
          <w:rFonts w:ascii="Calibri" w:cs="Calibri" w:eastAsia="Calibri" w:hAnsi="Calibri"/>
          <w:b/>
          <w:bCs/>
          <w:color w:val="2D1B4E"/>
          <w:sz w:val="30"/>
          <w:szCs w:val="30"/>
        </w:rPr>
        <w:t xml:space="preserve">10. Team</w:t>
      </w:r>
    </w:p>
    <w:p>
      <w:pPr>
        <w:spacing w:after="140" w:line="276"/>
      </w:pPr>
      <w:r>
        <w:rPr>
          <w:rFonts w:ascii="Calibri" w:cs="Calibri" w:eastAsia="Calibri" w:hAnsi="Calibri"/>
          <w:color w:val="1E1E2E"/>
          <w:sz w:val="21"/>
          <w:szCs w:val="21"/>
        </w:rPr>
        <w:t xml:space="preserve">We need people who understand smart contracts, payment protocols, and what makes a developer SDK actually usable.</w:t>
      </w:r>
    </w:p>
    <w:p>
      <w:pPr>
        <w:pStyle w:val="Heading2"/>
        <w:spacing w:before="260" w:after="120"/>
      </w:pPr>
      <w:r>
        <w:rPr>
          <w:rFonts w:ascii="Calibri" w:cs="Calibri" w:eastAsia="Calibri" w:hAnsi="Calibri"/>
          <w:b/>
          <w:bCs/>
          <w:color w:val="6C3FA0"/>
          <w:sz w:val="25"/>
          <w:szCs w:val="25"/>
        </w:rPr>
        <w:t xml:space="preserve">Founding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Role</w:t>
            </w:r>
          </w:p>
        </w:tc>
        <w:tc>
          <w:tcPr>
            <w:tcW w:type="dxa" w:w="358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Owns</w:t>
            </w:r>
          </w:p>
        </w:tc>
        <w:tc>
          <w:tcPr>
            <w:tcW w:type="dxa" w:w="358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Needs</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CEO</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Vision, fundraising, partnerships (Coinbase, ZeroDev, x402 ecosystem), GTM</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Web3 product experience, fundraising track record, ecosystem relationships</w:t>
            </w:r>
          </w:p>
        </w:tc>
      </w:tr>
      <w:tr>
        <w:tc>
          <w:tcPr>
            <w:tcW w:type="dxa" w:w="22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CTO</w:t>
            </w:r>
          </w:p>
        </w:tc>
        <w:tc>
          <w:tcPr>
            <w:tcW w:type="dxa" w:w="358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Architecture, smart contracts, SDK design, x402 integration, security</w:t>
            </w:r>
          </w:p>
        </w:tc>
        <w:tc>
          <w:tcPr>
            <w:tcW w:type="dxa" w:w="358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Solidity, ERC-4337/7579, EIP-3009, TypeScript, Go</w:t>
            </w:r>
          </w:p>
        </w:tc>
      </w:tr>
      <w:tr>
        <w:tc>
          <w:tcPr>
            <w:tcW w:type="dxa" w:w="22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Smart Contract Eng.</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ERC-7579 modules, x402 policy hooks, audit prep</w:t>
            </w:r>
          </w:p>
        </w:tc>
        <w:tc>
          <w:tcPr>
            <w:tcW w:type="dxa" w:w="35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Solidity, Foundry, gas optimization, formal verification</w:t>
            </w:r>
          </w:p>
        </w:tc>
      </w:tr>
      <w:tr>
        <w:tc>
          <w:tcPr>
            <w:tcW w:type="dxa" w:w="22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Full-Stack Eng.</w:t>
            </w:r>
          </w:p>
        </w:tc>
        <w:tc>
          <w:tcPr>
            <w:tcW w:type="dxa" w:w="358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SDK, x402 middleware, dashboard, backend, analytics</w:t>
            </w:r>
          </w:p>
        </w:tc>
        <w:tc>
          <w:tcPr>
            <w:tcW w:type="dxa" w:w="358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TypeScript, Go, React, distributed systems</w:t>
            </w:r>
          </w:p>
        </w:tc>
      </w:tr>
    </w:tbl>
    <w:p>
      <w:pPr>
        <w:spacing w:after="60"/>
      </w:pPr>
    </w:p>
    <w:p>
      <w:pPr>
        <w:pStyle w:val="Heading2"/>
        <w:spacing w:before="260" w:after="120"/>
      </w:pPr>
      <w:r>
        <w:rPr>
          <w:rFonts w:ascii="Calibri" w:cs="Calibri" w:eastAsia="Calibri" w:hAnsi="Calibri"/>
          <w:b/>
          <w:bCs/>
          <w:color w:val="6C3FA0"/>
          <w:sz w:val="25"/>
          <w:szCs w:val="25"/>
        </w:rPr>
        <w:t xml:space="preserve">Growth Hires</w:t>
      </w:r>
    </w:p>
    <w:p>
      <w:pPr>
        <w:pStyle w:val="ListParagraph"/>
        <w:numPr>
          <w:ilvl w:val="0"/>
          <w:numId w:val="2"/>
        </w:numPr>
        <w:spacing w:after="60" w:line="276"/>
      </w:pPr>
      <w:r>
        <w:rPr>
          <w:rFonts w:ascii="Calibri" w:cs="Calibri" w:eastAsia="Calibri" w:hAnsi="Calibri"/>
          <w:color w:val="1E1E2E"/>
          <w:sz w:val="21"/>
          <w:szCs w:val="21"/>
        </w:rPr>
        <w:t xml:space="preserve">DevRel — docs, x402 tutorials, community, conference talks</w:t>
      </w:r>
    </w:p>
    <w:p>
      <w:pPr>
        <w:pStyle w:val="ListParagraph"/>
        <w:numPr>
          <w:ilvl w:val="0"/>
          <w:numId w:val="2"/>
        </w:numPr>
        <w:spacing w:after="60" w:line="276"/>
      </w:pPr>
      <w:r>
        <w:rPr>
          <w:rFonts w:ascii="Calibri" w:cs="Calibri" w:eastAsia="Calibri" w:hAnsi="Calibri"/>
          <w:color w:val="1E1E2E"/>
          <w:sz w:val="21"/>
          <w:szCs w:val="21"/>
        </w:rPr>
        <w:t xml:space="preserve">Backend Eng. — analytics pipeline, facilitator integration, scaling</w:t>
      </w:r>
    </w:p>
    <w:p>
      <w:pPr>
        <w:pStyle w:val="ListParagraph"/>
        <w:numPr>
          <w:ilvl w:val="0"/>
          <w:numId w:val="2"/>
        </w:numPr>
        <w:spacing w:after="60" w:line="276"/>
      </w:pPr>
      <w:r>
        <w:rPr>
          <w:rFonts w:ascii="Calibri" w:cs="Calibri" w:eastAsia="Calibri" w:hAnsi="Calibri"/>
          <w:color w:val="1E1E2E"/>
          <w:sz w:val="21"/>
          <w:szCs w:val="21"/>
        </w:rPr>
        <w:t xml:space="preserve">Enterprise Sales — agent fleet operators, quant firms, DeFi protocols</w:t>
      </w:r>
    </w:p>
    <w:p>
      <w:r>
        <w:br w:type="page"/>
      </w:r>
    </w:p>
    <w:p>
      <w:pPr>
        <w:pStyle w:val="Heading1"/>
        <w:spacing w:before="340" w:after="180"/>
      </w:pPr>
      <w:r>
        <w:rPr>
          <w:rFonts w:ascii="Calibri" w:cs="Calibri" w:eastAsia="Calibri" w:hAnsi="Calibri"/>
          <w:b/>
          <w:bCs/>
          <w:color w:val="2D1B4E"/>
          <w:sz w:val="30"/>
          <w:szCs w:val="30"/>
        </w:rPr>
        <w:t xml:space="preserve">11.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Risk</w:t>
            </w:r>
          </w:p>
        </w:tc>
        <w:tc>
          <w:tcPr>
            <w:tcW w:type="dxa" w:w="378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Could Happen</w:t>
            </w:r>
          </w:p>
        </w:tc>
        <w:tc>
          <w:tcPr>
            <w:tcW w:type="dxa" w:w="3780"/>
            <w:tcBorders>
              <w:top w:val="single" w:color="D4D4D8" w:sz="1"/>
              <w:left w:val="single" w:color="D4D4D8" w:sz="1"/>
              <w:bottom w:val="single" w:color="D4D4D8" w:sz="1"/>
              <w:right w:val="single" w:color="D4D4D8" w:sz="1"/>
            </w:tcBorders>
            <w:shd w:fill="2D1B4E"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How We Handle It</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Vendor lock-in</w:t>
            </w:r>
          </w:p>
        </w:tc>
        <w:tc>
          <w:tcPr>
            <w:tcW w:type="dxa" w:w="37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ZeroDev or Coinbase changes pricing, deprecates APIs, or builds what we build.</w:t>
            </w:r>
          </w:p>
        </w:tc>
        <w:tc>
          <w:tcPr>
            <w:tcW w:type="dxa" w:w="37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ERC-7579 portability across all compliant accounts. Multi-facilitator support. Infrastructure-swappable by design.</w:t>
            </w:r>
          </w:p>
        </w:tc>
      </w:tr>
      <w:tr>
        <w:tc>
          <w:tcPr>
            <w:tcW w:type="dxa" w:w="18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x402 adoption</w:t>
            </w:r>
          </w:p>
        </w:tc>
        <w:tc>
          <w:tcPr>
            <w:tcW w:type="dxa" w:w="378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x402 grows slower than expected or a competing standard wins.</w:t>
            </w:r>
          </w:p>
        </w:tc>
        <w:tc>
          <w:tcPr>
            <w:tcW w:type="dxa" w:w="378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x402 is additive, not existential. Core wallet + agent features are valuable without it. We can adapt to alternative payment protocols.</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Security</w:t>
            </w:r>
          </w:p>
        </w:tc>
        <w:tc>
          <w:tcPr>
            <w:tcW w:type="dxa" w:w="37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Module vulnerability leads to fund loss.</w:t>
            </w:r>
          </w:p>
        </w:tc>
        <w:tc>
          <w:tcPr>
            <w:tcW w:type="dxa" w:w="37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Multiple audits, bug bounty, formal verification of policy logic, gradual rollout with value caps.</w:t>
            </w:r>
          </w:p>
        </w:tc>
      </w:tr>
      <w:tr>
        <w:tc>
          <w:tcPr>
            <w:tcW w:type="dxa" w:w="180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Competition</w:t>
            </w:r>
          </w:p>
        </w:tc>
        <w:tc>
          <w:tcPr>
            <w:tcW w:type="dxa" w:w="378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Infrastructure players add agent and x402 features.</w:t>
            </w:r>
          </w:p>
        </w:tc>
        <w:tc>
          <w:tcPr>
            <w:tcW w:type="dxa" w:w="3780"/>
            <w:tcBorders>
              <w:top w:val="single" w:color="D4D4D8" w:sz="1"/>
              <w:left w:val="single" w:color="D4D4D8" w:sz="1"/>
              <w:bottom w:val="single" w:color="D4D4D8" w:sz="1"/>
              <w:right w:val="single" w:color="D4D4D8" w:sz="1"/>
            </w:tcBorders>
            <w:shd w:fill="F8F7FC" w:val="clear"/>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Speed advantage, deep policy engine IP, developer relationships, switching costs compound with integration depth.</w:t>
            </w:r>
          </w:p>
        </w:tc>
      </w:tr>
      <w:tr>
        <w:tc>
          <w:tcPr>
            <w:tcW w:type="dxa" w:w="180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b/>
                <w:bCs/>
                <w:color w:val="1E1E2E"/>
                <w:sz w:val="19"/>
                <w:szCs w:val="19"/>
              </w:rPr>
              <w:t xml:space="preserve">Regulatory</w:t>
            </w:r>
          </w:p>
        </w:tc>
        <w:tc>
          <w:tcPr>
            <w:tcW w:type="dxa" w:w="37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New rules around DeFi, stablecoins, AI agents, or self-custody.</w:t>
            </w:r>
          </w:p>
        </w:tc>
        <w:tc>
          <w:tcPr>
            <w:tcW w:type="dxa" w:w="3780"/>
            <w:tcBorders>
              <w:top w:val="single" w:color="D4D4D8" w:sz="1"/>
              <w:left w:val="single" w:color="D4D4D8" w:sz="1"/>
              <w:bottom w:val="single" w:color="D4D4D8" w:sz="1"/>
              <w:right w:val="single" w:color="D4D4D8" w:sz="1"/>
            </w:tcBorders>
            <w:tcMar>
              <w:top w:type="dxa" w:w="80"/>
              <w:left w:type="dxa" w:w="120"/>
              <w:bottom w:type="dxa" w:w="80"/>
              <w:right w:type="dxa" w:w="120"/>
            </w:tcMar>
            <w:vAlign w:val="center"/>
          </w:tcPr>
          <w:p>
            <w:pPr>
              <w:jc w:val="left"/>
            </w:pPr>
            <w:r>
              <w:rPr>
                <w:rFonts w:ascii="Calibri" w:cs="Calibri" w:eastAsia="Calibri" w:hAnsi="Calibri"/>
                <w:color w:val="1E1E2E"/>
                <w:sz w:val="19"/>
                <w:szCs w:val="19"/>
              </w:rPr>
              <w:t xml:space="preserve">Compliance modules as a feature. USDC is already regulated. Audit trails are built in.</w:t>
            </w:r>
          </w:p>
        </w:tc>
      </w:tr>
    </w:tbl>
    <w:p>
      <w:r>
        <w:br w:type="page"/>
      </w:r>
    </w:p>
    <w:p>
      <w:pPr>
        <w:pStyle w:val="Heading1"/>
        <w:spacing w:before="340" w:after="180"/>
      </w:pPr>
      <w:r>
        <w:rPr>
          <w:rFonts w:ascii="Calibri" w:cs="Calibri" w:eastAsia="Calibri" w:hAnsi="Calibri"/>
          <w:b/>
          <w:bCs/>
          <w:color w:val="2D1B4E"/>
          <w:sz w:val="30"/>
          <w:szCs w:val="30"/>
        </w:rPr>
        <w:t xml:space="preserve">12. Metrics We Track</w:t>
      </w:r>
    </w:p>
    <w:p>
      <w:pPr>
        <w:pStyle w:val="Heading2"/>
        <w:spacing w:before="260" w:after="120"/>
      </w:pPr>
      <w:r>
        <w:rPr>
          <w:rFonts w:ascii="Calibri" w:cs="Calibri" w:eastAsia="Calibri" w:hAnsi="Calibri"/>
          <w:b/>
          <w:bCs/>
          <w:color w:val="6C3FA0"/>
          <w:sz w:val="25"/>
          <w:szCs w:val="25"/>
        </w:rPr>
        <w:t xml:space="preserve">Growth</w:t>
      </w:r>
    </w:p>
    <w:p>
      <w:pPr>
        <w:pStyle w:val="ListParagraph"/>
        <w:numPr>
          <w:ilvl w:val="0"/>
          <w:numId w:val="2"/>
        </w:numPr>
        <w:spacing w:after="60" w:line="276"/>
      </w:pPr>
      <w:r>
        <w:rPr>
          <w:rFonts w:ascii="Calibri" w:cs="Calibri" w:eastAsia="Calibri" w:hAnsi="Calibri"/>
          <w:color w:val="1E1E2E"/>
          <w:sz w:val="21"/>
          <w:szCs w:val="21"/>
        </w:rPr>
        <w:t xml:space="preserve">Active projects, deployed accounts, managed agents (monthly)</w:t>
      </w:r>
    </w:p>
    <w:p>
      <w:pPr>
        <w:pStyle w:val="ListParagraph"/>
        <w:numPr>
          <w:ilvl w:val="0"/>
          <w:numId w:val="2"/>
        </w:numPr>
        <w:spacing w:after="60" w:line="276"/>
      </w:pPr>
      <w:r>
        <w:rPr>
          <w:rFonts w:ascii="Calibri" w:cs="Calibri" w:eastAsia="Calibri" w:hAnsi="Calibri"/>
          <w:color w:val="1E1E2E"/>
          <w:sz w:val="21"/>
          <w:szCs w:val="21"/>
        </w:rPr>
        <w:t xml:space="preserve">Monthly UserOps and x402 payments (volume + value)</w:t>
      </w:r>
    </w:p>
    <w:p>
      <w:pPr>
        <w:pStyle w:val="ListParagraph"/>
        <w:numPr>
          <w:ilvl w:val="0"/>
          <w:numId w:val="2"/>
        </w:numPr>
        <w:spacing w:after="60" w:line="276"/>
      </w:pPr>
      <w:r>
        <w:rPr>
          <w:rFonts w:ascii="Calibri" w:cs="Calibri" w:eastAsia="Calibri" w:hAnsi="Calibri"/>
          <w:color w:val="1E1E2E"/>
          <w:sz w:val="21"/>
          <w:szCs w:val="21"/>
        </w:rPr>
        <w:t xml:space="preserve">Developer sign-ups and free-to-paid conversion</w:t>
      </w:r>
    </w:p>
    <w:p>
      <w:pPr>
        <w:pStyle w:val="Heading2"/>
        <w:spacing w:before="260" w:after="120"/>
      </w:pPr>
      <w:r>
        <w:rPr>
          <w:rFonts w:ascii="Calibri" w:cs="Calibri" w:eastAsia="Calibri" w:hAnsi="Calibri"/>
          <w:b/>
          <w:bCs/>
          <w:color w:val="6C3FA0"/>
          <w:sz w:val="25"/>
          <w:szCs w:val="25"/>
        </w:rPr>
        <w:t xml:space="preserve">Revenue</w:t>
      </w:r>
    </w:p>
    <w:p>
      <w:pPr>
        <w:pStyle w:val="ListParagraph"/>
        <w:numPr>
          <w:ilvl w:val="0"/>
          <w:numId w:val="2"/>
        </w:numPr>
        <w:spacing w:after="60" w:line="276"/>
      </w:pPr>
      <w:r>
        <w:rPr>
          <w:rFonts w:ascii="Calibri" w:cs="Calibri" w:eastAsia="Calibri" w:hAnsi="Calibri"/>
          <w:color w:val="1E1E2E"/>
          <w:sz w:val="21"/>
          <w:szCs w:val="21"/>
        </w:rPr>
        <w:t xml:space="preserve">MRR/ARR, with x402 fee ARR broken out (target: 30%+ of total by Year 3)</w:t>
      </w:r>
    </w:p>
    <w:p>
      <w:pPr>
        <w:pStyle w:val="ListParagraph"/>
        <w:numPr>
          <w:ilvl w:val="0"/>
          <w:numId w:val="2"/>
        </w:numPr>
        <w:spacing w:after="60" w:line="276"/>
      </w:pPr>
      <w:r>
        <w:rPr>
          <w:rFonts w:ascii="Calibri" w:cs="Calibri" w:eastAsia="Calibri" w:hAnsi="Calibri"/>
          <w:color w:val="1E1E2E"/>
          <w:sz w:val="21"/>
          <w:szCs w:val="21"/>
        </w:rPr>
        <w:t xml:space="preserve">Revenue per project, net retention (target: &gt;120%)</w:t>
      </w:r>
    </w:p>
    <w:p>
      <w:pPr>
        <w:pStyle w:val="ListParagraph"/>
        <w:numPr>
          <w:ilvl w:val="0"/>
          <w:numId w:val="2"/>
        </w:numPr>
        <w:spacing w:after="60" w:line="276"/>
      </w:pPr>
      <w:r>
        <w:rPr>
          <w:rFonts w:ascii="Calibri" w:cs="Calibri" w:eastAsia="Calibri" w:hAnsi="Calibri"/>
          <w:color w:val="1E1E2E"/>
          <w:sz w:val="21"/>
          <w:szCs w:val="21"/>
        </w:rPr>
        <w:t xml:space="preserve">Enterprise pipeline and close rate</w:t>
      </w:r>
    </w:p>
    <w:p>
      <w:pPr>
        <w:pStyle w:val="Heading2"/>
        <w:spacing w:before="260" w:after="120"/>
      </w:pPr>
      <w:r>
        <w:rPr>
          <w:rFonts w:ascii="Calibri" w:cs="Calibri" w:eastAsia="Calibri" w:hAnsi="Calibri"/>
          <w:b/>
          <w:bCs/>
          <w:color w:val="6C3FA0"/>
          <w:sz w:val="25"/>
          <w:szCs w:val="25"/>
        </w:rPr>
        <w:t xml:space="preserve">x402 Health</w:t>
      </w:r>
    </w:p>
    <w:p>
      <w:pPr>
        <w:pStyle w:val="ListParagraph"/>
        <w:numPr>
          <w:ilvl w:val="0"/>
          <w:numId w:val="2"/>
        </w:numPr>
        <w:spacing w:after="60" w:line="276"/>
      </w:pPr>
      <w:r>
        <w:rPr>
          <w:rFonts w:ascii="Calibri" w:cs="Calibri" w:eastAsia="Calibri" w:hAnsi="Calibri"/>
          <w:color w:val="1E1E2E"/>
          <w:sz w:val="21"/>
          <w:szCs w:val="21"/>
        </w:rPr>
        <w:t xml:space="preserve">Payment success rate (target: &gt;99.5%)</w:t>
      </w:r>
    </w:p>
    <w:p>
      <w:pPr>
        <w:pStyle w:val="ListParagraph"/>
        <w:numPr>
          <w:ilvl w:val="0"/>
          <w:numId w:val="2"/>
        </w:numPr>
        <w:spacing w:after="60" w:line="276"/>
      </w:pPr>
      <w:r>
        <w:rPr>
          <w:rFonts w:ascii="Calibri" w:cs="Calibri" w:eastAsia="Calibri" w:hAnsi="Calibri"/>
          <w:color w:val="1E1E2E"/>
          <w:sz w:val="21"/>
          <w:szCs w:val="21"/>
        </w:rPr>
        <w:t xml:space="preserve">Signing latency (402 intercept to settlement)</w:t>
      </w:r>
    </w:p>
    <w:p>
      <w:pPr>
        <w:pStyle w:val="ListParagraph"/>
        <w:numPr>
          <w:ilvl w:val="0"/>
          <w:numId w:val="2"/>
        </w:numPr>
        <w:spacing w:after="60" w:line="276"/>
      </w:pPr>
      <w:r>
        <w:rPr>
          <w:rFonts w:ascii="Calibri" w:cs="Calibri" w:eastAsia="Calibri" w:hAnsi="Calibri"/>
          <w:color w:val="1E1E2E"/>
          <w:sz w:val="21"/>
          <w:szCs w:val="21"/>
        </w:rPr>
        <w:t xml:space="preserve">Policy block rate (payments stopped by guardrails)</w:t>
      </w:r>
    </w:p>
    <w:p>
      <w:pPr>
        <w:pStyle w:val="ListParagraph"/>
        <w:numPr>
          <w:ilvl w:val="0"/>
          <w:numId w:val="2"/>
        </w:numPr>
        <w:spacing w:after="60" w:line="276"/>
      </w:pPr>
      <w:r>
        <w:rPr>
          <w:rFonts w:ascii="Calibri" w:cs="Calibri" w:eastAsia="Calibri" w:hAnsi="Calibri"/>
          <w:color w:val="1E1E2E"/>
          <w:sz w:val="21"/>
          <w:szCs w:val="21"/>
        </w:rPr>
        <w:t xml:space="preserve">Domain coverage (unique x402 providers our agents pay through)</w:t>
      </w:r>
    </w:p>
    <w:p>
      <w:pPr>
        <w:pStyle w:val="Heading2"/>
        <w:spacing w:before="260" w:after="120"/>
      </w:pPr>
      <w:r>
        <w:rPr>
          <w:rFonts w:ascii="Calibri" w:cs="Calibri" w:eastAsia="Calibri" w:hAnsi="Calibri"/>
          <w:b/>
          <w:bCs/>
          <w:color w:val="6C3FA0"/>
          <w:sz w:val="25"/>
          <w:szCs w:val="25"/>
        </w:rPr>
        <w:t xml:space="preserve">Product</w:t>
      </w:r>
    </w:p>
    <w:p>
      <w:pPr>
        <w:pStyle w:val="ListParagraph"/>
        <w:numPr>
          <w:ilvl w:val="0"/>
          <w:numId w:val="2"/>
        </w:numPr>
        <w:spacing w:after="60" w:line="276"/>
      </w:pPr>
      <w:r>
        <w:rPr>
          <w:rFonts w:ascii="Calibri" w:cs="Calibri" w:eastAsia="Calibri" w:hAnsi="Calibri"/>
          <w:color w:val="1E1E2E"/>
          <w:sz w:val="21"/>
          <w:szCs w:val="21"/>
        </w:rPr>
        <w:t xml:space="preserve">Time to first transaction and first x402 payment</w:t>
      </w:r>
    </w:p>
    <w:p>
      <w:pPr>
        <w:pStyle w:val="ListParagraph"/>
        <w:numPr>
          <w:ilvl w:val="0"/>
          <w:numId w:val="2"/>
        </w:numPr>
        <w:spacing w:after="60" w:line="276"/>
      </w:pPr>
      <w:r>
        <w:rPr>
          <w:rFonts w:ascii="Calibri" w:cs="Calibri" w:eastAsia="Calibri" w:hAnsi="Calibri"/>
          <w:color w:val="1E1E2E"/>
          <w:sz w:val="21"/>
          <w:szCs w:val="21"/>
        </w:rPr>
        <w:t xml:space="preserve">Integration time (target: &lt;30 min to working agent with payments)</w:t>
      </w:r>
    </w:p>
    <w:p>
      <w:pPr>
        <w:pStyle w:val="ListParagraph"/>
        <w:numPr>
          <w:ilvl w:val="0"/>
          <w:numId w:val="2"/>
        </w:numPr>
        <w:spacing w:after="60" w:line="276"/>
      </w:pPr>
      <w:r>
        <w:rPr>
          <w:rFonts w:ascii="Calibri" w:cs="Calibri" w:eastAsia="Calibri" w:hAnsi="Calibri"/>
          <w:color w:val="1E1E2E"/>
          <w:sz w:val="21"/>
          <w:szCs w:val="21"/>
        </w:rPr>
        <w:t xml:space="preserve">Infra uptime, developer NPS</w:t>
      </w:r>
    </w:p>
    <w:p>
      <w:pPr>
        <w:spacing w:after="60"/>
      </w:pPr>
    </w:p>
    <w:p>
      <w:pPr>
        <w:spacing w:after="60"/>
      </w:pPr>
    </w:p>
    <w:p>
      <w:pPr>
        <w:pBdr>
          <w:top w:val="single" w:color="8B5CF6" w:sz="3" w:space="12"/>
        </w:pBdr>
        <w:spacing w:before="300" w:after="160"/>
        <w:jc w:val="center"/>
      </w:pPr>
    </w:p>
    <w:p>
      <w:pPr>
        <w:spacing w:after="80"/>
        <w:jc w:val="center"/>
      </w:pPr>
      <w:r>
        <w:rPr>
          <w:rFonts w:ascii="Calibri" w:cs="Calibri" w:eastAsia="Calibri" w:hAnsi="Calibri"/>
          <w:b/>
          <w:bCs/>
          <w:color w:val="2D1B4E"/>
          <w:sz w:val="28"/>
          <w:szCs w:val="28"/>
        </w:rPr>
        <w:t xml:space="preserve">Let’s Talk</w:t>
      </w:r>
    </w:p>
    <w:p>
      <w:pPr>
        <w:spacing w:after="60"/>
        <w:jc w:val="center"/>
      </w:pPr>
      <w:r>
        <w:rPr>
          <w:rFonts w:ascii="Calibri" w:cs="Calibri" w:eastAsia="Calibri" w:hAnsi="Calibri"/>
          <w:color w:val="1E1E2E"/>
          <w:sz w:val="21"/>
          <w:szCs w:val="21"/>
        </w:rPr>
        <w:t xml:space="preserve">We’re raising $1.5–$2M to build the payment infrastructure for the autonomous agent economy.</w:t>
      </w:r>
    </w:p>
    <w:p>
      <w:pPr>
        <w:spacing w:after="60"/>
        <w:jc w:val="center"/>
      </w:pPr>
      <w:r>
        <w:rPr>
          <w:rFonts w:ascii="Calibri" w:cs="Calibri" w:eastAsia="Calibri" w:hAnsi="Calibri"/>
          <w:color w:val="1E1E2E"/>
          <w:sz w:val="21"/>
          <w:szCs w:val="21"/>
        </w:rPr>
        <w:t xml:space="preserve">Three trends are converging: account abstraction, AI agents, and internet-native payments.</w:t>
      </w:r>
    </w:p>
    <w:p>
      <w:pPr>
        <w:spacing w:after="60"/>
        <w:jc w:val="center"/>
      </w:pPr>
      <w:r>
        <w:rPr>
          <w:rFonts w:ascii="Calibri" w:cs="Calibri" w:eastAsia="Calibri" w:hAnsi="Calibri"/>
          <w:color w:val="1E1E2E"/>
          <w:sz w:val="21"/>
          <w:szCs w:val="21"/>
        </w:rPr>
        <w:t xml:space="preserve">We’re building at the intersection.</w:t>
      </w:r>
    </w:p>
    <w:p>
      <w:pPr>
        <w:spacing w:after="60"/>
      </w:pPr>
    </w:p>
    <w:p>
      <w:pPr>
        <w:spacing w:after="40"/>
        <w:jc w:val="center"/>
      </w:pPr>
      <w:r>
        <w:rPr>
          <w:rFonts w:ascii="Calibri" w:cs="Calibri" w:eastAsia="Calibri" w:hAnsi="Calibri"/>
          <w:b/>
          <w:bCs/>
          <w:color w:val="2D1B4E"/>
          <w:sz w:val="22"/>
          <w:szCs w:val="22"/>
        </w:rPr>
        <w:t xml:space="preserve">Cătălin “intheloop” Tișcă</w:t>
      </w:r>
    </w:p>
    <w:p>
      <w:pPr>
        <w:spacing w:after="40"/>
        <w:jc w:val="center"/>
      </w:pPr>
      <w:r>
        <w:rPr>
          <w:rFonts w:ascii="Calibri" w:cs="Calibri" w:eastAsia="Calibri" w:hAnsi="Calibri"/>
          <w:color w:val="555566"/>
          <w:sz w:val="19"/>
          <w:szCs w:val="19"/>
        </w:rPr>
        <w:t xml:space="preserve">21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66"/>
        <w:sz w:val="17"/>
        <w:szCs w:val="17"/>
      </w:rPr>
      <w:t xml:space="preserve">Confidential  ·  Page </w:t>
    </w:r>
    <w:r>
      <w:rPr>
        <w:rFonts w:ascii="Calibri" w:cs="Calibri" w:eastAsia="Calibri" w:hAnsi="Calibri"/>
        <w:color w:val="5555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5CF6" w:sz="2" w:space="4"/>
      </w:pBdr>
      <w:tabs>
        <w:tab w:val="right" w:pos="9026"/>
      </w:tabs>
    </w:pPr>
    <w:r>
      <w:rPr>
        <w:rFonts w:ascii="Calibri" w:cs="Calibri" w:eastAsia="Calibri" w:hAnsi="Calibri"/>
        <w:color w:val="555566"/>
        <w:sz w:val="17"/>
        <w:szCs w:val="17"/>
      </w:rPr>
      <w:t xml:space="preserve">C. Tișcă</w:t>
    </w:r>
    <w:r>
      <w:rPr>
        <w:rFonts w:ascii="Calibri" w:cs="Calibri" w:eastAsia="Calibri" w:hAnsi="Calibri"/>
        <w:color w:val="555566"/>
        <w:sz w:val="17"/>
        <w:szCs w:val="17"/>
      </w:rPr>
      <w:t xml:space="preserve">	Agent Wallet + x402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2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80"/>
      <w:outlineLvl w:val="0"/>
    </w:pPr>
    <w:rPr>
      <w:rFonts w:ascii="Calibri" w:cs="Calibri" w:eastAsia="Calibri" w:hAnsi="Calibri"/>
      <w:b/>
      <w:bCs/>
      <w:color w:val="2D1B4E"/>
      <w:sz w:val="30"/>
      <w:szCs w:val="30"/>
    </w:rPr>
  </w:style>
  <w:style w:type="paragraph" w:styleId="Heading2">
    <w:name w:val="Heading 2"/>
    <w:basedOn w:val="Normal"/>
    <w:next w:val="Normal"/>
    <w:qFormat/>
    <w:pPr>
      <w:spacing w:before="260" w:after="120"/>
      <w:outlineLvl w:val="1"/>
    </w:pPr>
    <w:rPr>
      <w:rFonts w:ascii="Calibri" w:cs="Calibri" w:eastAsia="Calibri" w:hAnsi="Calibri"/>
      <w:b/>
      <w:bCs/>
      <w:color w:val="6C3FA0"/>
      <w:sz w:val="25"/>
      <w:szCs w:val="25"/>
    </w:rPr>
  </w:style>
  <w:style w:type="paragraph" w:styleId="Heading3">
    <w:name w:val="Heading 3"/>
    <w:basedOn w:val="Normal"/>
    <w:next w:val="Normal"/>
    <w:qFormat/>
    <w:pPr>
      <w:spacing w:before="180" w:after="80"/>
      <w:outlineLvl w:val="2"/>
    </w:pPr>
    <w:rPr>
      <w:rFonts w:ascii="Calibri" w:cs="Calibri" w:eastAsia="Calibri" w:hAnsi="Calibri"/>
      <w:b/>
      <w:bCs/>
      <w:color w:val="2D1B4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2026-02-21T09:52:46.694Z</dcterms:created>
  <dcterms:modified xsi:type="dcterms:W3CDTF">2026-02-21T09:52:46.695Z</dcterms:modified>
</cp:coreProperties>
</file>

<file path=docProps/custom.xml><?xml version="1.0" encoding="utf-8"?>
<Properties xmlns="http://schemas.openxmlformats.org/officeDocument/2006/custom-properties" xmlns:vt="http://schemas.openxmlformats.org/officeDocument/2006/docPropsVTypes"/>
</file>