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spacing w:after="60"/>
        <w:jc w:val="center"/>
      </w:pPr>
      <w:r>
        <w:rPr>
          <w:rFonts w:ascii="Calibri" w:cs="Calibri" w:eastAsia="Calibri" w:hAnsi="Calibri"/>
          <w:color w:val="8B5CF6"/>
          <w:sz w:val="96"/>
          <w:szCs w:val="96"/>
        </w:rPr>
        <w:t xml:space="preserve">○</w:t>
      </w:r>
    </w:p>
    <w:p>
      <w:pPr>
        <w:spacing w:after="60"/>
      </w:pPr>
    </w:p>
    <w:p>
      <w:pPr>
        <w:spacing w:after="40"/>
        <w:jc w:val="center"/>
      </w:pPr>
      <w:r>
        <w:rPr>
          <w:rFonts w:ascii="Calibri" w:cs="Calibri" w:eastAsia="Calibri" w:hAnsi="Calibri"/>
          <w:b/>
          <w:bCs/>
          <w:color w:val="2D1B4E"/>
          <w:sz w:val="52"/>
          <w:szCs w:val="52"/>
        </w:rPr>
        <w:t xml:space="preserve">sigloop</w:t>
      </w:r>
    </w:p>
    <w:p>
      <w:pPr>
        <w:spacing w:after="60"/>
      </w:pPr>
    </w:p>
    <w:p>
      <w:pPr>
        <w:pBdr>
          <w:bottom w:val="single" w:color="8B5CF6" w:sz="3" w:space="10"/>
        </w:pBdr>
        <w:spacing w:after="60"/>
        <w:jc w:val="center"/>
      </w:pPr>
    </w:p>
    <w:p>
      <w:pPr>
        <w:spacing w:after="60"/>
      </w:pPr>
    </w:p>
    <w:p>
      <w:pPr>
        <w:spacing w:after="40"/>
        <w:jc w:val="center"/>
      </w:pPr>
      <w:r>
        <w:rPr>
          <w:rFonts w:ascii="Calibri" w:cs="Calibri" w:eastAsia="Calibri" w:hAnsi="Calibri"/>
          <w:color w:val="6C3FA0"/>
          <w:sz w:val="28"/>
          <w:szCs w:val="28"/>
        </w:rPr>
        <w:t xml:space="preserve">Project Description</w:t>
      </w:r>
    </w:p>
    <w:p>
      <w:pPr>
        <w:spacing w:after="60"/>
      </w:pPr>
    </w:p>
    <w:p>
      <w:pPr>
        <w:spacing w:after="60"/>
      </w:pPr>
    </w:p>
    <w:p>
      <w:pPr>
        <w:spacing w:after="30"/>
        <w:jc w:val="center"/>
      </w:pPr>
      <w:r>
        <w:rPr>
          <w:rFonts w:ascii="Calibri" w:cs="Calibri" w:eastAsia="Calibri" w:hAnsi="Calibri"/>
          <w:i/>
          <w:iCs/>
          <w:color w:val="555566"/>
          <w:sz w:val="24"/>
          <w:szCs w:val="24"/>
        </w:rPr>
        <w:t xml:space="preserve">Wallets for agents that pay.</w:t>
      </w:r>
    </w:p>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spacing w:after="30"/>
        <w:jc w:val="center"/>
      </w:pPr>
      <w:r>
        <w:rPr>
          <w:rFonts w:ascii="Calibri" w:cs="Calibri" w:eastAsia="Calibri" w:hAnsi="Calibri"/>
          <w:b/>
          <w:bCs/>
          <w:color w:val="2D1B4E"/>
          <w:sz w:val="22"/>
          <w:szCs w:val="22"/>
        </w:rPr>
        <w:t xml:space="preserve">Cătălin “intheloop” Tișcă</w:t>
      </w:r>
    </w:p>
    <w:p>
      <w:pPr>
        <w:spacing w:after="30"/>
        <w:jc w:val="center"/>
      </w:pPr>
      <w:r>
        <w:rPr>
          <w:rFonts w:ascii="Calibri" w:cs="Calibri" w:eastAsia="Calibri" w:hAnsi="Calibri"/>
          <w:color w:val="555566"/>
          <w:sz w:val="19"/>
          <w:szCs w:val="19"/>
        </w:rPr>
        <w:t xml:space="preserve">21 February 2026</w:t>
      </w:r>
    </w:p>
    <w:p>
      <w:r>
        <w:br w:type="page"/>
      </w:r>
    </w:p>
    <w:p>
      <w:pPr>
        <w:sectPr>
          <w:pgSz w:w="12240" w:h="15840" w:orient="portrait"/>
          <w:pgMar w:top="1440" w:right="1440" w:bottom="1440" w:left="1440" w:header="708" w:footer="708" w:gutter="0"/>
          <w:pgNumType/>
          <w:docGrid w:linePitch="360"/>
        </w:sectPr>
      </w:pPr>
    </w:p>
    <w:p>
      <w:pPr>
        <w:pStyle w:val="Heading1"/>
        <w:spacing w:before="340" w:after="160"/>
      </w:pPr>
      <w:r>
        <w:rPr>
          <w:rFonts w:ascii="Calibri" w:cs="Calibri" w:eastAsia="Calibri" w:hAnsi="Calibri"/>
          <w:b/>
          <w:bCs/>
          <w:color w:val="2D1B4E"/>
          <w:sz w:val="30"/>
          <w:szCs w:val="30"/>
        </w:rPr>
        <w:t xml:space="preserve">What Is Sigloop</w:t>
      </w:r>
    </w:p>
    <w:p>
      <w:pPr>
        <w:spacing w:after="140" w:line="276"/>
      </w:pPr>
      <w:r>
        <w:rPr>
          <w:rFonts w:ascii="Calibri" w:cs="Calibri" w:eastAsia="Calibri" w:hAnsi="Calibri"/>
          <w:color w:val="1E1E2E"/>
          <w:sz w:val="21"/>
          <w:szCs w:val="21"/>
        </w:rPr>
        <w:t xml:space="preserve">Sigloop is a wallet abstraction platform for AI agents. We sit on top of ZeroDev Kernel (the leading ERC-4337 smart account) and provide the SDK, policy engine, and service layer that lets developers give their agents secure, scoped access to on-chain transactions and x402 internet payments.</w:t>
      </w:r>
    </w:p>
    <w:p>
      <w:pPr>
        <w:spacing w:after="140" w:line="276"/>
      </w:pPr>
      <w:r>
        <w:rPr>
          <w:rFonts w:ascii="Calibri" w:cs="Calibri" w:eastAsia="Calibri" w:hAnsi="Calibri"/>
          <w:color w:val="1E1E2E"/>
          <w:sz w:val="21"/>
          <w:szCs w:val="21"/>
        </w:rPr>
        <w:t xml:space="preserve">If ZeroDev is the engine, Sigloop is the car. Developers plug in our SDK and get wallet creation, agent provisioning, permission management, x402 payment automation, social recovery, chain abstraction, and DeFi primitives. No need to wire together bundlers, paymasters, EntryPoints, or facilitators.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5CF6" w:sz="1"/>
              <w:left w:val="single" w:color="8B5CF6" w:sz="6"/>
              <w:bottom w:val="single" w:color="8B5CF6" w:sz="1"/>
              <w:right w:val="single" w:color="8B5CF6" w:sz="1"/>
            </w:tcBorders>
            <w:shd w:fill="EDE9FE" w:val="clear"/>
            <w:tcMar>
              <w:top w:type="dxa" w:w="100"/>
              <w:left w:type="dxa" w:w="180"/>
              <w:bottom w:type="dxa" w:w="100"/>
              <w:right w:type="dxa" w:w="180"/>
            </w:tcMar>
          </w:tcPr>
          <w:p>
            <w:pPr>
              <w:spacing w:after="60"/>
            </w:pPr>
            <w:r>
              <w:rPr>
                <w:rFonts w:ascii="Calibri" w:cs="Calibri" w:eastAsia="Calibri" w:hAnsi="Calibri"/>
                <w:b/>
                <w:bCs/>
                <w:color w:val="2D1B4E"/>
                <w:sz w:val="21"/>
                <w:szCs w:val="21"/>
              </w:rPr>
              <w:t xml:space="preserve">One-Liner</w:t>
            </w:r>
          </w:p>
          <w:p>
            <w:pPr>
              <w:spacing w:after="0"/>
            </w:pPr>
            <w:r>
              <w:rPr>
                <w:rFonts w:ascii="Calibri" w:cs="Calibri" w:eastAsia="Calibri" w:hAnsi="Calibri"/>
                <w:color w:val="1E1E2E"/>
                <w:sz w:val="20"/>
                <w:szCs w:val="20"/>
              </w:rPr>
              <w:t xml:space="preserve">Sigloop lets AI agents hold money and pay for things on the internet, within rules their owners set.</w:t>
            </w:r>
          </w:p>
        </w:tc>
      </w:tr>
    </w:tbl>
    <w:p>
      <w:pPr>
        <w:spacing w:after="60"/>
      </w:pPr>
    </w:p>
    <w:p>
      <w:pPr>
        <w:pBdr>
          <w:bottom w:val="single" w:color="8B5CF6" w:sz="2" w:space="8"/>
        </w:pBdr>
        <w:spacing w:before="200" w:after="200"/>
      </w:pPr>
    </w:p>
    <w:p>
      <w:pPr>
        <w:pStyle w:val="Heading1"/>
        <w:spacing w:before="340" w:after="160"/>
      </w:pPr>
      <w:r>
        <w:rPr>
          <w:rFonts w:ascii="Calibri" w:cs="Calibri" w:eastAsia="Calibri" w:hAnsi="Calibri"/>
          <w:b/>
          <w:bCs/>
          <w:color w:val="2D1B4E"/>
          <w:sz w:val="30"/>
          <w:szCs w:val="30"/>
        </w:rPr>
        <w:t xml:space="preserve">Why This Exists</w:t>
      </w:r>
    </w:p>
    <w:p>
      <w:pPr>
        <w:pStyle w:val="Heading2"/>
        <w:spacing w:before="260" w:after="120"/>
      </w:pPr>
      <w:r>
        <w:rPr>
          <w:rFonts w:ascii="Calibri" w:cs="Calibri" w:eastAsia="Calibri" w:hAnsi="Calibri"/>
          <w:b/>
          <w:bCs/>
          <w:color w:val="6C3FA0"/>
          <w:sz w:val="25"/>
          <w:szCs w:val="25"/>
        </w:rPr>
        <w:t xml:space="preserve">Agents can’t safely hold money</w:t>
      </w:r>
    </w:p>
    <w:p>
      <w:pPr>
        <w:spacing w:after="140" w:line="276"/>
      </w:pPr>
      <w:r>
        <w:rPr>
          <w:rFonts w:ascii="Calibri" w:cs="Calibri" w:eastAsia="Calibri" w:hAnsi="Calibri"/>
          <w:color w:val="1E1E2E"/>
          <w:sz w:val="21"/>
          <w:szCs w:val="21"/>
        </w:rPr>
        <w:t xml:space="preserve">Right now, giving an AI agent blockchain access means handing it a private key with total control over the wallet. If the agent malfunctions or gets compromised, everything is gone. There’s no way to say “you can spend up to $500/day on Uniswap and nothing else.”</w:t>
      </w:r>
    </w:p>
    <w:p>
      <w:pPr>
        <w:pStyle w:val="Heading2"/>
        <w:spacing w:before="260" w:after="120"/>
      </w:pPr>
      <w:r>
        <w:rPr>
          <w:rFonts w:ascii="Calibri" w:cs="Calibri" w:eastAsia="Calibri" w:hAnsi="Calibri"/>
          <w:b/>
          <w:bCs/>
          <w:color w:val="6C3FA0"/>
          <w:sz w:val="25"/>
          <w:szCs w:val="25"/>
        </w:rPr>
        <w:t xml:space="preserve">x402 has no wallet layer</w:t>
      </w:r>
    </w:p>
    <w:p>
      <w:pPr>
        <w:spacing w:after="140" w:line="276"/>
      </w:pPr>
      <w:r>
        <w:rPr>
          <w:rFonts w:ascii="Calibri" w:cs="Calibri" w:eastAsia="Calibri" w:hAnsi="Calibri"/>
          <w:color w:val="1E1E2E"/>
          <w:sz w:val="21"/>
          <w:szCs w:val="21"/>
        </w:rPr>
        <w:t xml:space="preserve">Coinbase’s x402 protocol lets any API charge per request via HTTP 402. An agent calls an API, gets a 402 response with a price, signs a stablecoin payment, and gets the data. But x402 assumes the agent already has a wallet, budget controls, domain restrictions, and audit trails. Nobody provides that.</w:t>
      </w:r>
    </w:p>
    <w:p>
      <w:pPr>
        <w:pStyle w:val="Heading2"/>
        <w:spacing w:before="260" w:after="120"/>
      </w:pPr>
      <w:r>
        <w:rPr>
          <w:rFonts w:ascii="Calibri" w:cs="Calibri" w:eastAsia="Calibri" w:hAnsi="Calibri"/>
          <w:b/>
          <w:bCs/>
          <w:color w:val="6C3FA0"/>
          <w:sz w:val="25"/>
          <w:szCs w:val="25"/>
        </w:rPr>
        <w:t xml:space="preserve">Integration is painful</w:t>
      </w:r>
    </w:p>
    <w:p>
      <w:pPr>
        <w:spacing w:after="140" w:line="276"/>
      </w:pPr>
      <w:r>
        <w:rPr>
          <w:rFonts w:ascii="Calibri" w:cs="Calibri" w:eastAsia="Calibri" w:hAnsi="Calibri"/>
          <w:color w:val="1E1E2E"/>
          <w:sz w:val="21"/>
          <w:szCs w:val="21"/>
        </w:rPr>
        <w:t xml:space="preserve">Even with existing AA SDKs, building production wallet infrastructure means weeks of plumbing: accounts, validators, bundlers, paymasters, key management. Layer x402 on top and it gets worse.</w:t>
      </w:r>
    </w:p>
    <w:p>
      <w:pPr>
        <w:pBdr>
          <w:bottom w:val="single" w:color="8B5CF6" w:sz="2" w:space="8"/>
        </w:pBdr>
        <w:spacing w:before="200" w:after="200"/>
      </w:pPr>
    </w:p>
    <w:p>
      <w:pPr>
        <w:pStyle w:val="Heading1"/>
        <w:spacing w:before="340" w:after="160"/>
      </w:pPr>
      <w:r>
        <w:rPr>
          <w:rFonts w:ascii="Calibri" w:cs="Calibri" w:eastAsia="Calibri" w:hAnsi="Calibri"/>
          <w:b/>
          <w:bCs/>
          <w:color w:val="2D1B4E"/>
          <w:sz w:val="30"/>
          <w:szCs w:val="30"/>
        </w:rPr>
        <w:t xml:space="preserve">How It Works</w:t>
      </w:r>
    </w:p>
    <w:p>
      <w:pPr>
        <w:spacing w:after="140" w:line="276"/>
      </w:pPr>
      <w:r>
        <w:rPr>
          <w:rFonts w:ascii="Calibri" w:cs="Calibri" w:eastAsia="Calibri" w:hAnsi="Calibri"/>
          <w:color w:val="1E1E2E"/>
          <w:sz w:val="21"/>
          <w:szCs w:val="21"/>
        </w:rPr>
        <w:t xml:space="preserve">Sigloop wraps ERC-4337 smart accounts in an opinionated SDK with built-in agent management and x402 payment automation.</w:t>
      </w:r>
    </w:p>
    <w:p>
      <w:pPr>
        <w:pStyle w:val="Heading2"/>
        <w:spacing w:before="260" w:after="120"/>
      </w:pPr>
      <w:r>
        <w:rPr>
          <w:rFonts w:ascii="Calibri" w:cs="Calibri" w:eastAsia="Calibri" w:hAnsi="Calibri"/>
          <w:b/>
          <w:bCs/>
          <w:color w:val="6C3FA0"/>
          <w:sz w:val="25"/>
          <w:szCs w:val="25"/>
        </w:rPr>
        <w:t xml:space="preserve">The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4D4D8" w:sz="1"/>
              <w:left w:val="single" w:color="D4D4D8" w:sz="1"/>
              <w:bottom w:val="single" w:color="D4D4D8" w:sz="1"/>
              <w:right w:val="single" w:color="D4D4D8" w:sz="1"/>
            </w:tcBorders>
            <w:shd w:fill="2D1B4E"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Layer</w:t>
            </w:r>
          </w:p>
        </w:tc>
        <w:tc>
          <w:tcPr>
            <w:tcW w:type="dxa" w:w="6760"/>
            <w:tcBorders>
              <w:top w:val="single" w:color="D4D4D8" w:sz="1"/>
              <w:left w:val="single" w:color="D4D4D8" w:sz="1"/>
              <w:bottom w:val="single" w:color="D4D4D8" w:sz="1"/>
              <w:right w:val="single" w:color="D4D4D8" w:sz="1"/>
            </w:tcBorders>
            <w:shd w:fill="2D1B4E"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What It Does</w:t>
            </w:r>
          </w:p>
        </w:tc>
      </w:tr>
      <w:tr>
        <w:tc>
          <w:tcPr>
            <w:tcW w:type="dxa" w:w="2600"/>
            <w:tcBorders>
              <w:top w:val="single" w:color="D4D4D8" w:sz="1"/>
              <w:left w:val="single" w:color="D4D4D8" w:sz="1"/>
              <w:bottom w:val="single" w:color="D4D4D8" w:sz="1"/>
              <w:right w:val="single" w:color="D4D4D8" w:sz="1"/>
            </w:tcBorders>
            <w:shd w:fill="F8F7FC" w:val="clear"/>
            <w:tcMar>
              <w:top w:type="dxa" w:w="80"/>
              <w:left w:type="dxa" w:w="120"/>
              <w:bottom w:type="dxa" w:w="80"/>
              <w:right w:type="dxa" w:w="120"/>
            </w:tcMar>
            <w:vAlign w:val="center"/>
          </w:tcPr>
          <w:p>
            <w:pPr>
              <w:jc w:val="left"/>
            </w:pPr>
            <w:r>
              <w:rPr>
                <w:rFonts w:ascii="Calibri" w:cs="Calibri" w:eastAsia="Calibri" w:hAnsi="Calibri"/>
                <w:b/>
                <w:bCs/>
                <w:color w:val="1E1E2E"/>
                <w:sz w:val="19"/>
                <w:szCs w:val="19"/>
              </w:rPr>
              <w:t xml:space="preserve">SDK</w:t>
            </w:r>
          </w:p>
        </w:tc>
        <w:tc>
          <w:tcPr>
            <w:tcW w:type="dxa" w:w="6760"/>
            <w:tcBorders>
              <w:top w:val="single" w:color="D4D4D8" w:sz="1"/>
              <w:left w:val="single" w:color="D4D4D8" w:sz="1"/>
              <w:bottom w:val="single" w:color="D4D4D8" w:sz="1"/>
              <w:right w:val="single" w:color="D4D4D8" w:sz="1"/>
            </w:tcBorders>
            <w:shd w:fill="F8F7FC" w:val="clear"/>
            <w:tcMar>
              <w:top w:type="dxa" w:w="80"/>
              <w:left w:type="dxa" w:w="120"/>
              <w:bottom w:type="dxa" w:w="80"/>
              <w:right w:type="dxa" w:w="120"/>
            </w:tcMar>
            <w:vAlign w:val="center"/>
          </w:tcPr>
          <w:p>
            <w:pPr>
              <w:jc w:val="left"/>
            </w:pPr>
            <w:r>
              <w:rPr>
                <w:rFonts w:ascii="Calibri" w:cs="Calibri" w:eastAsia="Calibri" w:hAnsi="Calibri"/>
                <w:color w:val="1E1E2E"/>
                <w:sz w:val="19"/>
                <w:szCs w:val="19"/>
              </w:rPr>
              <w:t xml:space="preserve">TypeScript + Go. Wallet creation, agent management, transaction execution, x402 auto-payment. Abstracts all ERC-4337 details.</w:t>
            </w:r>
          </w:p>
        </w:tc>
      </w:tr>
      <w:tr>
        <w:tc>
          <w:tcPr>
            <w:tcW w:type="dxa" w:w="2600"/>
            <w:tcBorders>
              <w:top w:val="single" w:color="D4D4D8" w:sz="1"/>
              <w:left w:val="single" w:color="D4D4D8" w:sz="1"/>
              <w:bottom w:val="single" w:color="D4D4D8" w:sz="1"/>
              <w:right w:val="single" w:color="D4D4D8" w:sz="1"/>
            </w:tcBorders>
            <w:tcMar>
              <w:top w:type="dxa" w:w="80"/>
              <w:left w:type="dxa" w:w="120"/>
              <w:bottom w:type="dxa" w:w="80"/>
              <w:right w:type="dxa" w:w="120"/>
            </w:tcMar>
            <w:vAlign w:val="center"/>
          </w:tcPr>
          <w:p>
            <w:pPr>
              <w:jc w:val="left"/>
            </w:pPr>
            <w:r>
              <w:rPr>
                <w:rFonts w:ascii="Calibri" w:cs="Calibri" w:eastAsia="Calibri" w:hAnsi="Calibri"/>
                <w:b/>
                <w:bCs/>
                <w:color w:val="1E1E2E"/>
                <w:sz w:val="19"/>
                <w:szCs w:val="19"/>
              </w:rPr>
              <w:t xml:space="preserve">x402 Middleware</w:t>
            </w:r>
          </w:p>
        </w:tc>
        <w:tc>
          <w:tcPr>
            <w:tcW w:type="dxa" w:w="6760"/>
            <w:tcBorders>
              <w:top w:val="single" w:color="D4D4D8" w:sz="1"/>
              <w:left w:val="single" w:color="D4D4D8" w:sz="1"/>
              <w:bottom w:val="single" w:color="D4D4D8" w:sz="1"/>
              <w:right w:val="single" w:color="D4D4D8" w:sz="1"/>
            </w:tcBorders>
            <w:tcMar>
              <w:top w:type="dxa" w:w="80"/>
              <w:left w:type="dxa" w:w="120"/>
              <w:bottom w:type="dxa" w:w="80"/>
              <w:right w:type="dxa" w:w="120"/>
            </w:tcMar>
            <w:vAlign w:val="center"/>
          </w:tcPr>
          <w:p>
            <w:pPr>
              <w:jc w:val="left"/>
            </w:pPr>
            <w:r>
              <w:rPr>
                <w:rFonts w:ascii="Calibri" w:cs="Calibri" w:eastAsia="Calibri" w:hAnsi="Calibri"/>
                <w:color w:val="1E1E2E"/>
                <w:sz w:val="19"/>
                <w:szCs w:val="19"/>
              </w:rPr>
              <w:t xml:space="preserve">Intercepts HTTP 402 responses, validates against agent policies, signs EIP-3009 authorization via session key, retries with payment header. Zero developer code required.</w:t>
            </w:r>
          </w:p>
        </w:tc>
      </w:tr>
      <w:tr>
        <w:tc>
          <w:tcPr>
            <w:tcW w:type="dxa" w:w="2600"/>
            <w:tcBorders>
              <w:top w:val="single" w:color="D4D4D8" w:sz="1"/>
              <w:left w:val="single" w:color="D4D4D8" w:sz="1"/>
              <w:bottom w:val="single" w:color="D4D4D8" w:sz="1"/>
              <w:right w:val="single" w:color="D4D4D8" w:sz="1"/>
            </w:tcBorders>
            <w:shd w:fill="F8F7FC" w:val="clear"/>
            <w:tcMar>
              <w:top w:type="dxa" w:w="80"/>
              <w:left w:type="dxa" w:w="120"/>
              <w:bottom w:type="dxa" w:w="80"/>
              <w:right w:type="dxa" w:w="120"/>
            </w:tcMar>
            <w:vAlign w:val="center"/>
          </w:tcPr>
          <w:p>
            <w:pPr>
              <w:jc w:val="left"/>
            </w:pPr>
            <w:r>
              <w:rPr>
                <w:rFonts w:ascii="Calibri" w:cs="Calibri" w:eastAsia="Calibri" w:hAnsi="Calibri"/>
                <w:b/>
                <w:bCs/>
                <w:color w:val="1E1E2E"/>
                <w:sz w:val="19"/>
                <w:szCs w:val="19"/>
              </w:rPr>
              <w:t xml:space="preserve">Policy Engine</w:t>
            </w:r>
          </w:p>
        </w:tc>
        <w:tc>
          <w:tcPr>
            <w:tcW w:type="dxa" w:w="6760"/>
            <w:tcBorders>
              <w:top w:val="single" w:color="D4D4D8" w:sz="1"/>
              <w:left w:val="single" w:color="D4D4D8" w:sz="1"/>
              <w:bottom w:val="single" w:color="D4D4D8" w:sz="1"/>
              <w:right w:val="single" w:color="D4D4D8" w:sz="1"/>
            </w:tcBorders>
            <w:shd w:fill="F8F7FC" w:val="clear"/>
            <w:tcMar>
              <w:top w:type="dxa" w:w="80"/>
              <w:left w:type="dxa" w:w="120"/>
              <w:bottom w:type="dxa" w:w="80"/>
              <w:right w:type="dxa" w:w="120"/>
            </w:tcMar>
            <w:vAlign w:val="center"/>
          </w:tcPr>
          <w:p>
            <w:pPr>
              <w:jc w:val="left"/>
            </w:pPr>
            <w:r>
              <w:rPr>
                <w:rFonts w:ascii="Calibri" w:cs="Calibri" w:eastAsia="Calibri" w:hAnsi="Calibri"/>
                <w:color w:val="1E1E2E"/>
                <w:sz w:val="19"/>
                <w:szCs w:val="19"/>
              </w:rPr>
              <w:t xml:space="preserve">Per-request spending caps, contract and domain allowlists, daily budgets, rate limits, function-level scoping, time windows. On-chain hooks with off-chain pre-validation.</w:t>
            </w:r>
          </w:p>
        </w:tc>
      </w:tr>
      <w:tr>
        <w:tc>
          <w:tcPr>
            <w:tcW w:type="dxa" w:w="2600"/>
            <w:tcBorders>
              <w:top w:val="single" w:color="D4D4D8" w:sz="1"/>
              <w:left w:val="single" w:color="D4D4D8" w:sz="1"/>
              <w:bottom w:val="single" w:color="D4D4D8" w:sz="1"/>
              <w:right w:val="single" w:color="D4D4D8" w:sz="1"/>
            </w:tcBorders>
            <w:tcMar>
              <w:top w:type="dxa" w:w="80"/>
              <w:left w:type="dxa" w:w="120"/>
              <w:bottom w:type="dxa" w:w="80"/>
              <w:right w:type="dxa" w:w="120"/>
            </w:tcMar>
            <w:vAlign w:val="center"/>
          </w:tcPr>
          <w:p>
            <w:pPr>
              <w:jc w:val="left"/>
            </w:pPr>
            <w:r>
              <w:rPr>
                <w:rFonts w:ascii="Calibri" w:cs="Calibri" w:eastAsia="Calibri" w:hAnsi="Calibri"/>
                <w:b/>
                <w:bCs/>
                <w:color w:val="1E1E2E"/>
                <w:sz w:val="19"/>
                <w:szCs w:val="19"/>
              </w:rPr>
              <w:t xml:space="preserve">Module Suite</w:t>
            </w:r>
          </w:p>
        </w:tc>
        <w:tc>
          <w:tcPr>
            <w:tcW w:type="dxa" w:w="6760"/>
            <w:tcBorders>
              <w:top w:val="single" w:color="D4D4D8" w:sz="1"/>
              <w:left w:val="single" w:color="D4D4D8" w:sz="1"/>
              <w:bottom w:val="single" w:color="D4D4D8" w:sz="1"/>
              <w:right w:val="single" w:color="D4D4D8" w:sz="1"/>
            </w:tcBorders>
            <w:tcMar>
              <w:top w:type="dxa" w:w="80"/>
              <w:left w:type="dxa" w:w="120"/>
              <w:bottom w:type="dxa" w:w="80"/>
              <w:right w:type="dxa" w:w="120"/>
            </w:tcMar>
            <w:vAlign w:val="center"/>
          </w:tcPr>
          <w:p>
            <w:pPr>
              <w:jc w:val="left"/>
            </w:pPr>
            <w:r>
              <w:rPr>
                <w:rFonts w:ascii="Calibri" w:cs="Calibri" w:eastAsia="Calibri" w:hAnsi="Calibri"/>
                <w:color w:val="1E1E2E"/>
                <w:sz w:val="19"/>
                <w:szCs w:val="19"/>
              </w:rPr>
              <w:t xml:space="preserve">ERC-7579 modules: Agent Permission Manager, x402 Payment Policy, Social Recovery, Chain Abstraction Router, DeFi Action Library, Onboarding Hook.</w:t>
            </w:r>
          </w:p>
        </w:tc>
      </w:tr>
      <w:tr>
        <w:tc>
          <w:tcPr>
            <w:tcW w:type="dxa" w:w="2600"/>
            <w:tcBorders>
              <w:top w:val="single" w:color="D4D4D8" w:sz="1"/>
              <w:left w:val="single" w:color="D4D4D8" w:sz="1"/>
              <w:bottom w:val="single" w:color="D4D4D8" w:sz="1"/>
              <w:right w:val="single" w:color="D4D4D8" w:sz="1"/>
            </w:tcBorders>
            <w:shd w:fill="F8F7FC" w:val="clear"/>
            <w:tcMar>
              <w:top w:type="dxa" w:w="80"/>
              <w:left w:type="dxa" w:w="120"/>
              <w:bottom w:type="dxa" w:w="80"/>
              <w:right w:type="dxa" w:w="120"/>
            </w:tcMar>
            <w:vAlign w:val="center"/>
          </w:tcPr>
          <w:p>
            <w:pPr>
              <w:jc w:val="left"/>
            </w:pPr>
            <w:r>
              <w:rPr>
                <w:rFonts w:ascii="Calibri" w:cs="Calibri" w:eastAsia="Calibri" w:hAnsi="Calibri"/>
                <w:b/>
                <w:bCs/>
                <w:color w:val="1E1E2E"/>
                <w:sz w:val="19"/>
                <w:szCs w:val="19"/>
              </w:rPr>
              <w:t xml:space="preserve">Backend</w:t>
            </w:r>
          </w:p>
        </w:tc>
        <w:tc>
          <w:tcPr>
            <w:tcW w:type="dxa" w:w="6760"/>
            <w:tcBorders>
              <w:top w:val="single" w:color="D4D4D8" w:sz="1"/>
              <w:left w:val="single" w:color="D4D4D8" w:sz="1"/>
              <w:bottom w:val="single" w:color="D4D4D8" w:sz="1"/>
              <w:right w:val="single" w:color="D4D4D8" w:sz="1"/>
            </w:tcBorders>
            <w:shd w:fill="F8F7FC" w:val="clear"/>
            <w:tcMar>
              <w:top w:type="dxa" w:w="80"/>
              <w:left w:type="dxa" w:w="120"/>
              <w:bottom w:type="dxa" w:w="80"/>
              <w:right w:type="dxa" w:w="120"/>
            </w:tcMar>
            <w:vAlign w:val="center"/>
          </w:tcPr>
          <w:p>
            <w:pPr>
              <w:jc w:val="left"/>
            </w:pPr>
            <w:r>
              <w:rPr>
                <w:rFonts w:ascii="Calibri" w:cs="Calibri" w:eastAsia="Calibri" w:hAnsi="Calibri"/>
                <w:color w:val="1E1E2E"/>
                <w:sz w:val="19"/>
                <w:szCs w:val="19"/>
              </w:rPr>
              <w:t xml:space="preserve">Agent registry, key management service, x402 payment ledger, notification service, analytics pipeline.</w:t>
            </w:r>
          </w:p>
        </w:tc>
      </w:tr>
      <w:tr>
        <w:tc>
          <w:tcPr>
            <w:tcW w:type="dxa" w:w="2600"/>
            <w:tcBorders>
              <w:top w:val="single" w:color="D4D4D8" w:sz="1"/>
              <w:left w:val="single" w:color="D4D4D8" w:sz="1"/>
              <w:bottom w:val="single" w:color="D4D4D8" w:sz="1"/>
              <w:right w:val="single" w:color="D4D4D8" w:sz="1"/>
            </w:tcBorders>
            <w:tcMar>
              <w:top w:type="dxa" w:w="80"/>
              <w:left w:type="dxa" w:w="120"/>
              <w:bottom w:type="dxa" w:w="80"/>
              <w:right w:type="dxa" w:w="120"/>
            </w:tcMar>
            <w:vAlign w:val="center"/>
          </w:tcPr>
          <w:p>
            <w:pPr>
              <w:jc w:val="left"/>
            </w:pPr>
            <w:r>
              <w:rPr>
                <w:rFonts w:ascii="Calibri" w:cs="Calibri" w:eastAsia="Calibri" w:hAnsi="Calibri"/>
                <w:b/>
                <w:bCs/>
                <w:color w:val="1E1E2E"/>
                <w:sz w:val="19"/>
                <w:szCs w:val="19"/>
              </w:rPr>
              <w:t xml:space="preserve">Infrastructure</w:t>
            </w:r>
          </w:p>
        </w:tc>
        <w:tc>
          <w:tcPr>
            <w:tcW w:type="dxa" w:w="6760"/>
            <w:tcBorders>
              <w:top w:val="single" w:color="D4D4D8" w:sz="1"/>
              <w:left w:val="single" w:color="D4D4D8" w:sz="1"/>
              <w:bottom w:val="single" w:color="D4D4D8" w:sz="1"/>
              <w:right w:val="single" w:color="D4D4D8" w:sz="1"/>
            </w:tcBorders>
            <w:tcMar>
              <w:top w:type="dxa" w:w="80"/>
              <w:left w:type="dxa" w:w="120"/>
              <w:bottom w:type="dxa" w:w="80"/>
              <w:right w:type="dxa" w:w="120"/>
            </w:tcMar>
            <w:vAlign w:val="center"/>
          </w:tcPr>
          <w:p>
            <w:pPr>
              <w:jc w:val="left"/>
            </w:pPr>
            <w:r>
              <w:rPr>
                <w:rFonts w:ascii="Calibri" w:cs="Calibri" w:eastAsia="Calibri" w:hAnsi="Calibri"/>
                <w:color w:val="1E1E2E"/>
                <w:sz w:val="19"/>
                <w:szCs w:val="19"/>
              </w:rPr>
              <w:t xml:space="preserve">ZeroDev Kernel + bundler + paymaster. Coinbase CDP facilitator. Multi-chain L2 deployment (Base, Arbitrum, and more).</w:t>
            </w:r>
          </w:p>
        </w:tc>
      </w:tr>
    </w:tbl>
    <w:p>
      <w:pPr>
        <w:spacing w:after="60"/>
      </w:pPr>
    </w:p>
    <w:p>
      <w:pPr>
        <w:pStyle w:val="Heading2"/>
        <w:spacing w:before="260" w:after="120"/>
      </w:pPr>
      <w:r>
        <w:rPr>
          <w:rFonts w:ascii="Calibri" w:cs="Calibri" w:eastAsia="Calibri" w:hAnsi="Calibri"/>
          <w:b/>
          <w:bCs/>
          <w:color w:val="6C3FA0"/>
          <w:sz w:val="25"/>
          <w:szCs w:val="25"/>
        </w:rPr>
        <w:t xml:space="preserve">Agent Lifecycle</w:t>
      </w:r>
    </w:p>
    <w:p>
      <w:pPr>
        <w:spacing w:after="140" w:line="276"/>
      </w:pPr>
      <w:r>
        <w:rPr>
          <w:rFonts w:ascii="Calibri" w:cs="Calibri" w:eastAsia="Calibri" w:hAnsi="Calibri"/>
          <w:color w:val="1E1E2E"/>
          <w:sz w:val="21"/>
          <w:szCs w:val="21"/>
        </w:rPr>
        <w:t xml:space="preserve">A developer integrates the SDK. They create a smart wallet (Kernel-based, ERC-4337). They provision an agent by generating a session key with a permission policy: which contracts it can call, how much it can spend, which x402 domains it can pay, when the key expires. The agent runs autonomously within those constraints. The owner monitors everything via the dashboard and can revoke access instantly.</w:t>
      </w:r>
    </w:p>
    <w:p>
      <w:pPr>
        <w:pStyle w:val="Heading2"/>
        <w:spacing w:before="260" w:after="120"/>
      </w:pPr>
      <w:r>
        <w:rPr>
          <w:rFonts w:ascii="Calibri" w:cs="Calibri" w:eastAsia="Calibri" w:hAnsi="Calibri"/>
          <w:b/>
          <w:bCs/>
          <w:color w:val="6C3FA0"/>
          <w:sz w:val="25"/>
          <w:szCs w:val="25"/>
        </w:rPr>
        <w:t xml:space="preserve">x402 Payment Flow</w:t>
      </w:r>
    </w:p>
    <w:p>
      <w:pPr>
        <w:spacing w:after="140" w:line="276"/>
      </w:pPr>
      <w:r>
        <w:rPr>
          <w:rFonts w:ascii="Calibri" w:cs="Calibri" w:eastAsia="Calibri" w:hAnsi="Calibri"/>
          <w:color w:val="1E1E2E"/>
          <w:sz w:val="21"/>
          <w:szCs w:val="21"/>
        </w:rPr>
        <w:t xml:space="preserve">Agent makes an HTTP request to a paid API. The server returns 402 with payment requirements. Our middleware intercepts the response, checks the agent’s policies (amount within cap? domain on allowlist? budget remaining?), signs the EIP-3009 authorization using the session key, and retries the request with the payment header. The facilitator settles on-chain. The agent gets its data. The owner sees the transaction in the dashboard. The developer wrote none of that logic.</w:t>
      </w:r>
    </w:p>
    <w:p>
      <w:pPr>
        <w:pBdr>
          <w:bottom w:val="single" w:color="8B5CF6" w:sz="2" w:space="8"/>
        </w:pBdr>
        <w:spacing w:before="200" w:after="200"/>
      </w:pPr>
    </w:p>
    <w:p>
      <w:pPr>
        <w:pStyle w:val="Heading1"/>
        <w:spacing w:before="340" w:after="160"/>
      </w:pPr>
      <w:r>
        <w:rPr>
          <w:rFonts w:ascii="Calibri" w:cs="Calibri" w:eastAsia="Calibri" w:hAnsi="Calibri"/>
          <w:b/>
          <w:bCs/>
          <w:color w:val="2D1B4E"/>
          <w:sz w:val="30"/>
          <w:szCs w:val="30"/>
        </w:rPr>
        <w:t xml:space="preserve">Core Features</w:t>
      </w:r>
    </w:p>
    <w:p>
      <w:pPr>
        <w:pStyle w:val="Heading2"/>
        <w:spacing w:before="260" w:after="120"/>
      </w:pPr>
      <w:r>
        <w:rPr>
          <w:rFonts w:ascii="Calibri" w:cs="Calibri" w:eastAsia="Calibri" w:hAnsi="Calibri"/>
          <w:b/>
          <w:bCs/>
          <w:color w:val="6C3FA0"/>
          <w:sz w:val="25"/>
          <w:szCs w:val="25"/>
        </w:rPr>
        <w:t xml:space="preserve">Agent Wallets with Scoped Permissions</w:t>
      </w:r>
    </w:p>
    <w:p>
      <w:pPr>
        <w:spacing w:after="140" w:line="276"/>
      </w:pPr>
      <w:r>
        <w:rPr>
          <w:rFonts w:ascii="Calibri" w:cs="Calibri" w:eastAsia="Calibri" w:hAnsi="Calibri"/>
          <w:color w:val="1E1E2E"/>
          <w:sz w:val="21"/>
          <w:szCs w:val="21"/>
        </w:rPr>
        <w:t xml:space="preserve">Session keys with composable permission policies. Each agent gets precisely the access it needs: specific contracts, specific functions, specific tokens, specific time windows. Nothing more. Owners have real-time visibility into every action and can revoke any agent instantly.</w:t>
      </w:r>
    </w:p>
    <w:p>
      <w:pPr>
        <w:pStyle w:val="Heading2"/>
        <w:spacing w:before="260" w:after="120"/>
      </w:pPr>
      <w:r>
        <w:rPr>
          <w:rFonts w:ascii="Calibri" w:cs="Calibri" w:eastAsia="Calibri" w:hAnsi="Calibri"/>
          <w:b/>
          <w:bCs/>
          <w:color w:val="6C3FA0"/>
          <w:sz w:val="25"/>
          <w:szCs w:val="25"/>
        </w:rPr>
        <w:t xml:space="preserve">Native x402 Payment Automation</w:t>
      </w:r>
    </w:p>
    <w:p>
      <w:pPr>
        <w:spacing w:after="140" w:line="276"/>
      </w:pPr>
      <w:r>
        <w:rPr>
          <w:rFonts w:ascii="Calibri" w:cs="Calibri" w:eastAsia="Calibri" w:hAnsi="Calibri"/>
          <w:color w:val="1E1E2E"/>
          <w:sz w:val="21"/>
          <w:szCs w:val="21"/>
        </w:rPr>
        <w:t xml:space="preserve">The first wallet SDK with built-in x402 support. Agents auto-detect 402 responses, validate payments against their budget, sign, and retry. x402-specific policies include per-request caps, domain allowlists, daily/weekly budgets, rate limiting, and cumulative cost tracking with automatic halt when budgets run out.</w:t>
      </w:r>
    </w:p>
    <w:p>
      <w:pPr>
        <w:pStyle w:val="Heading2"/>
        <w:spacing w:before="260" w:after="120"/>
      </w:pPr>
      <w:r>
        <w:rPr>
          <w:rFonts w:ascii="Calibri" w:cs="Calibri" w:eastAsia="Calibri" w:hAnsi="Calibri"/>
          <w:b/>
          <w:bCs/>
          <w:color w:val="6C3FA0"/>
          <w:sz w:val="25"/>
          <w:szCs w:val="25"/>
        </w:rPr>
        <w:t xml:space="preserve">Dual SDK</w:t>
      </w:r>
    </w:p>
    <w:p>
      <w:pPr>
        <w:spacing w:after="140" w:line="276"/>
      </w:pPr>
      <w:r>
        <w:rPr>
          <w:rFonts w:ascii="Calibri" w:cs="Calibri" w:eastAsia="Calibri" w:hAnsi="Calibri"/>
          <w:color w:val="1E1E2E"/>
          <w:sz w:val="21"/>
          <w:szCs w:val="21"/>
        </w:rPr>
        <w:t xml:space="preserve">TypeScript SDK for web and dApp developers. Go binary SDK for backend agent pipelines, server-side automation, and CLI workflows. Both include the full x402 middleware. Meet developers where they already build.</w:t>
      </w:r>
    </w:p>
    <w:p>
      <w:pPr>
        <w:pStyle w:val="Heading2"/>
        <w:spacing w:before="260" w:after="120"/>
      </w:pPr>
      <w:r>
        <w:rPr>
          <w:rFonts w:ascii="Calibri" w:cs="Calibri" w:eastAsia="Calibri" w:hAnsi="Calibri"/>
          <w:b/>
          <w:bCs/>
          <w:color w:val="6C3FA0"/>
          <w:sz w:val="25"/>
          <w:szCs w:val="25"/>
        </w:rPr>
        <w:t xml:space="preserve">Social Recovery</w:t>
      </w:r>
    </w:p>
    <w:p>
      <w:pPr>
        <w:spacing w:after="140" w:line="276"/>
      </w:pPr>
      <w:r>
        <w:rPr>
          <w:rFonts w:ascii="Calibri" w:cs="Calibri" w:eastAsia="Calibri" w:hAnsi="Calibri"/>
          <w:color w:val="1E1E2E"/>
          <w:sz w:val="21"/>
          <w:szCs w:val="21"/>
        </w:rPr>
        <w:t xml:space="preserve">Guardian-based account recovery. Guardians can be email addresses, phone numbers, other wallets, or institutional custodians. Configurable M-of-N threshold. No seed phrase is ever exposed to the user.</w:t>
      </w:r>
    </w:p>
    <w:p>
      <w:pPr>
        <w:pStyle w:val="Heading2"/>
        <w:spacing w:before="260" w:after="120"/>
      </w:pPr>
      <w:r>
        <w:rPr>
          <w:rFonts w:ascii="Calibri" w:cs="Calibri" w:eastAsia="Calibri" w:hAnsi="Calibri"/>
          <w:b/>
          <w:bCs/>
          <w:color w:val="6C3FA0"/>
          <w:sz w:val="25"/>
          <w:szCs w:val="25"/>
        </w:rPr>
        <w:t xml:space="preserve">Chain Abstraction</w:t>
      </w:r>
    </w:p>
    <w:p>
      <w:pPr>
        <w:spacing w:after="140" w:line="276"/>
      </w:pPr>
      <w:r>
        <w:rPr>
          <w:rFonts w:ascii="Calibri" w:cs="Calibri" w:eastAsia="Calibri" w:hAnsi="Calibri"/>
          <w:color w:val="1E1E2E"/>
          <w:sz w:val="21"/>
          <w:szCs w:val="21"/>
        </w:rPr>
        <w:t xml:space="preserve">One account address across every supported chain. Cross-chain bridging and execution happen transparently. x402 payments settle on the optimal chain automatically. Users and agents don’t think about which chain they’re on.</w:t>
      </w:r>
    </w:p>
    <w:p>
      <w:pPr>
        <w:pStyle w:val="Heading2"/>
        <w:spacing w:before="260" w:after="120"/>
      </w:pPr>
      <w:r>
        <w:rPr>
          <w:rFonts w:ascii="Calibri" w:cs="Calibri" w:eastAsia="Calibri" w:hAnsi="Calibri"/>
          <w:b/>
          <w:bCs/>
          <w:color w:val="6C3FA0"/>
          <w:sz w:val="25"/>
          <w:szCs w:val="25"/>
        </w:rPr>
        <w:t xml:space="preserve">DeFi Primitives</w:t>
      </w:r>
    </w:p>
    <w:p>
      <w:pPr>
        <w:spacing w:after="140" w:line="276"/>
      </w:pPr>
      <w:r>
        <w:rPr>
          <w:rFonts w:ascii="Calibri" w:cs="Calibri" w:eastAsia="Calibri" w:hAnsi="Calibri"/>
          <w:color w:val="1E1E2E"/>
          <w:sz w:val="21"/>
          <w:szCs w:val="21"/>
        </w:rPr>
        <w:t xml:space="preserve">Pre-built ERC-7579 executor modules for common DeFi operations: token swaps, lending/borrowing, staking, liquidity provision. Developers call wallet.swap() instead of encoding raw calldata against protocol ABIs.</w:t>
      </w:r>
    </w:p>
    <w:p>
      <w:pPr>
        <w:pStyle w:val="Heading2"/>
        <w:spacing w:before="260" w:after="120"/>
      </w:pPr>
      <w:r>
        <w:rPr>
          <w:rFonts w:ascii="Calibri" w:cs="Calibri" w:eastAsia="Calibri" w:hAnsi="Calibri"/>
          <w:b/>
          <w:bCs/>
          <w:color w:val="6C3FA0"/>
          <w:sz w:val="25"/>
          <w:szCs w:val="25"/>
        </w:rPr>
        <w:t xml:space="preserve">Frictionless Onboarding</w:t>
      </w:r>
    </w:p>
    <w:p>
      <w:pPr>
        <w:spacing w:after="140" w:line="276"/>
      </w:pPr>
      <w:r>
        <w:rPr>
          <w:rFonts w:ascii="Calibri" w:cs="Calibri" w:eastAsia="Calibri" w:hAnsi="Calibri"/>
          <w:color w:val="1E1E2E"/>
          <w:sz w:val="21"/>
          <w:szCs w:val="21"/>
        </w:rPr>
        <w:t xml:space="preserve">Passkey/biometric authentication via WebAuthn. Gas sponsorship through paymaster integration. Lazy account deployment (zero upfront cost, deploys on first transaction). Users go from nothing to transacting without seeing a seed phrase or buying ETH.</w:t>
      </w:r>
    </w:p>
    <w:p>
      <w:pPr>
        <w:pBdr>
          <w:bottom w:val="single" w:color="8B5CF6" w:sz="2" w:space="8"/>
        </w:pBdr>
        <w:spacing w:before="200" w:after="200"/>
      </w:pPr>
    </w:p>
    <w:p>
      <w:pPr>
        <w:pStyle w:val="Heading1"/>
        <w:spacing w:before="340" w:after="160"/>
      </w:pPr>
      <w:r>
        <w:rPr>
          <w:rFonts w:ascii="Calibri" w:cs="Calibri" w:eastAsia="Calibri" w:hAnsi="Calibri"/>
          <w:b/>
          <w:bCs/>
          <w:color w:val="2D1B4E"/>
          <w:sz w:val="30"/>
          <w:szCs w:val="30"/>
        </w:rPr>
        <w:t xml:space="preserve">Technical Foundations</w:t>
      </w:r>
    </w:p>
    <w:p>
      <w:pPr>
        <w:pStyle w:val="Heading2"/>
        <w:spacing w:before="260" w:after="120"/>
      </w:pPr>
      <w:r>
        <w:rPr>
          <w:rFonts w:ascii="Calibri" w:cs="Calibri" w:eastAsia="Calibri" w:hAnsi="Calibri"/>
          <w:b/>
          <w:bCs/>
          <w:color w:val="6C3FA0"/>
          <w:sz w:val="25"/>
          <w:szCs w:val="25"/>
        </w:rPr>
        <w:t xml:space="preserve">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4D4D8" w:sz="1"/>
              <w:left w:val="single" w:color="D4D4D8" w:sz="1"/>
              <w:bottom w:val="single" w:color="D4D4D8" w:sz="1"/>
              <w:right w:val="single" w:color="D4D4D8" w:sz="1"/>
            </w:tcBorders>
            <w:shd w:fill="2D1B4E"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Standard</w:t>
            </w:r>
          </w:p>
        </w:tc>
        <w:tc>
          <w:tcPr>
            <w:tcW w:type="dxa" w:w="7160"/>
            <w:tcBorders>
              <w:top w:val="single" w:color="D4D4D8" w:sz="1"/>
              <w:left w:val="single" w:color="D4D4D8" w:sz="1"/>
              <w:bottom w:val="single" w:color="D4D4D8" w:sz="1"/>
              <w:right w:val="single" w:color="D4D4D8" w:sz="1"/>
            </w:tcBorders>
            <w:shd w:fill="2D1B4E"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Role in Sigloop</w:t>
            </w:r>
          </w:p>
        </w:tc>
      </w:tr>
      <w:tr>
        <w:tc>
          <w:tcPr>
            <w:tcW w:type="dxa" w:w="2200"/>
            <w:tcBorders>
              <w:top w:val="single" w:color="D4D4D8" w:sz="1"/>
              <w:left w:val="single" w:color="D4D4D8" w:sz="1"/>
              <w:bottom w:val="single" w:color="D4D4D8" w:sz="1"/>
              <w:right w:val="single" w:color="D4D4D8" w:sz="1"/>
            </w:tcBorders>
            <w:shd w:fill="F8F7FC" w:val="clear"/>
            <w:tcMar>
              <w:top w:type="dxa" w:w="80"/>
              <w:left w:type="dxa" w:w="120"/>
              <w:bottom w:type="dxa" w:w="80"/>
              <w:right w:type="dxa" w:w="120"/>
            </w:tcMar>
            <w:vAlign w:val="center"/>
          </w:tcPr>
          <w:p>
            <w:pPr>
              <w:jc w:val="left"/>
            </w:pPr>
            <w:r>
              <w:rPr>
                <w:rFonts w:ascii="Calibri" w:cs="Calibri" w:eastAsia="Calibri" w:hAnsi="Calibri"/>
                <w:b/>
                <w:bCs/>
                <w:color w:val="1E1E2E"/>
                <w:sz w:val="19"/>
                <w:szCs w:val="19"/>
              </w:rPr>
              <w:t xml:space="preserve">ERC-4337</w:t>
            </w:r>
          </w:p>
        </w:tc>
        <w:tc>
          <w:tcPr>
            <w:tcW w:type="dxa" w:w="7160"/>
            <w:tcBorders>
              <w:top w:val="single" w:color="D4D4D8" w:sz="1"/>
              <w:left w:val="single" w:color="D4D4D8" w:sz="1"/>
              <w:bottom w:val="single" w:color="D4D4D8" w:sz="1"/>
              <w:right w:val="single" w:color="D4D4D8" w:sz="1"/>
            </w:tcBorders>
            <w:shd w:fill="F8F7FC" w:val="clear"/>
            <w:tcMar>
              <w:top w:type="dxa" w:w="80"/>
              <w:left w:type="dxa" w:w="120"/>
              <w:bottom w:type="dxa" w:w="80"/>
              <w:right w:type="dxa" w:w="120"/>
            </w:tcMar>
            <w:vAlign w:val="center"/>
          </w:tcPr>
          <w:p>
            <w:pPr>
              <w:jc w:val="left"/>
            </w:pPr>
            <w:r>
              <w:rPr>
                <w:rFonts w:ascii="Calibri" w:cs="Calibri" w:eastAsia="Calibri" w:hAnsi="Calibri"/>
                <w:color w:val="1E1E2E"/>
                <w:sz w:val="19"/>
                <w:szCs w:val="19"/>
              </w:rPr>
              <w:t xml:space="preserve">Account abstraction. Smart contract wallets with UserOperations, bundlers, and paymasters. The foundation everything builds on.</w:t>
            </w:r>
          </w:p>
        </w:tc>
      </w:tr>
      <w:tr>
        <w:tc>
          <w:tcPr>
            <w:tcW w:type="dxa" w:w="2200"/>
            <w:tcBorders>
              <w:top w:val="single" w:color="D4D4D8" w:sz="1"/>
              <w:left w:val="single" w:color="D4D4D8" w:sz="1"/>
              <w:bottom w:val="single" w:color="D4D4D8" w:sz="1"/>
              <w:right w:val="single" w:color="D4D4D8" w:sz="1"/>
            </w:tcBorders>
            <w:tcMar>
              <w:top w:type="dxa" w:w="80"/>
              <w:left w:type="dxa" w:w="120"/>
              <w:bottom w:type="dxa" w:w="80"/>
              <w:right w:type="dxa" w:w="120"/>
            </w:tcMar>
            <w:vAlign w:val="center"/>
          </w:tcPr>
          <w:p>
            <w:pPr>
              <w:jc w:val="left"/>
            </w:pPr>
            <w:r>
              <w:rPr>
                <w:rFonts w:ascii="Calibri" w:cs="Calibri" w:eastAsia="Calibri" w:hAnsi="Calibri"/>
                <w:b/>
                <w:bCs/>
                <w:color w:val="1E1E2E"/>
                <w:sz w:val="19"/>
                <w:szCs w:val="19"/>
              </w:rPr>
              <w:t xml:space="preserve">ERC-7579</w:t>
            </w:r>
          </w:p>
        </w:tc>
        <w:tc>
          <w:tcPr>
            <w:tcW w:type="dxa" w:w="7160"/>
            <w:tcBorders>
              <w:top w:val="single" w:color="D4D4D8" w:sz="1"/>
              <w:left w:val="single" w:color="D4D4D8" w:sz="1"/>
              <w:bottom w:val="single" w:color="D4D4D8" w:sz="1"/>
              <w:right w:val="single" w:color="D4D4D8" w:sz="1"/>
            </w:tcBorders>
            <w:tcMar>
              <w:top w:type="dxa" w:w="80"/>
              <w:left w:type="dxa" w:w="120"/>
              <w:bottom w:type="dxa" w:w="80"/>
              <w:right w:type="dxa" w:w="120"/>
            </w:tcMar>
            <w:vAlign w:val="center"/>
          </w:tcPr>
          <w:p>
            <w:pPr>
              <w:jc w:val="left"/>
            </w:pPr>
            <w:r>
              <w:rPr>
                <w:rFonts w:ascii="Calibri" w:cs="Calibri" w:eastAsia="Calibri" w:hAnsi="Calibri"/>
                <w:color w:val="1E1E2E"/>
                <w:sz w:val="19"/>
                <w:szCs w:val="19"/>
              </w:rPr>
              <w:t xml:space="preserve">Modular smart accounts. Defines interfaces for interoperable modules (validators, executors, hooks, fallback handlers). All Sigloop modules are ERC-7579 compliant, portable across any 7579-compatible account.</w:t>
            </w:r>
          </w:p>
        </w:tc>
      </w:tr>
      <w:tr>
        <w:tc>
          <w:tcPr>
            <w:tcW w:type="dxa" w:w="2200"/>
            <w:tcBorders>
              <w:top w:val="single" w:color="D4D4D8" w:sz="1"/>
              <w:left w:val="single" w:color="D4D4D8" w:sz="1"/>
              <w:bottom w:val="single" w:color="D4D4D8" w:sz="1"/>
              <w:right w:val="single" w:color="D4D4D8" w:sz="1"/>
            </w:tcBorders>
            <w:shd w:fill="F8F7FC" w:val="clear"/>
            <w:tcMar>
              <w:top w:type="dxa" w:w="80"/>
              <w:left w:type="dxa" w:w="120"/>
              <w:bottom w:type="dxa" w:w="80"/>
              <w:right w:type="dxa" w:w="120"/>
            </w:tcMar>
            <w:vAlign w:val="center"/>
          </w:tcPr>
          <w:p>
            <w:pPr>
              <w:jc w:val="left"/>
            </w:pPr>
            <w:r>
              <w:rPr>
                <w:rFonts w:ascii="Calibri" w:cs="Calibri" w:eastAsia="Calibri" w:hAnsi="Calibri"/>
                <w:b/>
                <w:bCs/>
                <w:color w:val="1E1E2E"/>
                <w:sz w:val="19"/>
                <w:szCs w:val="19"/>
              </w:rPr>
              <w:t xml:space="preserve">EIP-3009</w:t>
            </w:r>
          </w:p>
        </w:tc>
        <w:tc>
          <w:tcPr>
            <w:tcW w:type="dxa" w:w="7160"/>
            <w:tcBorders>
              <w:top w:val="single" w:color="D4D4D8" w:sz="1"/>
              <w:left w:val="single" w:color="D4D4D8" w:sz="1"/>
              <w:bottom w:val="single" w:color="D4D4D8" w:sz="1"/>
              <w:right w:val="single" w:color="D4D4D8" w:sz="1"/>
            </w:tcBorders>
            <w:shd w:fill="F8F7FC" w:val="clear"/>
            <w:tcMar>
              <w:top w:type="dxa" w:w="80"/>
              <w:left w:type="dxa" w:w="120"/>
              <w:bottom w:type="dxa" w:w="80"/>
              <w:right w:type="dxa" w:w="120"/>
            </w:tcMar>
            <w:vAlign w:val="center"/>
          </w:tcPr>
          <w:p>
            <w:pPr>
              <w:jc w:val="left"/>
            </w:pPr>
            <w:r>
              <w:rPr>
                <w:rFonts w:ascii="Calibri" w:cs="Calibri" w:eastAsia="Calibri" w:hAnsi="Calibri"/>
                <w:color w:val="1E1E2E"/>
                <w:sz w:val="19"/>
                <w:szCs w:val="19"/>
              </w:rPr>
              <w:t xml:space="preserve">Transfer with authorization. The signing standard x402 uses for USDC payments. Agents sign EIP-3009 authorizations via session keys.</w:t>
            </w:r>
          </w:p>
        </w:tc>
      </w:tr>
      <w:tr>
        <w:tc>
          <w:tcPr>
            <w:tcW w:type="dxa" w:w="2200"/>
            <w:tcBorders>
              <w:top w:val="single" w:color="D4D4D8" w:sz="1"/>
              <w:left w:val="single" w:color="D4D4D8" w:sz="1"/>
              <w:bottom w:val="single" w:color="D4D4D8" w:sz="1"/>
              <w:right w:val="single" w:color="D4D4D8" w:sz="1"/>
            </w:tcBorders>
            <w:tcMar>
              <w:top w:type="dxa" w:w="80"/>
              <w:left w:type="dxa" w:w="120"/>
              <w:bottom w:type="dxa" w:w="80"/>
              <w:right w:type="dxa" w:w="120"/>
            </w:tcMar>
            <w:vAlign w:val="center"/>
          </w:tcPr>
          <w:p>
            <w:pPr>
              <w:jc w:val="left"/>
            </w:pPr>
            <w:r>
              <w:rPr>
                <w:rFonts w:ascii="Calibri" w:cs="Calibri" w:eastAsia="Calibri" w:hAnsi="Calibri"/>
                <w:b/>
                <w:bCs/>
                <w:color w:val="1E1E2E"/>
                <w:sz w:val="19"/>
                <w:szCs w:val="19"/>
              </w:rPr>
              <w:t xml:space="preserve">ERC-1271</w:t>
            </w:r>
          </w:p>
        </w:tc>
        <w:tc>
          <w:tcPr>
            <w:tcW w:type="dxa" w:w="7160"/>
            <w:tcBorders>
              <w:top w:val="single" w:color="D4D4D8" w:sz="1"/>
              <w:left w:val="single" w:color="D4D4D8" w:sz="1"/>
              <w:bottom w:val="single" w:color="D4D4D8" w:sz="1"/>
              <w:right w:val="single" w:color="D4D4D8" w:sz="1"/>
            </w:tcBorders>
            <w:tcMar>
              <w:top w:type="dxa" w:w="80"/>
              <w:left w:type="dxa" w:w="120"/>
              <w:bottom w:type="dxa" w:w="80"/>
              <w:right w:type="dxa" w:w="120"/>
            </w:tcMar>
            <w:vAlign w:val="center"/>
          </w:tcPr>
          <w:p>
            <w:pPr>
              <w:jc w:val="left"/>
            </w:pPr>
            <w:r>
              <w:rPr>
                <w:rFonts w:ascii="Calibri" w:cs="Calibri" w:eastAsia="Calibri" w:hAnsi="Calibri"/>
                <w:color w:val="1E1E2E"/>
                <w:sz w:val="19"/>
                <w:szCs w:val="19"/>
              </w:rPr>
              <w:t xml:space="preserve">Smart contract signature validation. Enables Kernel accounts to produce valid signatures for EIP-3009, which x402 facilitators can verify.</w:t>
            </w:r>
          </w:p>
        </w:tc>
      </w:tr>
      <w:tr>
        <w:tc>
          <w:tcPr>
            <w:tcW w:type="dxa" w:w="2200"/>
            <w:tcBorders>
              <w:top w:val="single" w:color="D4D4D8" w:sz="1"/>
              <w:left w:val="single" w:color="D4D4D8" w:sz="1"/>
              <w:bottom w:val="single" w:color="D4D4D8" w:sz="1"/>
              <w:right w:val="single" w:color="D4D4D8" w:sz="1"/>
            </w:tcBorders>
            <w:shd w:fill="F8F7FC" w:val="clear"/>
            <w:tcMar>
              <w:top w:type="dxa" w:w="80"/>
              <w:left w:type="dxa" w:w="120"/>
              <w:bottom w:type="dxa" w:w="80"/>
              <w:right w:type="dxa" w:w="120"/>
            </w:tcMar>
            <w:vAlign w:val="center"/>
          </w:tcPr>
          <w:p>
            <w:pPr>
              <w:jc w:val="left"/>
            </w:pPr>
            <w:r>
              <w:rPr>
                <w:rFonts w:ascii="Calibri" w:cs="Calibri" w:eastAsia="Calibri" w:hAnsi="Calibri"/>
                <w:b/>
                <w:bCs/>
                <w:color w:val="1E1E2E"/>
                <w:sz w:val="19"/>
                <w:szCs w:val="19"/>
              </w:rPr>
              <w:t xml:space="preserve">x402</w:t>
            </w:r>
          </w:p>
        </w:tc>
        <w:tc>
          <w:tcPr>
            <w:tcW w:type="dxa" w:w="7160"/>
            <w:tcBorders>
              <w:top w:val="single" w:color="D4D4D8" w:sz="1"/>
              <w:left w:val="single" w:color="D4D4D8" w:sz="1"/>
              <w:bottom w:val="single" w:color="D4D4D8" w:sz="1"/>
              <w:right w:val="single" w:color="D4D4D8" w:sz="1"/>
            </w:tcBorders>
            <w:shd w:fill="F8F7FC" w:val="clear"/>
            <w:tcMar>
              <w:top w:type="dxa" w:w="80"/>
              <w:left w:type="dxa" w:w="120"/>
              <w:bottom w:type="dxa" w:w="80"/>
              <w:right w:type="dxa" w:w="120"/>
            </w:tcMar>
            <w:vAlign w:val="center"/>
          </w:tcPr>
          <w:p>
            <w:pPr>
              <w:jc w:val="left"/>
            </w:pPr>
            <w:r>
              <w:rPr>
                <w:rFonts w:ascii="Calibri" w:cs="Calibri" w:eastAsia="Calibri" w:hAnsi="Calibri"/>
                <w:color w:val="1E1E2E"/>
                <w:sz w:val="19"/>
                <w:szCs w:val="19"/>
              </w:rPr>
              <w:t xml:space="preserve">HTTP 402 payment protocol by Coinbase. Turns any API into a payable endpoint. Our middleware handles the full 402 flow on behalf of agents.</w:t>
            </w:r>
          </w:p>
        </w:tc>
      </w:tr>
    </w:tbl>
    <w:p>
      <w:pPr>
        <w:spacing w:after="60"/>
      </w:pPr>
    </w:p>
    <w:p>
      <w:pPr>
        <w:pStyle w:val="Heading2"/>
        <w:spacing w:before="260" w:after="120"/>
      </w:pPr>
      <w:r>
        <w:rPr>
          <w:rFonts w:ascii="Calibri" w:cs="Calibri" w:eastAsia="Calibri" w:hAnsi="Calibri"/>
          <w:b/>
          <w:bCs/>
          <w:color w:val="6C3FA0"/>
          <w:sz w:val="25"/>
          <w:szCs w:val="25"/>
        </w:rPr>
        <w:t xml:space="preserve">ZeroDev Kernel</w:t>
      </w:r>
    </w:p>
    <w:p>
      <w:pPr>
        <w:spacing w:after="140" w:line="276"/>
      </w:pPr>
      <w:r>
        <w:rPr>
          <w:rFonts w:ascii="Calibri" w:cs="Calibri" w:eastAsia="Calibri" w:hAnsi="Calibri"/>
          <w:color w:val="1E1E2E"/>
          <w:sz w:val="21"/>
          <w:szCs w:val="21"/>
        </w:rPr>
        <w:t xml:space="preserve">Kernel is the most deployed modular smart account: 6M+ accounts across 50+ networks, acquired by Offchain Labs (Arbitrum). It’s minimal, extensible, and ERC-7579 compliant. We build on Kernel rather than building our own account because the smart account layer is a solved problem. Our value is the layer above it.</w:t>
      </w:r>
    </w:p>
    <w:p>
      <w:pPr>
        <w:pStyle w:val="Heading2"/>
        <w:spacing w:before="260" w:after="120"/>
      </w:pPr>
      <w:r>
        <w:rPr>
          <w:rFonts w:ascii="Calibri" w:cs="Calibri" w:eastAsia="Calibri" w:hAnsi="Calibri"/>
          <w:b/>
          <w:bCs/>
          <w:color w:val="6C3FA0"/>
          <w:sz w:val="25"/>
          <w:szCs w:val="25"/>
        </w:rPr>
        <w:t xml:space="preserve">Module Architecture</w:t>
      </w:r>
    </w:p>
    <w:p>
      <w:pPr>
        <w:spacing w:after="140" w:line="276"/>
      </w:pPr>
      <w:r>
        <w:rPr>
          <w:rFonts w:ascii="Calibri" w:cs="Calibri" w:eastAsia="Calibri" w:hAnsi="Calibri"/>
          <w:color w:val="1E1E2E"/>
          <w:sz w:val="21"/>
          <w:szCs w:val="21"/>
        </w:rPr>
        <w:t xml:space="preserve">Every Sigloop feature ships as an ERC-7579 module. The Agent Permission Manager is a validator module (checks session key signatures against policies). The x402 Payment Policy is a hook module (runs pre/post-execution to enforce spending rules). DeFi Actions are executor modules (encode and execute protocol interactions). This modularity means our features are portable: if a developer later switches from Kernel to Safe or Biconomy’s Nexus, the modules still work.</w:t>
      </w:r>
    </w:p>
    <w:p>
      <w:pPr>
        <w:pBdr>
          <w:bottom w:val="single" w:color="8B5CF6" w:sz="2" w:space="8"/>
        </w:pBdr>
        <w:spacing w:before="200" w:after="200"/>
      </w:pPr>
    </w:p>
    <w:p>
      <w:pPr>
        <w:pStyle w:val="Heading1"/>
        <w:spacing w:before="340" w:after="160"/>
      </w:pPr>
      <w:r>
        <w:rPr>
          <w:rFonts w:ascii="Calibri" w:cs="Calibri" w:eastAsia="Calibri" w:hAnsi="Calibri"/>
          <w:b/>
          <w:bCs/>
          <w:color w:val="2D1B4E"/>
          <w:sz w:val="30"/>
          <w:szCs w:val="30"/>
        </w:rPr>
        <w:t xml:space="preserve">Brand</w:t>
      </w:r>
    </w:p>
    <w:p>
      <w:pPr>
        <w:pStyle w:val="Heading2"/>
        <w:spacing w:before="260" w:after="120"/>
      </w:pPr>
      <w:r>
        <w:rPr>
          <w:rFonts w:ascii="Calibri" w:cs="Calibri" w:eastAsia="Calibri" w:hAnsi="Calibri"/>
          <w:b/>
          <w:bCs/>
          <w:color w:val="6C3FA0"/>
          <w:sz w:val="25"/>
          <w:szCs w:val="25"/>
        </w:rPr>
        <w:t xml:space="preserve">Name</w:t>
      </w:r>
    </w:p>
    <w:p>
      <w:pPr>
        <w:spacing w:after="140" w:line="276"/>
      </w:pPr>
      <w:r>
        <w:rPr>
          <w:rFonts w:ascii="Calibri" w:cs="Calibri" w:eastAsia="Calibri" w:hAnsi="Calibri"/>
          <w:b/>
          <w:bCs/>
          <w:i w:val="false"/>
          <w:iCs w:val="false"/>
          <w:color w:val="1E1E2E"/>
          <w:sz w:val="21"/>
          <w:szCs w:val="21"/>
        </w:rPr>
        <w:t xml:space="preserve">sigloop</w:t>
      </w:r>
      <w:r>
        <w:rPr>
          <w:rFonts w:ascii="Calibri" w:cs="Calibri" w:eastAsia="Calibri" w:hAnsi="Calibri"/>
          <w:b w:val="false"/>
          <w:bCs w:val="false"/>
          <w:i w:val="false"/>
          <w:iCs w:val="false"/>
          <w:color w:val="1E1E2E"/>
          <w:sz w:val="21"/>
          <w:szCs w:val="21"/>
        </w:rPr>
        <w:t xml:space="preserve"> — sig as in signature, signing, signal. Loop as in the payment loop, the agent’s execution cycle, the feedback loop between owner and agent. The signed authorization that completes the loop.</w:t>
      </w:r>
    </w:p>
    <w:p>
      <w:pPr>
        <w:pStyle w:val="Heading2"/>
        <w:spacing w:before="260" w:after="120"/>
      </w:pPr>
      <w:r>
        <w:rPr>
          <w:rFonts w:ascii="Calibri" w:cs="Calibri" w:eastAsia="Calibri" w:hAnsi="Calibri"/>
          <w:b/>
          <w:bCs/>
          <w:color w:val="6C3FA0"/>
          <w:sz w:val="25"/>
          <w:szCs w:val="25"/>
        </w:rPr>
        <w:t xml:space="preserve">Symbol</w:t>
      </w:r>
    </w:p>
    <w:p>
      <w:pPr>
        <w:spacing w:after="140" w:line="276"/>
      </w:pPr>
      <w:r>
        <w:rPr>
          <w:rFonts w:ascii="Calibri" w:cs="Calibri" w:eastAsia="Calibri" w:hAnsi="Calibri"/>
          <w:color w:val="1E1E2E"/>
          <w:sz w:val="21"/>
          <w:szCs w:val="21"/>
        </w:rPr>
        <w:t xml:space="preserve">A thick arc — almost a full circle, broken open in the upper right with a deliberate gap. A diamond sits at the threshold of that gap.</w:t>
      </w:r>
    </w:p>
    <w:p>
      <w:pPr>
        <w:spacing w:after="140" w:line="276"/>
      </w:pPr>
      <w:r>
        <w:rPr>
          <w:rFonts w:ascii="Calibri" w:cs="Calibri" w:eastAsia="Calibri" w:hAnsi="Calibri"/>
          <w:color w:val="1E1E2E"/>
          <w:sz w:val="21"/>
          <w:szCs w:val="21"/>
        </w:rPr>
        <w:t xml:space="preserve">The arc is the constrained environment. It’s not a closed circle because the system isn’t a prison — it’s designed for controlled movement. The diamond is the session key, the policy checkpoint, and a nod to Ethereum’s diamond. The gap says: this opening is intentional, monitored, and governed.</w:t>
      </w:r>
    </w:p>
    <w:p>
      <w:pPr>
        <w:pStyle w:val="Heading2"/>
        <w:spacing w:before="260" w:after="120"/>
      </w:pPr>
      <w:r>
        <w:rPr>
          <w:rFonts w:ascii="Calibri" w:cs="Calibri" w:eastAsia="Calibri" w:hAnsi="Calibri"/>
          <w:b/>
          <w:bCs/>
          <w:color w:val="6C3FA0"/>
          <w:sz w:val="25"/>
          <w:szCs w:val="25"/>
        </w:rPr>
        <w:t xml:space="preserve">Tagline</w:t>
      </w:r>
    </w:p>
    <w:p>
      <w:pPr>
        <w:spacing w:after="140" w:line="276"/>
      </w:pPr>
      <w:r>
        <w:rPr>
          <w:rFonts w:ascii="Calibri" w:cs="Calibri" w:eastAsia="Calibri" w:hAnsi="Calibri"/>
          <w:i/>
          <w:iCs/>
          <w:color w:val="1E1E2E"/>
          <w:sz w:val="21"/>
          <w:szCs w:val="21"/>
        </w:rPr>
        <w:t xml:space="preserve">Wallets for agents that pay.</w:t>
      </w:r>
    </w:p>
    <w:p>
      <w:pPr>
        <w:pStyle w:val="Heading2"/>
        <w:spacing w:before="260" w:after="120"/>
      </w:pPr>
      <w:r>
        <w:rPr>
          <w:rFonts w:ascii="Calibri" w:cs="Calibri" w:eastAsia="Calibri" w:hAnsi="Calibri"/>
          <w:b/>
          <w:bCs/>
          <w:color w:val="6C3FA0"/>
          <w:sz w:val="25"/>
          <w:szCs w:val="25"/>
        </w:rPr>
        <w:t xml:space="preserve">Visual Identity</w:t>
      </w:r>
    </w:p>
    <w:p>
      <w:pPr>
        <w:spacing w:after="140" w:line="276"/>
      </w:pPr>
      <w:r>
        <w:rPr>
          <w:rFonts w:ascii="Calibri" w:cs="Calibri" w:eastAsia="Calibri" w:hAnsi="Calibri"/>
          <w:color w:val="1E1E2E"/>
          <w:sz w:val="21"/>
          <w:szCs w:val="21"/>
        </w:rPr>
        <w:t xml:space="preserve">Purple gradient (#7C3AED to #8B5CF6) as the primary brand color. Purple is underused in crypto — everything defaults to blue or neon green. Our purple reads as both technical and premium. Paired with Calibri or a geometric sans-serif, dark-mode-first design, and minimal illustration inspired by Sin City’s selective color technique (grayscale world, purple only on digital/agent elements) and ethereum.org’s geometric language.</w:t>
      </w:r>
    </w:p>
    <w:p>
      <w:pPr>
        <w:pStyle w:val="Heading2"/>
        <w:spacing w:before="260" w:after="120"/>
      </w:pPr>
      <w:r>
        <w:rPr>
          <w:rFonts w:ascii="Calibri" w:cs="Calibri" w:eastAsia="Calibri" w:hAnsi="Calibri"/>
          <w:b/>
          <w:bCs/>
          <w:color w:val="6C3FA0"/>
          <w:sz w:val="25"/>
          <w:szCs w:val="25"/>
        </w:rPr>
        <w:t xml:space="preserve">Voice</w:t>
      </w:r>
    </w:p>
    <w:p>
      <w:pPr>
        <w:spacing w:after="140" w:line="276"/>
      </w:pPr>
      <w:r>
        <w:rPr>
          <w:rFonts w:ascii="Calibri" w:cs="Calibri" w:eastAsia="Calibri" w:hAnsi="Calibri"/>
          <w:color w:val="1E1E2E"/>
          <w:sz w:val="21"/>
          <w:szCs w:val="21"/>
        </w:rPr>
        <w:t xml:space="preserve">Confident but not arrogant. Technical but accessible. Slightly opinionated. We have a point of view: agents should have wallets, not keys. x402 needs a policy layer. We say it directly. Docs read like Stripe’s docs — code examples first, explanation second. No hype words, no “revolutionary,” no “web3 will change everything.”</w:t>
      </w:r>
    </w:p>
    <w:p>
      <w:pPr>
        <w:pBdr>
          <w:bottom w:val="single" w:color="8B5CF6" w:sz="2" w:space="8"/>
        </w:pBdr>
        <w:spacing w:before="200" w:after="200"/>
      </w:pPr>
    </w:p>
    <w:p>
      <w:pPr>
        <w:pStyle w:val="Heading1"/>
        <w:spacing w:before="340" w:after="160"/>
      </w:pPr>
      <w:r>
        <w:rPr>
          <w:rFonts w:ascii="Calibri" w:cs="Calibri" w:eastAsia="Calibri" w:hAnsi="Calibri"/>
          <w:b/>
          <w:bCs/>
          <w:color w:val="2D1B4E"/>
          <w:sz w:val="30"/>
          <w:szCs w:val="30"/>
        </w:rPr>
        <w:t xml:space="preserve">Who We Build For</w:t>
      </w:r>
    </w:p>
    <w:p>
      <w:pPr>
        <w:pStyle w:val="ListParagraph"/>
        <w:numPr>
          <w:ilvl w:val="0"/>
          <w:numId w:val="2"/>
        </w:numPr>
        <w:spacing w:after="60" w:line="276"/>
      </w:pPr>
      <w:r>
        <w:rPr>
          <w:rFonts w:ascii="Calibri" w:cs="Calibri" w:eastAsia="Calibri" w:hAnsi="Calibri"/>
          <w:b/>
          <w:bCs/>
          <w:color w:val="1E1E2E"/>
          <w:sz w:val="21"/>
          <w:szCs w:val="21"/>
        </w:rPr>
        <w:t xml:space="preserve">AI agent teams. </w:t>
      </w:r>
      <w:r>
        <w:rPr>
          <w:rFonts w:ascii="Calibri" w:cs="Calibri" w:eastAsia="Calibri" w:hAnsi="Calibri"/>
          <w:color w:val="1E1E2E"/>
          <w:sz w:val="21"/>
          <w:szCs w:val="21"/>
        </w:rPr>
        <w:t xml:space="preserve">Building trading bots, DeFi automation, portfolio managers, AI assistants that consume x402 APIs. They need scoped wallets with payment automation and budget controls.</w:t>
      </w:r>
    </w:p>
    <w:p>
      <w:pPr>
        <w:pStyle w:val="ListParagraph"/>
        <w:numPr>
          <w:ilvl w:val="0"/>
          <w:numId w:val="2"/>
        </w:numPr>
        <w:spacing w:after="60" w:line="276"/>
      </w:pPr>
      <w:r>
        <w:rPr>
          <w:rFonts w:ascii="Calibri" w:cs="Calibri" w:eastAsia="Calibri" w:hAnsi="Calibri"/>
          <w:b/>
          <w:bCs/>
          <w:color w:val="1E1E2E"/>
          <w:sz w:val="21"/>
          <w:szCs w:val="21"/>
        </w:rPr>
        <w:t xml:space="preserve">x402 API providers. </w:t>
      </w:r>
      <w:r>
        <w:rPr>
          <w:rFonts w:ascii="Calibri" w:cs="Calibri" w:eastAsia="Calibri" w:hAnsi="Calibri"/>
          <w:color w:val="1E1E2E"/>
          <w:sz w:val="21"/>
          <w:szCs w:val="21"/>
        </w:rPr>
        <w:t xml:space="preserve">Services monetizing APIs via x402 who want their consumers’ agents to have reliable wallets. Natural referral channel.</w:t>
      </w:r>
    </w:p>
    <w:p>
      <w:pPr>
        <w:pStyle w:val="ListParagraph"/>
        <w:numPr>
          <w:ilvl w:val="0"/>
          <w:numId w:val="2"/>
        </w:numPr>
        <w:spacing w:after="60" w:line="276"/>
      </w:pPr>
      <w:r>
        <w:rPr>
          <w:rFonts w:ascii="Calibri" w:cs="Calibri" w:eastAsia="Calibri" w:hAnsi="Calibri"/>
          <w:b/>
          <w:bCs/>
          <w:color w:val="1E1E2E"/>
          <w:sz w:val="21"/>
          <w:szCs w:val="21"/>
        </w:rPr>
        <w:t xml:space="preserve">DeFi application builders. </w:t>
      </w:r>
      <w:r>
        <w:rPr>
          <w:rFonts w:ascii="Calibri" w:cs="Calibri" w:eastAsia="Calibri" w:hAnsi="Calibri"/>
          <w:color w:val="1E1E2E"/>
          <w:sz w:val="21"/>
          <w:szCs w:val="21"/>
        </w:rPr>
        <w:t xml:space="preserve">Teams building DeFi frontends, portfolio apps, neobank products. They need embedded wallets with DeFi primitives, not raw account abstraction infrastructure.</w:t>
      </w:r>
    </w:p>
    <w:p>
      <w:pPr>
        <w:pStyle w:val="ListParagraph"/>
        <w:numPr>
          <w:ilvl w:val="0"/>
          <w:numId w:val="2"/>
        </w:numPr>
        <w:spacing w:after="60" w:line="276"/>
      </w:pPr>
      <w:r>
        <w:rPr>
          <w:rFonts w:ascii="Calibri" w:cs="Calibri" w:eastAsia="Calibri" w:hAnsi="Calibri"/>
          <w:b/>
          <w:bCs/>
          <w:color w:val="1E1E2E"/>
          <w:sz w:val="21"/>
          <w:szCs w:val="21"/>
        </w:rPr>
        <w:t xml:space="preserve">Enterprise AI operations. </w:t>
      </w:r>
      <w:r>
        <w:rPr>
          <w:rFonts w:ascii="Calibri" w:cs="Calibri" w:eastAsia="Calibri" w:hAnsi="Calibri"/>
          <w:color w:val="1E1E2E"/>
          <w:sz w:val="21"/>
          <w:szCs w:val="21"/>
        </w:rPr>
        <w:t xml:space="preserve">Companies running fleets of agents consuming paid APIs. They need centralized budget controls, audit trails, and compliance.</w:t>
      </w:r>
    </w:p>
    <w:p>
      <w:pPr>
        <w:pBdr>
          <w:bottom w:val="single" w:color="8B5CF6" w:sz="2" w:space="8"/>
        </w:pBdr>
        <w:spacing w:before="200" w:after="200"/>
      </w:pPr>
    </w:p>
    <w:p>
      <w:pPr>
        <w:pStyle w:val="Heading1"/>
        <w:spacing w:before="340" w:after="160"/>
      </w:pPr>
      <w:r>
        <w:rPr>
          <w:rFonts w:ascii="Calibri" w:cs="Calibri" w:eastAsia="Calibri" w:hAnsi="Calibri"/>
          <w:b/>
          <w:bCs/>
          <w:color w:val="2D1B4E"/>
          <w:sz w:val="30"/>
          <w:szCs w:val="30"/>
        </w:rPr>
        <w:t xml:space="preserve">How We’re Different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D4D4D8" w:sz="1"/>
              <w:left w:val="single" w:color="D4D4D8" w:sz="1"/>
              <w:bottom w:val="single" w:color="D4D4D8" w:sz="1"/>
              <w:right w:val="single" w:color="D4D4D8" w:sz="1"/>
            </w:tcBorders>
            <w:shd w:fill="2D1B4E"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
            </w:r>
          </w:p>
        </w:tc>
        <w:tc>
          <w:tcPr>
            <w:tcW w:type="dxa" w:w="1560"/>
            <w:tcBorders>
              <w:top w:val="single" w:color="D4D4D8" w:sz="1"/>
              <w:left w:val="single" w:color="D4D4D8" w:sz="1"/>
              <w:bottom w:val="single" w:color="D4D4D8" w:sz="1"/>
              <w:right w:val="single" w:color="D4D4D8" w:sz="1"/>
            </w:tcBorders>
            <w:shd w:fill="2D1B4E"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ZeroDev</w:t>
            </w:r>
          </w:p>
        </w:tc>
        <w:tc>
          <w:tcPr>
            <w:tcW w:type="dxa" w:w="1560"/>
            <w:tcBorders>
              <w:top w:val="single" w:color="D4D4D8" w:sz="1"/>
              <w:left w:val="single" w:color="D4D4D8" w:sz="1"/>
              <w:bottom w:val="single" w:color="D4D4D8" w:sz="1"/>
              <w:right w:val="single" w:color="D4D4D8" w:sz="1"/>
            </w:tcBorders>
            <w:shd w:fill="2D1B4E"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Privy</w:t>
            </w:r>
          </w:p>
        </w:tc>
        <w:tc>
          <w:tcPr>
            <w:tcW w:type="dxa" w:w="1560"/>
            <w:tcBorders>
              <w:top w:val="single" w:color="D4D4D8" w:sz="1"/>
              <w:left w:val="single" w:color="D4D4D8" w:sz="1"/>
              <w:bottom w:val="single" w:color="D4D4D8" w:sz="1"/>
              <w:right w:val="single" w:color="D4D4D8" w:sz="1"/>
            </w:tcBorders>
            <w:shd w:fill="2D1B4E"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Coinbase CDP</w:t>
            </w:r>
          </w:p>
        </w:tc>
        <w:tc>
          <w:tcPr>
            <w:tcW w:type="dxa" w:w="1560"/>
            <w:tcBorders>
              <w:top w:val="single" w:color="D4D4D8" w:sz="1"/>
              <w:left w:val="single" w:color="D4D4D8" w:sz="1"/>
              <w:bottom w:val="single" w:color="D4D4D8" w:sz="1"/>
              <w:right w:val="single" w:color="D4D4D8" w:sz="1"/>
            </w:tcBorders>
            <w:shd w:fill="2D1B4E"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Biconomy</w:t>
            </w:r>
          </w:p>
        </w:tc>
        <w:tc>
          <w:tcPr>
            <w:tcW w:type="dxa" w:w="1560"/>
            <w:tcBorders>
              <w:top w:val="single" w:color="D4D4D8" w:sz="1"/>
              <w:left w:val="single" w:color="D4D4D8" w:sz="1"/>
              <w:bottom w:val="single" w:color="D4D4D8" w:sz="1"/>
              <w:right w:val="single" w:color="D4D4D8" w:sz="1"/>
            </w:tcBorders>
            <w:shd w:fill="2D1B4E"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Sigloop</w:t>
            </w:r>
          </w:p>
        </w:tc>
      </w:tr>
      <w:tr>
        <w:tc>
          <w:tcPr>
            <w:tcW w:type="dxa" w:w="1560"/>
            <w:tcBorders>
              <w:top w:val="single" w:color="D4D4D8" w:sz="1"/>
              <w:left w:val="single" w:color="D4D4D8" w:sz="1"/>
              <w:bottom w:val="single" w:color="D4D4D8" w:sz="1"/>
              <w:right w:val="single" w:color="D4D4D8" w:sz="1"/>
            </w:tcBorders>
            <w:tcMar>
              <w:top w:type="dxa" w:w="80"/>
              <w:left w:type="dxa" w:w="120"/>
              <w:bottom w:type="dxa" w:w="80"/>
              <w:right w:type="dxa" w:w="120"/>
            </w:tcMar>
            <w:vAlign w:val="center"/>
          </w:tcPr>
          <w:p>
            <w:pPr>
              <w:jc w:val="left"/>
            </w:pPr>
            <w:r>
              <w:rPr>
                <w:rFonts w:ascii="Calibri" w:cs="Calibri" w:eastAsia="Calibri" w:hAnsi="Calibri"/>
                <w:b/>
                <w:bCs/>
                <w:color w:val="1E1E2E"/>
                <w:sz w:val="19"/>
                <w:szCs w:val="19"/>
              </w:rPr>
              <w:t xml:space="preserve">Focus</w:t>
            </w:r>
          </w:p>
        </w:tc>
        <w:tc>
          <w:tcPr>
            <w:tcW w:type="dxa" w:w="1560"/>
            <w:tcBorders>
              <w:top w:val="single" w:color="D4D4D8" w:sz="1"/>
              <w:left w:val="single" w:color="D4D4D8" w:sz="1"/>
              <w:bottom w:val="single" w:color="D4D4D8" w:sz="1"/>
              <w:right w:val="single" w:color="D4D4D8" w:sz="1"/>
            </w:tcBorders>
            <w:tcMar>
              <w:top w:type="dxa" w:w="80"/>
              <w:left w:type="dxa" w:w="120"/>
              <w:bottom w:type="dxa" w:w="80"/>
              <w:right w:type="dxa" w:w="120"/>
            </w:tcMar>
            <w:vAlign w:val="center"/>
          </w:tcPr>
          <w:p>
            <w:pPr>
              <w:jc w:val="left"/>
            </w:pPr>
            <w:r>
              <w:rPr>
                <w:rFonts w:ascii="Calibri" w:cs="Calibri" w:eastAsia="Calibri" w:hAnsi="Calibri"/>
                <w:color w:val="1E1E2E"/>
                <w:sz w:val="19"/>
                <w:szCs w:val="19"/>
              </w:rPr>
              <w:t xml:space="preserve">AA infra</w:t>
            </w:r>
          </w:p>
        </w:tc>
        <w:tc>
          <w:tcPr>
            <w:tcW w:type="dxa" w:w="1560"/>
            <w:tcBorders>
              <w:top w:val="single" w:color="D4D4D8" w:sz="1"/>
              <w:left w:val="single" w:color="D4D4D8" w:sz="1"/>
              <w:bottom w:val="single" w:color="D4D4D8" w:sz="1"/>
              <w:right w:val="single" w:color="D4D4D8" w:sz="1"/>
            </w:tcBorders>
            <w:tcMar>
              <w:top w:type="dxa" w:w="80"/>
              <w:left w:type="dxa" w:w="120"/>
              <w:bottom w:type="dxa" w:w="80"/>
              <w:right w:type="dxa" w:w="120"/>
            </w:tcMar>
            <w:vAlign w:val="center"/>
          </w:tcPr>
          <w:p>
            <w:pPr>
              <w:jc w:val="left"/>
            </w:pPr>
            <w:r>
              <w:rPr>
                <w:rFonts w:ascii="Calibri" w:cs="Calibri" w:eastAsia="Calibri" w:hAnsi="Calibri"/>
                <w:color w:val="1E1E2E"/>
                <w:sz w:val="19"/>
                <w:szCs w:val="19"/>
              </w:rPr>
              <w:t xml:space="preserve">Auth</w:t>
            </w:r>
          </w:p>
        </w:tc>
        <w:tc>
          <w:tcPr>
            <w:tcW w:type="dxa" w:w="1560"/>
            <w:tcBorders>
              <w:top w:val="single" w:color="D4D4D8" w:sz="1"/>
              <w:left w:val="single" w:color="D4D4D8" w:sz="1"/>
              <w:bottom w:val="single" w:color="D4D4D8" w:sz="1"/>
              <w:right w:val="single" w:color="D4D4D8" w:sz="1"/>
            </w:tcBorders>
            <w:tcMar>
              <w:top w:type="dxa" w:w="80"/>
              <w:left w:type="dxa" w:w="120"/>
              <w:bottom w:type="dxa" w:w="80"/>
              <w:right w:type="dxa" w:w="120"/>
            </w:tcMar>
            <w:vAlign w:val="center"/>
          </w:tcPr>
          <w:p>
            <w:pPr>
              <w:jc w:val="left"/>
            </w:pPr>
            <w:r>
              <w:rPr>
                <w:rFonts w:ascii="Calibri" w:cs="Calibri" w:eastAsia="Calibri" w:hAnsi="Calibri"/>
                <w:color w:val="1E1E2E"/>
                <w:sz w:val="19"/>
                <w:szCs w:val="19"/>
              </w:rPr>
              <w:t xml:space="preserve">Facilitator</w:t>
            </w:r>
          </w:p>
        </w:tc>
        <w:tc>
          <w:tcPr>
            <w:tcW w:type="dxa" w:w="1560"/>
            <w:tcBorders>
              <w:top w:val="single" w:color="D4D4D8" w:sz="1"/>
              <w:left w:val="single" w:color="D4D4D8" w:sz="1"/>
              <w:bottom w:val="single" w:color="D4D4D8" w:sz="1"/>
              <w:right w:val="single" w:color="D4D4D8" w:sz="1"/>
            </w:tcBorders>
            <w:tcMar>
              <w:top w:type="dxa" w:w="80"/>
              <w:left w:type="dxa" w:w="120"/>
              <w:bottom w:type="dxa" w:w="80"/>
              <w:right w:type="dxa" w:w="120"/>
            </w:tcMar>
            <w:vAlign w:val="center"/>
          </w:tcPr>
          <w:p>
            <w:pPr>
              <w:jc w:val="left"/>
            </w:pPr>
            <w:r>
              <w:rPr>
                <w:rFonts w:ascii="Calibri" w:cs="Calibri" w:eastAsia="Calibri" w:hAnsi="Calibri"/>
                <w:color w:val="1E1E2E"/>
                <w:sz w:val="19"/>
                <w:szCs w:val="19"/>
              </w:rPr>
              <w:t xml:space="preserve">AA infra</w:t>
            </w:r>
          </w:p>
        </w:tc>
        <w:tc>
          <w:tcPr>
            <w:tcW w:type="dxa" w:w="1560"/>
            <w:tcBorders>
              <w:top w:val="single" w:color="D4D4D8" w:sz="1"/>
              <w:left w:val="single" w:color="D4D4D8" w:sz="1"/>
              <w:bottom w:val="single" w:color="D4D4D8" w:sz="1"/>
              <w:right w:val="single" w:color="D4D4D8" w:sz="1"/>
            </w:tcBorders>
            <w:tcMar>
              <w:top w:type="dxa" w:w="80"/>
              <w:left w:type="dxa" w:w="120"/>
              <w:bottom w:type="dxa" w:w="80"/>
              <w:right w:type="dxa" w:w="120"/>
            </w:tcMar>
            <w:vAlign w:val="center"/>
          </w:tcPr>
          <w:p>
            <w:pPr>
              <w:jc w:val="left"/>
            </w:pPr>
            <w:r>
              <w:rPr>
                <w:rFonts w:ascii="Calibri" w:cs="Calibri" w:eastAsia="Calibri" w:hAnsi="Calibri"/>
                <w:color w:val="1E1E2E"/>
                <w:sz w:val="19"/>
                <w:szCs w:val="19"/>
              </w:rPr>
              <w:t xml:space="preserve">Agent wallet + x402</w:t>
            </w:r>
          </w:p>
        </w:tc>
      </w:tr>
      <w:tr>
        <w:tc>
          <w:tcPr>
            <w:tcW w:type="dxa" w:w="1560"/>
            <w:tcBorders>
              <w:top w:val="single" w:color="D4D4D8" w:sz="1"/>
              <w:left w:val="single" w:color="D4D4D8" w:sz="1"/>
              <w:bottom w:val="single" w:color="D4D4D8" w:sz="1"/>
              <w:right w:val="single" w:color="D4D4D8" w:sz="1"/>
            </w:tcBorders>
            <w:shd w:fill="F8F7FC" w:val="clear"/>
            <w:tcMar>
              <w:top w:type="dxa" w:w="80"/>
              <w:left w:type="dxa" w:w="120"/>
              <w:bottom w:type="dxa" w:w="80"/>
              <w:right w:type="dxa" w:w="120"/>
            </w:tcMar>
            <w:vAlign w:val="center"/>
          </w:tcPr>
          <w:p>
            <w:pPr>
              <w:jc w:val="left"/>
            </w:pPr>
            <w:r>
              <w:rPr>
                <w:rFonts w:ascii="Calibri" w:cs="Calibri" w:eastAsia="Calibri" w:hAnsi="Calibri"/>
                <w:b/>
                <w:bCs/>
                <w:color w:val="1E1E2E"/>
                <w:sz w:val="19"/>
                <w:szCs w:val="19"/>
              </w:rPr>
              <w:t xml:space="preserve">Agent support</w:t>
            </w:r>
          </w:p>
        </w:tc>
        <w:tc>
          <w:tcPr>
            <w:tcW w:type="dxa" w:w="1560"/>
            <w:tcBorders>
              <w:top w:val="single" w:color="D4D4D8" w:sz="1"/>
              <w:left w:val="single" w:color="D4D4D8" w:sz="1"/>
              <w:bottom w:val="single" w:color="D4D4D8" w:sz="1"/>
              <w:right w:val="single" w:color="D4D4D8" w:sz="1"/>
            </w:tcBorders>
            <w:shd w:fill="F8F7FC" w:val="clear"/>
            <w:tcMar>
              <w:top w:type="dxa" w:w="80"/>
              <w:left w:type="dxa" w:w="120"/>
              <w:bottom w:type="dxa" w:w="80"/>
              <w:right w:type="dxa" w:w="120"/>
            </w:tcMar>
            <w:vAlign w:val="center"/>
          </w:tcPr>
          <w:p>
            <w:pPr>
              <w:jc w:val="left"/>
            </w:pPr>
            <w:r>
              <w:rPr>
                <w:rFonts w:ascii="Calibri" w:cs="Calibri" w:eastAsia="Calibri" w:hAnsi="Calibri"/>
                <w:color w:val="1E1E2E"/>
                <w:sz w:val="19"/>
                <w:szCs w:val="19"/>
              </w:rPr>
              <w:t xml:space="preserve">Basic keys</w:t>
            </w:r>
          </w:p>
        </w:tc>
        <w:tc>
          <w:tcPr>
            <w:tcW w:type="dxa" w:w="1560"/>
            <w:tcBorders>
              <w:top w:val="single" w:color="D4D4D8" w:sz="1"/>
              <w:left w:val="single" w:color="D4D4D8" w:sz="1"/>
              <w:bottom w:val="single" w:color="D4D4D8" w:sz="1"/>
              <w:right w:val="single" w:color="D4D4D8" w:sz="1"/>
            </w:tcBorders>
            <w:shd w:fill="F8F7FC" w:val="clear"/>
            <w:tcMar>
              <w:top w:type="dxa" w:w="80"/>
              <w:left w:type="dxa" w:w="120"/>
              <w:bottom w:type="dxa" w:w="80"/>
              <w:right w:type="dxa" w:w="120"/>
            </w:tcMar>
            <w:vAlign w:val="center"/>
          </w:tcPr>
          <w:p>
            <w:pPr>
              <w:jc w:val="left"/>
            </w:pPr>
            <w:r>
              <w:rPr>
                <w:rFonts w:ascii="Calibri" w:cs="Calibri" w:eastAsia="Calibri" w:hAnsi="Calibri"/>
                <w:color w:val="1E1E2E"/>
                <w:sz w:val="19"/>
                <w:szCs w:val="19"/>
              </w:rPr>
              <w:t xml:space="preserve">None</w:t>
            </w:r>
          </w:p>
        </w:tc>
        <w:tc>
          <w:tcPr>
            <w:tcW w:type="dxa" w:w="1560"/>
            <w:tcBorders>
              <w:top w:val="single" w:color="D4D4D8" w:sz="1"/>
              <w:left w:val="single" w:color="D4D4D8" w:sz="1"/>
              <w:bottom w:val="single" w:color="D4D4D8" w:sz="1"/>
              <w:right w:val="single" w:color="D4D4D8" w:sz="1"/>
            </w:tcBorders>
            <w:shd w:fill="F8F7FC" w:val="clear"/>
            <w:tcMar>
              <w:top w:type="dxa" w:w="80"/>
              <w:left w:type="dxa" w:w="120"/>
              <w:bottom w:type="dxa" w:w="80"/>
              <w:right w:type="dxa" w:w="120"/>
            </w:tcMar>
            <w:vAlign w:val="center"/>
          </w:tcPr>
          <w:p>
            <w:pPr>
              <w:jc w:val="left"/>
            </w:pPr>
            <w:r>
              <w:rPr>
                <w:rFonts w:ascii="Calibri" w:cs="Calibri" w:eastAsia="Calibri" w:hAnsi="Calibri"/>
                <w:color w:val="1E1E2E"/>
                <w:sz w:val="19"/>
                <w:szCs w:val="19"/>
              </w:rPr>
              <w:t xml:space="preserve">AgentKit</w:t>
            </w:r>
          </w:p>
        </w:tc>
        <w:tc>
          <w:tcPr>
            <w:tcW w:type="dxa" w:w="1560"/>
            <w:tcBorders>
              <w:top w:val="single" w:color="D4D4D8" w:sz="1"/>
              <w:left w:val="single" w:color="D4D4D8" w:sz="1"/>
              <w:bottom w:val="single" w:color="D4D4D8" w:sz="1"/>
              <w:right w:val="single" w:color="D4D4D8" w:sz="1"/>
            </w:tcBorders>
            <w:shd w:fill="F8F7FC" w:val="clear"/>
            <w:tcMar>
              <w:top w:type="dxa" w:w="80"/>
              <w:left w:type="dxa" w:w="120"/>
              <w:bottom w:type="dxa" w:w="80"/>
              <w:right w:type="dxa" w:w="120"/>
            </w:tcMar>
            <w:vAlign w:val="center"/>
          </w:tcPr>
          <w:p>
            <w:pPr>
              <w:jc w:val="left"/>
            </w:pPr>
            <w:r>
              <w:rPr>
                <w:rFonts w:ascii="Calibri" w:cs="Calibri" w:eastAsia="Calibri" w:hAnsi="Calibri"/>
                <w:color w:val="1E1E2E"/>
                <w:sz w:val="19"/>
                <w:szCs w:val="19"/>
              </w:rPr>
              <w:t xml:space="preserve">Limited</w:t>
            </w:r>
          </w:p>
        </w:tc>
        <w:tc>
          <w:tcPr>
            <w:tcW w:type="dxa" w:w="1560"/>
            <w:tcBorders>
              <w:top w:val="single" w:color="D4D4D8" w:sz="1"/>
              <w:left w:val="single" w:color="D4D4D8" w:sz="1"/>
              <w:bottom w:val="single" w:color="D4D4D8" w:sz="1"/>
              <w:right w:val="single" w:color="D4D4D8" w:sz="1"/>
            </w:tcBorders>
            <w:shd w:fill="F8F7FC" w:val="clear"/>
            <w:tcMar>
              <w:top w:type="dxa" w:w="80"/>
              <w:left w:type="dxa" w:w="120"/>
              <w:bottom w:type="dxa" w:w="80"/>
              <w:right w:type="dxa" w:w="120"/>
            </w:tcMar>
            <w:vAlign w:val="center"/>
          </w:tcPr>
          <w:p>
            <w:pPr>
              <w:jc w:val="left"/>
            </w:pPr>
            <w:r>
              <w:rPr>
                <w:rFonts w:ascii="Calibri" w:cs="Calibri" w:eastAsia="Calibri" w:hAnsi="Calibri"/>
                <w:color w:val="1E1E2E"/>
                <w:sz w:val="19"/>
                <w:szCs w:val="19"/>
              </w:rPr>
              <w:t xml:space="preserve">Full engine</w:t>
            </w:r>
          </w:p>
        </w:tc>
      </w:tr>
      <w:tr>
        <w:tc>
          <w:tcPr>
            <w:tcW w:type="dxa" w:w="1560"/>
            <w:tcBorders>
              <w:top w:val="single" w:color="D4D4D8" w:sz="1"/>
              <w:left w:val="single" w:color="D4D4D8" w:sz="1"/>
              <w:bottom w:val="single" w:color="D4D4D8" w:sz="1"/>
              <w:right w:val="single" w:color="D4D4D8" w:sz="1"/>
            </w:tcBorders>
            <w:tcMar>
              <w:top w:type="dxa" w:w="80"/>
              <w:left w:type="dxa" w:w="120"/>
              <w:bottom w:type="dxa" w:w="80"/>
              <w:right w:type="dxa" w:w="120"/>
            </w:tcMar>
            <w:vAlign w:val="center"/>
          </w:tcPr>
          <w:p>
            <w:pPr>
              <w:jc w:val="left"/>
            </w:pPr>
            <w:r>
              <w:rPr>
                <w:rFonts w:ascii="Calibri" w:cs="Calibri" w:eastAsia="Calibri" w:hAnsi="Calibri"/>
                <w:b/>
                <w:bCs/>
                <w:color w:val="1E1E2E"/>
                <w:sz w:val="19"/>
                <w:szCs w:val="19"/>
              </w:rPr>
              <w:t xml:space="preserve">x402 native</w:t>
            </w:r>
          </w:p>
        </w:tc>
        <w:tc>
          <w:tcPr>
            <w:tcW w:type="dxa" w:w="1560"/>
            <w:tcBorders>
              <w:top w:val="single" w:color="D4D4D8" w:sz="1"/>
              <w:left w:val="single" w:color="D4D4D8" w:sz="1"/>
              <w:bottom w:val="single" w:color="D4D4D8" w:sz="1"/>
              <w:right w:val="single" w:color="D4D4D8" w:sz="1"/>
            </w:tcBorders>
            <w:tcMar>
              <w:top w:type="dxa" w:w="80"/>
              <w:left w:type="dxa" w:w="120"/>
              <w:bottom w:type="dxa" w:w="80"/>
              <w:right w:type="dxa" w:w="120"/>
            </w:tcMar>
            <w:vAlign w:val="center"/>
          </w:tcPr>
          <w:p>
            <w:pPr>
              <w:jc w:val="left"/>
            </w:pPr>
            <w:r>
              <w:rPr>
                <w:rFonts w:ascii="Calibri" w:cs="Calibri" w:eastAsia="Calibri" w:hAnsi="Calibri"/>
                <w:color w:val="1E1E2E"/>
                <w:sz w:val="19"/>
                <w:szCs w:val="19"/>
              </w:rPr>
              <w:t xml:space="preserve">No</w:t>
            </w:r>
          </w:p>
        </w:tc>
        <w:tc>
          <w:tcPr>
            <w:tcW w:type="dxa" w:w="1560"/>
            <w:tcBorders>
              <w:top w:val="single" w:color="D4D4D8" w:sz="1"/>
              <w:left w:val="single" w:color="D4D4D8" w:sz="1"/>
              <w:bottom w:val="single" w:color="D4D4D8" w:sz="1"/>
              <w:right w:val="single" w:color="D4D4D8" w:sz="1"/>
            </w:tcBorders>
            <w:tcMar>
              <w:top w:type="dxa" w:w="80"/>
              <w:left w:type="dxa" w:w="120"/>
              <w:bottom w:type="dxa" w:w="80"/>
              <w:right w:type="dxa" w:w="120"/>
            </w:tcMar>
            <w:vAlign w:val="center"/>
          </w:tcPr>
          <w:p>
            <w:pPr>
              <w:jc w:val="left"/>
            </w:pPr>
            <w:r>
              <w:rPr>
                <w:rFonts w:ascii="Calibri" w:cs="Calibri" w:eastAsia="Calibri" w:hAnsi="Calibri"/>
                <w:color w:val="1E1E2E"/>
                <w:sz w:val="19"/>
                <w:szCs w:val="19"/>
              </w:rPr>
              <w:t xml:space="preserve">No</w:t>
            </w:r>
          </w:p>
        </w:tc>
        <w:tc>
          <w:tcPr>
            <w:tcW w:type="dxa" w:w="1560"/>
            <w:tcBorders>
              <w:top w:val="single" w:color="D4D4D8" w:sz="1"/>
              <w:left w:val="single" w:color="D4D4D8" w:sz="1"/>
              <w:bottom w:val="single" w:color="D4D4D8" w:sz="1"/>
              <w:right w:val="single" w:color="D4D4D8" w:sz="1"/>
            </w:tcBorders>
            <w:tcMar>
              <w:top w:type="dxa" w:w="80"/>
              <w:left w:type="dxa" w:w="120"/>
              <w:bottom w:type="dxa" w:w="80"/>
              <w:right w:type="dxa" w:w="120"/>
            </w:tcMar>
            <w:vAlign w:val="center"/>
          </w:tcPr>
          <w:p>
            <w:pPr>
              <w:jc w:val="left"/>
            </w:pPr>
            <w:r>
              <w:rPr>
                <w:rFonts w:ascii="Calibri" w:cs="Calibri" w:eastAsia="Calibri" w:hAnsi="Calibri"/>
                <w:color w:val="1E1E2E"/>
                <w:sz w:val="19"/>
                <w:szCs w:val="19"/>
              </w:rPr>
              <w:t xml:space="preserve">Server only</w:t>
            </w:r>
          </w:p>
        </w:tc>
        <w:tc>
          <w:tcPr>
            <w:tcW w:type="dxa" w:w="1560"/>
            <w:tcBorders>
              <w:top w:val="single" w:color="D4D4D8" w:sz="1"/>
              <w:left w:val="single" w:color="D4D4D8" w:sz="1"/>
              <w:bottom w:val="single" w:color="D4D4D8" w:sz="1"/>
              <w:right w:val="single" w:color="D4D4D8" w:sz="1"/>
            </w:tcBorders>
            <w:tcMar>
              <w:top w:type="dxa" w:w="80"/>
              <w:left w:type="dxa" w:w="120"/>
              <w:bottom w:type="dxa" w:w="80"/>
              <w:right w:type="dxa" w:w="120"/>
            </w:tcMar>
            <w:vAlign w:val="center"/>
          </w:tcPr>
          <w:p>
            <w:pPr>
              <w:jc w:val="left"/>
            </w:pPr>
            <w:r>
              <w:rPr>
                <w:rFonts w:ascii="Calibri" w:cs="Calibri" w:eastAsia="Calibri" w:hAnsi="Calibri"/>
                <w:color w:val="1E1E2E"/>
                <w:sz w:val="19"/>
                <w:szCs w:val="19"/>
              </w:rPr>
              <w:t xml:space="preserve">No</w:t>
            </w:r>
          </w:p>
        </w:tc>
        <w:tc>
          <w:tcPr>
            <w:tcW w:type="dxa" w:w="1560"/>
            <w:tcBorders>
              <w:top w:val="single" w:color="D4D4D8" w:sz="1"/>
              <w:left w:val="single" w:color="D4D4D8" w:sz="1"/>
              <w:bottom w:val="single" w:color="D4D4D8" w:sz="1"/>
              <w:right w:val="single" w:color="D4D4D8" w:sz="1"/>
            </w:tcBorders>
            <w:tcMar>
              <w:top w:type="dxa" w:w="80"/>
              <w:left w:type="dxa" w:w="120"/>
              <w:bottom w:type="dxa" w:w="80"/>
              <w:right w:type="dxa" w:w="120"/>
            </w:tcMar>
            <w:vAlign w:val="center"/>
          </w:tcPr>
          <w:p>
            <w:pPr>
              <w:jc w:val="left"/>
            </w:pPr>
            <w:r>
              <w:rPr>
                <w:rFonts w:ascii="Calibri" w:cs="Calibri" w:eastAsia="Calibri" w:hAnsi="Calibri"/>
                <w:color w:val="1E1E2E"/>
                <w:sz w:val="19"/>
                <w:szCs w:val="19"/>
              </w:rPr>
              <w:t xml:space="preserve">Yes</w:t>
            </w:r>
          </w:p>
        </w:tc>
      </w:tr>
      <w:tr>
        <w:tc>
          <w:tcPr>
            <w:tcW w:type="dxa" w:w="1560"/>
            <w:tcBorders>
              <w:top w:val="single" w:color="D4D4D8" w:sz="1"/>
              <w:left w:val="single" w:color="D4D4D8" w:sz="1"/>
              <w:bottom w:val="single" w:color="D4D4D8" w:sz="1"/>
              <w:right w:val="single" w:color="D4D4D8" w:sz="1"/>
            </w:tcBorders>
            <w:shd w:fill="F8F7FC" w:val="clear"/>
            <w:tcMar>
              <w:top w:type="dxa" w:w="80"/>
              <w:left w:type="dxa" w:w="120"/>
              <w:bottom w:type="dxa" w:w="80"/>
              <w:right w:type="dxa" w:w="120"/>
            </w:tcMar>
            <w:vAlign w:val="center"/>
          </w:tcPr>
          <w:p>
            <w:pPr>
              <w:jc w:val="left"/>
            </w:pPr>
            <w:r>
              <w:rPr>
                <w:rFonts w:ascii="Calibri" w:cs="Calibri" w:eastAsia="Calibri" w:hAnsi="Calibri"/>
                <w:b/>
                <w:bCs/>
                <w:color w:val="1E1E2E"/>
                <w:sz w:val="19"/>
                <w:szCs w:val="19"/>
              </w:rPr>
              <w:t xml:space="preserve">DeFi modules</w:t>
            </w:r>
          </w:p>
        </w:tc>
        <w:tc>
          <w:tcPr>
            <w:tcW w:type="dxa" w:w="1560"/>
            <w:tcBorders>
              <w:top w:val="single" w:color="D4D4D8" w:sz="1"/>
              <w:left w:val="single" w:color="D4D4D8" w:sz="1"/>
              <w:bottom w:val="single" w:color="D4D4D8" w:sz="1"/>
              <w:right w:val="single" w:color="D4D4D8" w:sz="1"/>
            </w:tcBorders>
            <w:shd w:fill="F8F7FC" w:val="clear"/>
            <w:tcMar>
              <w:top w:type="dxa" w:w="80"/>
              <w:left w:type="dxa" w:w="120"/>
              <w:bottom w:type="dxa" w:w="80"/>
              <w:right w:type="dxa" w:w="120"/>
            </w:tcMar>
            <w:vAlign w:val="center"/>
          </w:tcPr>
          <w:p>
            <w:pPr>
              <w:jc w:val="left"/>
            </w:pPr>
            <w:r>
              <w:rPr>
                <w:rFonts w:ascii="Calibri" w:cs="Calibri" w:eastAsia="Calibri" w:hAnsi="Calibri"/>
                <w:color w:val="1E1E2E"/>
                <w:sz w:val="19"/>
                <w:szCs w:val="19"/>
              </w:rPr>
              <w:t xml:space="preserve">No</w:t>
            </w:r>
          </w:p>
        </w:tc>
        <w:tc>
          <w:tcPr>
            <w:tcW w:type="dxa" w:w="1560"/>
            <w:tcBorders>
              <w:top w:val="single" w:color="D4D4D8" w:sz="1"/>
              <w:left w:val="single" w:color="D4D4D8" w:sz="1"/>
              <w:bottom w:val="single" w:color="D4D4D8" w:sz="1"/>
              <w:right w:val="single" w:color="D4D4D8" w:sz="1"/>
            </w:tcBorders>
            <w:shd w:fill="F8F7FC" w:val="clear"/>
            <w:tcMar>
              <w:top w:type="dxa" w:w="80"/>
              <w:left w:type="dxa" w:w="120"/>
              <w:bottom w:type="dxa" w:w="80"/>
              <w:right w:type="dxa" w:w="120"/>
            </w:tcMar>
            <w:vAlign w:val="center"/>
          </w:tcPr>
          <w:p>
            <w:pPr>
              <w:jc w:val="left"/>
            </w:pPr>
            <w:r>
              <w:rPr>
                <w:rFonts w:ascii="Calibri" w:cs="Calibri" w:eastAsia="Calibri" w:hAnsi="Calibri"/>
                <w:color w:val="1E1E2E"/>
                <w:sz w:val="19"/>
                <w:szCs w:val="19"/>
              </w:rPr>
              <w:t xml:space="preserve">No</w:t>
            </w:r>
          </w:p>
        </w:tc>
        <w:tc>
          <w:tcPr>
            <w:tcW w:type="dxa" w:w="1560"/>
            <w:tcBorders>
              <w:top w:val="single" w:color="D4D4D8" w:sz="1"/>
              <w:left w:val="single" w:color="D4D4D8" w:sz="1"/>
              <w:bottom w:val="single" w:color="D4D4D8" w:sz="1"/>
              <w:right w:val="single" w:color="D4D4D8" w:sz="1"/>
            </w:tcBorders>
            <w:shd w:fill="F8F7FC" w:val="clear"/>
            <w:tcMar>
              <w:top w:type="dxa" w:w="80"/>
              <w:left w:type="dxa" w:w="120"/>
              <w:bottom w:type="dxa" w:w="80"/>
              <w:right w:type="dxa" w:w="120"/>
            </w:tcMar>
            <w:vAlign w:val="center"/>
          </w:tcPr>
          <w:p>
            <w:pPr>
              <w:jc w:val="left"/>
            </w:pPr>
            <w:r>
              <w:rPr>
                <w:rFonts w:ascii="Calibri" w:cs="Calibri" w:eastAsia="Calibri" w:hAnsi="Calibri"/>
                <w:color w:val="1E1E2E"/>
                <w:sz w:val="19"/>
                <w:szCs w:val="19"/>
              </w:rPr>
              <w:t xml:space="preserve">No</w:t>
            </w:r>
          </w:p>
        </w:tc>
        <w:tc>
          <w:tcPr>
            <w:tcW w:type="dxa" w:w="1560"/>
            <w:tcBorders>
              <w:top w:val="single" w:color="D4D4D8" w:sz="1"/>
              <w:left w:val="single" w:color="D4D4D8" w:sz="1"/>
              <w:bottom w:val="single" w:color="D4D4D8" w:sz="1"/>
              <w:right w:val="single" w:color="D4D4D8" w:sz="1"/>
            </w:tcBorders>
            <w:shd w:fill="F8F7FC" w:val="clear"/>
            <w:tcMar>
              <w:top w:type="dxa" w:w="80"/>
              <w:left w:type="dxa" w:w="120"/>
              <w:bottom w:type="dxa" w:w="80"/>
              <w:right w:type="dxa" w:w="120"/>
            </w:tcMar>
            <w:vAlign w:val="center"/>
          </w:tcPr>
          <w:p>
            <w:pPr>
              <w:jc w:val="left"/>
            </w:pPr>
            <w:r>
              <w:rPr>
                <w:rFonts w:ascii="Calibri" w:cs="Calibri" w:eastAsia="Calibri" w:hAnsi="Calibri"/>
                <w:color w:val="1E1E2E"/>
                <w:sz w:val="19"/>
                <w:szCs w:val="19"/>
              </w:rPr>
              <w:t xml:space="preserve">No</w:t>
            </w:r>
          </w:p>
        </w:tc>
        <w:tc>
          <w:tcPr>
            <w:tcW w:type="dxa" w:w="1560"/>
            <w:tcBorders>
              <w:top w:val="single" w:color="D4D4D8" w:sz="1"/>
              <w:left w:val="single" w:color="D4D4D8" w:sz="1"/>
              <w:bottom w:val="single" w:color="D4D4D8" w:sz="1"/>
              <w:right w:val="single" w:color="D4D4D8" w:sz="1"/>
            </w:tcBorders>
            <w:shd w:fill="F8F7FC" w:val="clear"/>
            <w:tcMar>
              <w:top w:type="dxa" w:w="80"/>
              <w:left w:type="dxa" w:w="120"/>
              <w:bottom w:type="dxa" w:w="80"/>
              <w:right w:type="dxa" w:w="120"/>
            </w:tcMar>
            <w:vAlign w:val="center"/>
          </w:tcPr>
          <w:p>
            <w:pPr>
              <w:jc w:val="left"/>
            </w:pPr>
            <w:r>
              <w:rPr>
                <w:rFonts w:ascii="Calibri" w:cs="Calibri" w:eastAsia="Calibri" w:hAnsi="Calibri"/>
                <w:color w:val="1E1E2E"/>
                <w:sz w:val="19"/>
                <w:szCs w:val="19"/>
              </w:rPr>
              <w:t xml:space="preserve">Yes</w:t>
            </w:r>
          </w:p>
        </w:tc>
      </w:tr>
      <w:tr>
        <w:tc>
          <w:tcPr>
            <w:tcW w:type="dxa" w:w="1560"/>
            <w:tcBorders>
              <w:top w:val="single" w:color="D4D4D8" w:sz="1"/>
              <w:left w:val="single" w:color="D4D4D8" w:sz="1"/>
              <w:bottom w:val="single" w:color="D4D4D8" w:sz="1"/>
              <w:right w:val="single" w:color="D4D4D8" w:sz="1"/>
            </w:tcBorders>
            <w:tcMar>
              <w:top w:type="dxa" w:w="80"/>
              <w:left w:type="dxa" w:w="120"/>
              <w:bottom w:type="dxa" w:w="80"/>
              <w:right w:type="dxa" w:w="120"/>
            </w:tcMar>
            <w:vAlign w:val="center"/>
          </w:tcPr>
          <w:p>
            <w:pPr>
              <w:jc w:val="left"/>
            </w:pPr>
            <w:r>
              <w:rPr>
                <w:rFonts w:ascii="Calibri" w:cs="Calibri" w:eastAsia="Calibri" w:hAnsi="Calibri"/>
                <w:b/>
                <w:bCs/>
                <w:color w:val="1E1E2E"/>
                <w:sz w:val="19"/>
                <w:szCs w:val="19"/>
              </w:rPr>
              <w:t xml:space="preserve">Go SDK</w:t>
            </w:r>
          </w:p>
        </w:tc>
        <w:tc>
          <w:tcPr>
            <w:tcW w:type="dxa" w:w="1560"/>
            <w:tcBorders>
              <w:top w:val="single" w:color="D4D4D8" w:sz="1"/>
              <w:left w:val="single" w:color="D4D4D8" w:sz="1"/>
              <w:bottom w:val="single" w:color="D4D4D8" w:sz="1"/>
              <w:right w:val="single" w:color="D4D4D8" w:sz="1"/>
            </w:tcBorders>
            <w:tcMar>
              <w:top w:type="dxa" w:w="80"/>
              <w:left w:type="dxa" w:w="120"/>
              <w:bottom w:type="dxa" w:w="80"/>
              <w:right w:type="dxa" w:w="120"/>
            </w:tcMar>
            <w:vAlign w:val="center"/>
          </w:tcPr>
          <w:p>
            <w:pPr>
              <w:jc w:val="left"/>
            </w:pPr>
            <w:r>
              <w:rPr>
                <w:rFonts w:ascii="Calibri" w:cs="Calibri" w:eastAsia="Calibri" w:hAnsi="Calibri"/>
                <w:color w:val="1E1E2E"/>
                <w:sz w:val="19"/>
                <w:szCs w:val="19"/>
              </w:rPr>
              <w:t xml:space="preserve">Basic</w:t>
            </w:r>
          </w:p>
        </w:tc>
        <w:tc>
          <w:tcPr>
            <w:tcW w:type="dxa" w:w="1560"/>
            <w:tcBorders>
              <w:top w:val="single" w:color="D4D4D8" w:sz="1"/>
              <w:left w:val="single" w:color="D4D4D8" w:sz="1"/>
              <w:bottom w:val="single" w:color="D4D4D8" w:sz="1"/>
              <w:right w:val="single" w:color="D4D4D8" w:sz="1"/>
            </w:tcBorders>
            <w:tcMar>
              <w:top w:type="dxa" w:w="80"/>
              <w:left w:type="dxa" w:w="120"/>
              <w:bottom w:type="dxa" w:w="80"/>
              <w:right w:type="dxa" w:w="120"/>
            </w:tcMar>
            <w:vAlign w:val="center"/>
          </w:tcPr>
          <w:p>
            <w:pPr>
              <w:jc w:val="left"/>
            </w:pPr>
            <w:r>
              <w:rPr>
                <w:rFonts w:ascii="Calibri" w:cs="Calibri" w:eastAsia="Calibri" w:hAnsi="Calibri"/>
                <w:color w:val="1E1E2E"/>
                <w:sz w:val="19"/>
                <w:szCs w:val="19"/>
              </w:rPr>
              <w:t xml:space="preserve">No</w:t>
            </w:r>
          </w:p>
        </w:tc>
        <w:tc>
          <w:tcPr>
            <w:tcW w:type="dxa" w:w="1560"/>
            <w:tcBorders>
              <w:top w:val="single" w:color="D4D4D8" w:sz="1"/>
              <w:left w:val="single" w:color="D4D4D8" w:sz="1"/>
              <w:bottom w:val="single" w:color="D4D4D8" w:sz="1"/>
              <w:right w:val="single" w:color="D4D4D8" w:sz="1"/>
            </w:tcBorders>
            <w:tcMar>
              <w:top w:type="dxa" w:w="80"/>
              <w:left w:type="dxa" w:w="120"/>
              <w:bottom w:type="dxa" w:w="80"/>
              <w:right w:type="dxa" w:w="120"/>
            </w:tcMar>
            <w:vAlign w:val="center"/>
          </w:tcPr>
          <w:p>
            <w:pPr>
              <w:jc w:val="left"/>
            </w:pPr>
            <w:r>
              <w:rPr>
                <w:rFonts w:ascii="Calibri" w:cs="Calibri" w:eastAsia="Calibri" w:hAnsi="Calibri"/>
                <w:color w:val="1E1E2E"/>
                <w:sz w:val="19"/>
                <w:szCs w:val="19"/>
              </w:rPr>
              <w:t xml:space="preserve">No</w:t>
            </w:r>
          </w:p>
        </w:tc>
        <w:tc>
          <w:tcPr>
            <w:tcW w:type="dxa" w:w="1560"/>
            <w:tcBorders>
              <w:top w:val="single" w:color="D4D4D8" w:sz="1"/>
              <w:left w:val="single" w:color="D4D4D8" w:sz="1"/>
              <w:bottom w:val="single" w:color="D4D4D8" w:sz="1"/>
              <w:right w:val="single" w:color="D4D4D8" w:sz="1"/>
            </w:tcBorders>
            <w:tcMar>
              <w:top w:type="dxa" w:w="80"/>
              <w:left w:type="dxa" w:w="120"/>
              <w:bottom w:type="dxa" w:w="80"/>
              <w:right w:type="dxa" w:w="120"/>
            </w:tcMar>
            <w:vAlign w:val="center"/>
          </w:tcPr>
          <w:p>
            <w:pPr>
              <w:jc w:val="left"/>
            </w:pPr>
            <w:r>
              <w:rPr>
                <w:rFonts w:ascii="Calibri" w:cs="Calibri" w:eastAsia="Calibri" w:hAnsi="Calibri"/>
                <w:color w:val="1E1E2E"/>
                <w:sz w:val="19"/>
                <w:szCs w:val="19"/>
              </w:rPr>
              <w:t xml:space="preserve">No</w:t>
            </w:r>
          </w:p>
        </w:tc>
        <w:tc>
          <w:tcPr>
            <w:tcW w:type="dxa" w:w="1560"/>
            <w:tcBorders>
              <w:top w:val="single" w:color="D4D4D8" w:sz="1"/>
              <w:left w:val="single" w:color="D4D4D8" w:sz="1"/>
              <w:bottom w:val="single" w:color="D4D4D8" w:sz="1"/>
              <w:right w:val="single" w:color="D4D4D8" w:sz="1"/>
            </w:tcBorders>
            <w:tcMar>
              <w:top w:type="dxa" w:w="80"/>
              <w:left w:type="dxa" w:w="120"/>
              <w:bottom w:type="dxa" w:w="80"/>
              <w:right w:type="dxa" w:w="120"/>
            </w:tcMar>
            <w:vAlign w:val="center"/>
          </w:tcPr>
          <w:p>
            <w:pPr>
              <w:jc w:val="left"/>
            </w:pPr>
            <w:r>
              <w:rPr>
                <w:rFonts w:ascii="Calibri" w:cs="Calibri" w:eastAsia="Calibri" w:hAnsi="Calibri"/>
                <w:color w:val="1E1E2E"/>
                <w:sz w:val="19"/>
                <w:szCs w:val="19"/>
              </w:rPr>
              <w:t xml:space="preserve">Yes</w:t>
            </w:r>
          </w:p>
        </w:tc>
      </w:tr>
    </w:tbl>
    <w:p>
      <w:pPr>
        <w:spacing w:after="60"/>
      </w:pPr>
    </w:p>
    <w:p>
      <w:pPr>
        <w:spacing w:after="140" w:line="276"/>
      </w:pPr>
      <w:r>
        <w:rPr>
          <w:rFonts w:ascii="Calibri" w:cs="Calibri" w:eastAsia="Calibri" w:hAnsi="Calibri"/>
          <w:color w:val="1E1E2E"/>
          <w:sz w:val="21"/>
          <w:szCs w:val="21"/>
        </w:rPr>
        <w:t xml:space="preserve">Coinbase builds the payment rails. ZeroDev builds the account. We’re the layer that makes them work together safely for autonomous agents.</w:t>
      </w:r>
    </w:p>
    <w:p>
      <w:pPr>
        <w:pBdr>
          <w:bottom w:val="single" w:color="8B5CF6" w:sz="2" w:space="8"/>
        </w:pBdr>
        <w:spacing w:before="200" w:after="200"/>
      </w:pPr>
    </w:p>
    <w:p>
      <w:pPr>
        <w:pStyle w:val="Heading1"/>
        <w:spacing w:before="340" w:after="160"/>
      </w:pPr>
      <w:r>
        <w:rPr>
          <w:rFonts w:ascii="Calibri" w:cs="Calibri" w:eastAsia="Calibri" w:hAnsi="Calibri"/>
          <w:b/>
          <w:bCs/>
          <w:color w:val="2D1B4E"/>
          <w:sz w:val="30"/>
          <w:szCs w:val="30"/>
        </w:rPr>
        <w:t xml:space="preserve">Current Status</w:t>
      </w:r>
    </w:p>
    <w:p>
      <w:pPr>
        <w:spacing w:after="140" w:line="276"/>
      </w:pPr>
      <w:r>
        <w:rPr>
          <w:rFonts w:ascii="Calibri" w:cs="Calibri" w:eastAsia="Calibri" w:hAnsi="Calibri"/>
          <w:color w:val="1E1E2E"/>
          <w:sz w:val="21"/>
          <w:szCs w:val="21"/>
        </w:rPr>
        <w:t xml:space="preserve">Pre-seed. Architecture designed. Building the core SDK and Agent Permission Manager module. Targeting testnet deployment on Base Sepolia and Arbitrum Sepolia in the near term, with 5–10 design partners from the AI agent and x402 builder communities.</w:t>
      </w:r>
    </w:p>
    <w:p>
      <w:pPr>
        <w:pStyle w:val="Heading2"/>
        <w:spacing w:before="260" w:after="120"/>
      </w:pPr>
      <w:r>
        <w:rPr>
          <w:rFonts w:ascii="Calibri" w:cs="Calibri" w:eastAsia="Calibri" w:hAnsi="Calibri"/>
          <w:b/>
          <w:bCs/>
          <w:color w:val="6C3FA0"/>
          <w:sz w:val="25"/>
          <w:szCs w:val="25"/>
        </w:rPr>
        <w:t xml:space="preserve">What’s Built</w:t>
      </w:r>
    </w:p>
    <w:p>
      <w:pPr>
        <w:pStyle w:val="ListParagraph"/>
        <w:numPr>
          <w:ilvl w:val="0"/>
          <w:numId w:val="2"/>
        </w:numPr>
        <w:spacing w:after="60" w:line="276"/>
      </w:pPr>
      <w:r>
        <w:rPr>
          <w:rFonts w:ascii="Calibri" w:cs="Calibri" w:eastAsia="Calibri" w:hAnsi="Calibri"/>
          <w:color w:val="1E1E2E"/>
          <w:sz w:val="21"/>
          <w:szCs w:val="21"/>
        </w:rPr>
        <w:t xml:space="preserve">Platform architecture and technical design</w:t>
      </w:r>
    </w:p>
    <w:p>
      <w:pPr>
        <w:pStyle w:val="ListParagraph"/>
        <w:numPr>
          <w:ilvl w:val="0"/>
          <w:numId w:val="2"/>
        </w:numPr>
        <w:spacing w:after="60" w:line="276"/>
      </w:pPr>
      <w:r>
        <w:rPr>
          <w:rFonts w:ascii="Calibri" w:cs="Calibri" w:eastAsia="Calibri" w:hAnsi="Calibri"/>
          <w:color w:val="1E1E2E"/>
          <w:sz w:val="21"/>
          <w:szCs w:val="21"/>
        </w:rPr>
        <w:t xml:space="preserve">ERC-7579 module specifications</w:t>
      </w:r>
    </w:p>
    <w:p>
      <w:pPr>
        <w:pStyle w:val="ListParagraph"/>
        <w:numPr>
          <w:ilvl w:val="0"/>
          <w:numId w:val="2"/>
        </w:numPr>
        <w:spacing w:after="60" w:line="276"/>
      </w:pPr>
      <w:r>
        <w:rPr>
          <w:rFonts w:ascii="Calibri" w:cs="Calibri" w:eastAsia="Calibri" w:hAnsi="Calibri"/>
          <w:color w:val="1E1E2E"/>
          <w:sz w:val="21"/>
          <w:szCs w:val="21"/>
        </w:rPr>
        <w:t xml:space="preserve">SDK API design (TypeScript + Go)</w:t>
      </w:r>
    </w:p>
    <w:p>
      <w:pPr>
        <w:pStyle w:val="ListParagraph"/>
        <w:numPr>
          <w:ilvl w:val="0"/>
          <w:numId w:val="2"/>
        </w:numPr>
        <w:spacing w:after="60" w:line="276"/>
      </w:pPr>
      <w:r>
        <w:rPr>
          <w:rFonts w:ascii="Calibri" w:cs="Calibri" w:eastAsia="Calibri" w:hAnsi="Calibri"/>
          <w:color w:val="1E1E2E"/>
          <w:sz w:val="21"/>
          <w:szCs w:val="21"/>
        </w:rPr>
        <w:t xml:space="preserve">x402 middleware architecture</w:t>
      </w:r>
    </w:p>
    <w:p>
      <w:pPr>
        <w:pStyle w:val="ListParagraph"/>
        <w:numPr>
          <w:ilvl w:val="0"/>
          <w:numId w:val="2"/>
        </w:numPr>
        <w:spacing w:after="60" w:line="276"/>
      </w:pPr>
      <w:r>
        <w:rPr>
          <w:rFonts w:ascii="Calibri" w:cs="Calibri" w:eastAsia="Calibri" w:hAnsi="Calibri"/>
          <w:color w:val="1E1E2E"/>
          <w:sz w:val="21"/>
          <w:szCs w:val="21"/>
        </w:rPr>
        <w:t xml:space="preserve">Brand identity and project positioning</w:t>
      </w:r>
    </w:p>
    <w:p>
      <w:pPr>
        <w:pStyle w:val="Heading2"/>
        <w:spacing w:before="260" w:after="120"/>
      </w:pPr>
      <w:r>
        <w:rPr>
          <w:rFonts w:ascii="Calibri" w:cs="Calibri" w:eastAsia="Calibri" w:hAnsi="Calibri"/>
          <w:b/>
          <w:bCs/>
          <w:color w:val="6C3FA0"/>
          <w:sz w:val="25"/>
          <w:szCs w:val="25"/>
        </w:rPr>
        <w:t xml:space="preserve">What’s Next</w:t>
      </w:r>
    </w:p>
    <w:p>
      <w:pPr>
        <w:pStyle w:val="ListParagraph"/>
        <w:numPr>
          <w:ilvl w:val="0"/>
          <w:numId w:val="2"/>
        </w:numPr>
        <w:spacing w:after="60" w:line="276"/>
      </w:pPr>
      <w:r>
        <w:rPr>
          <w:rFonts w:ascii="Calibri" w:cs="Calibri" w:eastAsia="Calibri" w:hAnsi="Calibri"/>
          <w:color w:val="1E1E2E"/>
          <w:sz w:val="21"/>
          <w:szCs w:val="21"/>
        </w:rPr>
        <w:t xml:space="preserve">Agent Permission Manager module (Solidity, Foundry)</w:t>
      </w:r>
    </w:p>
    <w:p>
      <w:pPr>
        <w:pStyle w:val="ListParagraph"/>
        <w:numPr>
          <w:ilvl w:val="0"/>
          <w:numId w:val="2"/>
        </w:numPr>
        <w:spacing w:after="60" w:line="276"/>
      </w:pPr>
      <w:r>
        <w:rPr>
          <w:rFonts w:ascii="Calibri" w:cs="Calibri" w:eastAsia="Calibri" w:hAnsi="Calibri"/>
          <w:color w:val="1E1E2E"/>
          <w:sz w:val="21"/>
          <w:szCs w:val="21"/>
        </w:rPr>
        <w:t xml:space="preserve">TypeScript SDK core (wallet creation, agent provisioning, transaction execution)</w:t>
      </w:r>
    </w:p>
    <w:p>
      <w:pPr>
        <w:pStyle w:val="ListParagraph"/>
        <w:numPr>
          <w:ilvl w:val="0"/>
          <w:numId w:val="2"/>
        </w:numPr>
        <w:spacing w:after="60" w:line="276"/>
      </w:pPr>
      <w:r>
        <w:rPr>
          <w:rFonts w:ascii="Calibri" w:cs="Calibri" w:eastAsia="Calibri" w:hAnsi="Calibri"/>
          <w:color w:val="1E1E2E"/>
          <w:sz w:val="21"/>
          <w:szCs w:val="21"/>
        </w:rPr>
        <w:t xml:space="preserve">x402 auto-detect middleware with basic policies</w:t>
      </w:r>
    </w:p>
    <w:p>
      <w:pPr>
        <w:pStyle w:val="ListParagraph"/>
        <w:numPr>
          <w:ilvl w:val="0"/>
          <w:numId w:val="2"/>
        </w:numPr>
        <w:spacing w:after="60" w:line="276"/>
      </w:pPr>
      <w:r>
        <w:rPr>
          <w:rFonts w:ascii="Calibri" w:cs="Calibri" w:eastAsia="Calibri" w:hAnsi="Calibri"/>
          <w:color w:val="1E1E2E"/>
          <w:sz w:val="21"/>
          <w:szCs w:val="21"/>
        </w:rPr>
        <w:t xml:space="preserve">Coinbase CDP facilitator integration</w:t>
      </w:r>
    </w:p>
    <w:p>
      <w:pPr>
        <w:pStyle w:val="ListParagraph"/>
        <w:numPr>
          <w:ilvl w:val="0"/>
          <w:numId w:val="2"/>
        </w:numPr>
        <w:spacing w:after="60" w:line="276"/>
      </w:pPr>
      <w:r>
        <w:rPr>
          <w:rFonts w:ascii="Calibri" w:cs="Calibri" w:eastAsia="Calibri" w:hAnsi="Calibri"/>
          <w:color w:val="1E1E2E"/>
          <w:sz w:val="21"/>
          <w:szCs w:val="21"/>
        </w:rPr>
        <w:t xml:space="preserve">Monitoring dashboard</w:t>
      </w:r>
    </w:p>
    <w:p>
      <w:pPr>
        <w:pStyle w:val="ListParagraph"/>
        <w:numPr>
          <w:ilvl w:val="0"/>
          <w:numId w:val="2"/>
        </w:numPr>
        <w:spacing w:after="60" w:line="276"/>
      </w:pPr>
      <w:r>
        <w:rPr>
          <w:rFonts w:ascii="Calibri" w:cs="Calibri" w:eastAsia="Calibri" w:hAnsi="Calibri"/>
          <w:color w:val="1E1E2E"/>
          <w:sz w:val="21"/>
          <w:szCs w:val="21"/>
        </w:rPr>
        <w:t xml:space="preserve">Design partner onboarding</w:t>
      </w:r>
    </w:p>
    <w:p>
      <w:pPr>
        <w:pBdr>
          <w:bottom w:val="single" w:color="8B5CF6" w:sz="2" w:space="8"/>
        </w:pBdr>
        <w:spacing w:before="200" w:after="200"/>
      </w:pPr>
    </w:p>
    <w:p>
      <w:pPr>
        <w:spacing w:after="60"/>
      </w:pPr>
    </w:p>
    <w:p>
      <w:pPr>
        <w:spacing w:after="60"/>
      </w:pPr>
    </w:p>
    <w:p>
      <w:pPr>
        <w:spacing w:after="80"/>
        <w:jc w:val="center"/>
      </w:pPr>
      <w:r>
        <w:rPr>
          <w:rFonts w:ascii="Calibri" w:cs="Calibri" w:eastAsia="Calibri" w:hAnsi="Calibri"/>
          <w:b/>
          <w:bCs/>
          <w:color w:val="2D1B4E"/>
          <w:sz w:val="28"/>
          <w:szCs w:val="28"/>
        </w:rPr>
        <w:t xml:space="preserve">sigloop</w:t>
      </w:r>
    </w:p>
    <w:p>
      <w:pPr>
        <w:spacing w:after="40"/>
        <w:jc w:val="center"/>
      </w:pPr>
      <w:r>
        <w:rPr>
          <w:rFonts w:ascii="Calibri" w:cs="Calibri" w:eastAsia="Calibri" w:hAnsi="Calibri"/>
          <w:i/>
          <w:iCs/>
          <w:color w:val="555566"/>
          <w:sz w:val="22"/>
          <w:szCs w:val="22"/>
        </w:rPr>
        <w:t xml:space="preserve">Wallets for agents that pay.</w:t>
      </w:r>
    </w:p>
    <w:p>
      <w:pPr>
        <w:spacing w:after="60"/>
      </w:pPr>
    </w:p>
    <w:p>
      <w:pPr>
        <w:spacing w:after="30"/>
        <w:jc w:val="center"/>
      </w:pPr>
      <w:r>
        <w:rPr>
          <w:rFonts w:ascii="Calibri" w:cs="Calibri" w:eastAsia="Calibri" w:hAnsi="Calibri"/>
          <w:b/>
          <w:bCs/>
          <w:color w:val="2D1B4E"/>
          <w:sz w:val="20"/>
          <w:szCs w:val="20"/>
        </w:rPr>
        <w:t xml:space="preserve">Cătălin “intheloop” Tișcă</w:t>
      </w:r>
    </w:p>
    <w:p>
      <w:pPr>
        <w:spacing w:after="30"/>
        <w:jc w:val="center"/>
      </w:pPr>
      <w:r>
        <w:rPr>
          <w:rFonts w:ascii="Calibri" w:cs="Calibri" w:eastAsia="Calibri" w:hAnsi="Calibri"/>
          <w:color w:val="555566"/>
          <w:sz w:val="18"/>
          <w:szCs w:val="18"/>
        </w:rPr>
        <w:t xml:space="preserve">21 February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66"/>
        <w:sz w:val="17"/>
        <w:szCs w:val="17"/>
      </w:rPr>
      <w:t xml:space="preserve">Page </w:t>
    </w:r>
    <w:r>
      <w:rPr>
        <w:rFonts w:ascii="Calibri" w:cs="Calibri" w:eastAsia="Calibri" w:hAnsi="Calibri"/>
        <w:color w:val="555566"/>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5CF6" w:sz="2" w:space="4"/>
      </w:pBdr>
      <w:tabs>
        <w:tab w:val="right" w:pos="9026"/>
      </w:tabs>
    </w:pPr>
    <w:r>
      <w:rPr>
        <w:rFonts w:ascii="Calibri" w:cs="Calibri" w:eastAsia="Calibri" w:hAnsi="Calibri"/>
        <w:b/>
        <w:bCs/>
        <w:color w:val="2D1B4E"/>
        <w:sz w:val="17"/>
        <w:szCs w:val="17"/>
      </w:rPr>
      <w:t xml:space="preserve">sigloop</w:t>
    </w:r>
    <w:r>
      <w:rPr>
        <w:rFonts w:ascii="Calibri" w:cs="Calibri" w:eastAsia="Calibri" w:hAnsi="Calibri"/>
        <w:color w:val="555566"/>
        <w:sz w:val="17"/>
        <w:szCs w:val="17"/>
      </w:rPr>
      <w:t xml:space="preserve">	Project Description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40" w:after="160"/>
      <w:outlineLvl w:val="0"/>
    </w:pPr>
    <w:rPr>
      <w:rFonts w:ascii="Calibri" w:cs="Calibri" w:eastAsia="Calibri" w:hAnsi="Calibri"/>
      <w:b/>
      <w:bCs/>
      <w:color w:val="2D1B4E"/>
      <w:sz w:val="30"/>
      <w:szCs w:val="30"/>
    </w:rPr>
  </w:style>
  <w:style w:type="paragraph" w:styleId="Heading2">
    <w:name w:val="Heading 2"/>
    <w:basedOn w:val="Normal"/>
    <w:next w:val="Normal"/>
    <w:qFormat/>
    <w:pPr>
      <w:spacing w:before="260" w:after="120"/>
      <w:outlineLvl w:val="1"/>
    </w:pPr>
    <w:rPr>
      <w:rFonts w:ascii="Calibri" w:cs="Calibri" w:eastAsia="Calibri" w:hAnsi="Calibri"/>
      <w:b/>
      <w:bCs/>
      <w:color w:val="6C3FA0"/>
      <w:sz w:val="25"/>
      <w:szCs w:val="25"/>
    </w:rPr>
  </w:style>
  <w:style w:type="paragraph" w:styleId="Heading3">
    <w:name w:val="Heading 3"/>
    <w:basedOn w:val="Normal"/>
    <w:next w:val="Normal"/>
    <w:qFormat/>
    <w:pPr>
      <w:spacing w:before="180" w:after="80"/>
      <w:outlineLvl w:val="2"/>
    </w:pPr>
    <w:rPr>
      <w:rFonts w:ascii="Calibri" w:cs="Calibri" w:eastAsia="Calibri" w:hAnsi="Calibri"/>
      <w:b/>
      <w:bCs/>
      <w:color w:val="2D1B4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2026-02-22T11:04:04.105Z</dcterms:created>
  <dcterms:modified xsi:type="dcterms:W3CDTF">2026-02-22T11:04:04.106Z</dcterms:modified>
</cp:coreProperties>
</file>

<file path=docProps/custom.xml><?xml version="1.0" encoding="utf-8"?>
<Properties xmlns="http://schemas.openxmlformats.org/officeDocument/2006/custom-properties" xmlns:vt="http://schemas.openxmlformats.org/officeDocument/2006/docPropsVTypes"/>
</file>