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Calibri" w:cs="Calibri" w:eastAsia="Calibri" w:hAnsi="Calibri"/>
          <w:b/>
          <w:bCs/>
          <w:sz w:val="32"/>
          <w:szCs w:val="32"/>
        </w:rPr>
        <w:t xml:space="preserve">COMPLEMENTO AO MAPEAMENTO E ÀS HABILIDADES DOS AGENTES JURÍDICOS</w:t>
      </w:r>
    </w:p>
    <w:p>
      <w:pPr>
        <w:spacing w:after="200"/>
        <w:jc w:val="center"/>
      </w:pPr>
      <w:r>
        <w:rPr>
          <w:rFonts w:ascii="Calibri" w:cs="Calibri" w:eastAsia="Calibri" w:hAnsi="Calibri"/>
          <w:sz w:val="26"/>
          <w:szCs w:val="26"/>
        </w:rPr>
        <w:t xml:space="preserve">Novos Agentes 53 e 54 — Danos em Via Pública (Buracos) e Colisão de Veículos</w:t>
      </w:r>
    </w:p>
    <w:p>
      <w:pPr>
        <w:spacing w:after="120"/>
        <w:jc w:val="center"/>
      </w:pPr>
      <w:r>
        <w:rPr>
          <w:rFonts w:ascii="Calibri" w:cs="Calibri" w:eastAsia="Calibri" w:hAnsi="Calibri"/>
          <w:i/>
          <w:iCs/>
          <w:sz w:val="20"/>
          <w:szCs w:val="20"/>
        </w:rPr>
        <w:t xml:space="preserve">Especificação de escopo, repertório jurídico verificado e checklist documental obrigatório</w:t>
      </w:r>
    </w:p>
    <w:p>
      <w:pPr>
        <w:spacing w:after="900"/>
        <w:jc w:val="center"/>
      </w:pPr>
      <w:r>
        <w:rPr>
          <w:rFonts w:ascii="Calibri" w:cs="Calibri" w:eastAsia="Calibri" w:hAnsi="Calibri"/>
          <w:sz w:val="20"/>
          <w:szCs w:val="20"/>
        </w:rPr>
        <w:t xml:space="preserve">São Paulo, 17 de setembro de 2026</w:t>
      </w:r>
    </w:p>
    <w:p>
      <w:pPr>
        <w:spacing w:after="120"/>
      </w:pPr>
      <w:r>
        <w:rPr>
          <w:rFonts w:ascii="Calibri" w:cs="Calibri" w:eastAsia="Calibri" w:hAnsi="Calibri"/>
          <w:b/>
          <w:bCs/>
          <w:sz w:val="22"/>
          <w:szCs w:val="22"/>
        </w:rPr>
        <w:t xml:space="preserve">Nota metodológica. </w:t>
      </w:r>
      <w:r>
        <w:rPr>
          <w:rFonts w:ascii="Calibri" w:cs="Calibri" w:eastAsia="Calibri" w:hAnsi="Calibri"/>
          <w:sz w:val="22"/>
          <w:szCs w:val="22"/>
        </w:rPr>
        <w:t xml:space="preserve">As citações abaixo foram checadas contra fonte primária (Planalto, STF, STJ) e fontes secundárias oficiais no momento da redação, seguindo o mesmo padrão da “Auditoria de Citações”. Item sem confirmação suficiente recebe o status </w:t>
      </w:r>
      <w:r>
        <w:rPr>
          <w:rFonts w:ascii="Calibri" w:cs="Calibri" w:eastAsia="Calibri" w:hAnsi="Calibri"/>
          <w:b/>
          <w:bCs/>
          <w:sz w:val="22"/>
          <w:szCs w:val="22"/>
        </w:rPr>
        <w:t xml:space="preserve">EM VERIFICAÇÃO</w:t>
      </w:r>
      <w:r>
        <w:rPr>
          <w:rFonts w:ascii="Calibri" w:cs="Calibri" w:eastAsia="Calibri" w:hAnsi="Calibri"/>
          <w:sz w:val="22"/>
          <w:szCs w:val="22"/>
        </w:rPr>
        <w:t xml:space="preserve"> e não pode ser usado por nenhum agente até validação pelo advogado responsável técnico — a mesma regra operacional já adotada nos demais documentos.</w:t>
      </w:r>
    </w:p>
    <w:p>
      <w:r>
        <w:br w:type="page"/>
      </w:r>
    </w:p>
    <w:p>
      <w:pPr>
        <w:pStyle w:val="Heading1"/>
        <w:spacing w:after="160" w:before="360"/>
      </w:pPr>
      <w:r>
        <w:rPr>
          <w:rFonts w:ascii="Calibri" w:cs="Calibri" w:eastAsia="Calibri" w:hAnsi="Calibri"/>
          <w:sz w:val="22"/>
          <w:szCs w:val="22"/>
        </w:rPr>
        <w:t xml:space="preserve">Agente 53 — Danos em Via Pública (Buracos e Defeitos de Pavimentação)</w:t>
      </w:r>
    </w:p>
    <w:p>
      <w:pPr>
        <w:spacing w:after="120"/>
      </w:pPr>
      <w:r>
        <w:rPr>
          <w:rFonts w:ascii="Calibri" w:cs="Calibri" w:eastAsia="Calibri" w:hAnsi="Calibri"/>
          <w:sz w:val="22"/>
          <w:szCs w:val="22"/>
        </w:rPr>
        <w:t xml:space="preserve">Ação indenizatória contra a Fazenda Pública (ou concessionária de rodovia)</w:t>
      </w:r>
    </w:p>
    <w:p>
      <w:pPr>
        <w:pStyle w:val="Heading2"/>
        <w:spacing w:after="120" w:before="280"/>
      </w:pPr>
      <w:r>
        <w:rPr>
          <w:rFonts w:ascii="Calibri" w:cs="Calibri" w:eastAsia="Calibri" w:hAnsi="Calibri"/>
          <w:sz w:val="22"/>
          <w:szCs w:val="22"/>
        </w:rPr>
        <w:t xml:space="preserve">1. Entrada no Mapeamento de Agentes Jurídicos</w:t>
      </w:r>
    </w:p>
    <w:p>
      <w:pPr>
        <w:spacing w:after="120"/>
      </w:pPr>
      <w:r>
        <w:rPr>
          <w:rFonts w:ascii="Calibri" w:cs="Calibri" w:eastAsia="Calibri" w:hAnsi="Calibri"/>
          <w:b/>
          <w:bCs/>
          <w:sz w:val="22"/>
          <w:szCs w:val="22"/>
        </w:rPr>
        <w:t xml:space="preserve">Missão: </w:t>
      </w:r>
      <w:r>
        <w:rPr>
          <w:rFonts w:ascii="Calibri" w:cs="Calibri" w:eastAsia="Calibri" w:hAnsi="Calibri"/>
          <w:sz w:val="22"/>
          <w:szCs w:val="22"/>
        </w:rPr>
        <w:t xml:space="preserve">apurar dano a veículo (ou a pessoa) causado por buraco, desnível, tampa de bueiro solta ou outro defeito de conservação de via pública, identificar o responsável (Município, Estado, DNIT ou concessionária pedagiada) e conduzir o caso pela via extrajudicial e, se necessário, pelo Juizado Especial da Fazenda Pública ou vara comum.</w:t>
      </w:r>
    </w:p>
    <w:p>
      <w:pPr>
        <w:spacing w:after="120"/>
      </w:pPr>
      <w:r>
        <w:rPr>
          <w:rFonts w:ascii="Calibri" w:cs="Calibri" w:eastAsia="Calibri" w:hAnsi="Calibri"/>
          <w:b/>
          <w:bCs/>
          <w:sz w:val="22"/>
          <w:szCs w:val="22"/>
        </w:rPr>
        <w:t xml:space="preserve">Zona regulatória (Guardrail 0b): </w:t>
      </w:r>
      <w:r>
        <w:rPr>
          <w:rFonts w:ascii="Calibri" w:cs="Calibri" w:eastAsia="Calibri" w:hAnsi="Calibri"/>
          <w:sz w:val="22"/>
          <w:szCs w:val="22"/>
        </w:rPr>
        <w:t xml:space="preserve">informação, organização documental e reclamação administrativa prévia (protocolo 156, ouvidoria, SAC da concessionária) são </w:t>
      </w:r>
      <w:r>
        <w:rPr>
          <w:rFonts w:ascii="Calibri" w:cs="Calibri" w:eastAsia="Calibri" w:hAnsi="Calibri"/>
          <w:b/>
          <w:bCs/>
          <w:sz w:val="22"/>
          <w:szCs w:val="22"/>
        </w:rPr>
        <w:t xml:space="preserve">zona verde</w:t>
      </w:r>
      <w:r>
        <w:rPr>
          <w:rFonts w:ascii="Calibri" w:cs="Calibri" w:eastAsia="Calibri" w:hAnsi="Calibri"/>
          <w:sz w:val="22"/>
          <w:szCs w:val="22"/>
        </w:rPr>
        <w:t xml:space="preserve"> — conduzidas pelo Agente 52; parecer de enquadramento, identificação do ente responsável, estimativa de valor e qualquer minuta ou petição são </w:t>
      </w:r>
      <w:r>
        <w:rPr>
          <w:rFonts w:ascii="Calibri" w:cs="Calibri" w:eastAsia="Calibri" w:hAnsi="Calibri"/>
          <w:b/>
          <w:bCs/>
          <w:sz w:val="22"/>
          <w:szCs w:val="22"/>
        </w:rPr>
        <w:t xml:space="preserve">zona amarela</w:t>
      </w:r>
      <w:r>
        <w:rPr>
          <w:rFonts w:ascii="Calibri" w:cs="Calibri" w:eastAsia="Calibri" w:hAnsi="Calibri"/>
          <w:sz w:val="22"/>
          <w:szCs w:val="22"/>
        </w:rPr>
        <w:t xml:space="preserve"> — emitidos sob responsabilidade da sociedade de advogados; causa acima do teto do Juizado da Fazenda Pública, com necessidade de perícia de engenharia complexa, ou vara comum, são </w:t>
      </w:r>
      <w:r>
        <w:rPr>
          <w:rFonts w:ascii="Calibri" w:cs="Calibri" w:eastAsia="Calibri" w:hAnsi="Calibri"/>
          <w:b/>
          <w:bCs/>
          <w:sz w:val="22"/>
          <w:szCs w:val="22"/>
        </w:rPr>
        <w:t xml:space="preserve">zona vermelha</w:t>
      </w:r>
      <w:r>
        <w:rPr>
          <w:rFonts w:ascii="Calibri" w:cs="Calibri" w:eastAsia="Calibri" w:hAnsi="Calibri"/>
          <w:sz w:val="22"/>
          <w:szCs w:val="22"/>
        </w:rPr>
        <w:t xml:space="preserve"> — handoff ao Agente 11.</w:t>
      </w:r>
    </w:p>
    <w:p>
      <w:pPr>
        <w:spacing w:after="120"/>
      </w:pPr>
      <w:r>
        <w:rPr>
          <w:rFonts w:ascii="Calibri" w:cs="Calibri" w:eastAsia="Calibri" w:hAnsi="Calibri"/>
          <w:b/>
          <w:bCs/>
          <w:sz w:val="22"/>
          <w:szCs w:val="22"/>
        </w:rPr>
        <w:t xml:space="preserve">Competência exclusiva: </w:t>
      </w:r>
    </w:p>
    <w:p>
      <w:pPr>
        <w:pStyle w:val="ListParagraph"/>
        <w:numPr>
          <w:ilvl w:val="0"/>
          <w:numId w:val="2"/>
        </w:numPr>
        <w:spacing w:after="80"/>
      </w:pPr>
      <w:r>
        <w:rPr>
          <w:rFonts w:ascii="Calibri" w:cs="Calibri" w:eastAsia="Calibri" w:hAnsi="Calibri"/>
          <w:sz w:val="22"/>
          <w:szCs w:val="22"/>
        </w:rPr>
        <w:t xml:space="preserve">Identificação do ente responsável pela via (Município, Estado, União/DNIT ou concessionária) a partir do endereço informado — determina o réu e a competência;</w:t>
      </w:r>
    </w:p>
    <w:p>
      <w:pPr>
        <w:pStyle w:val="ListParagraph"/>
        <w:numPr>
          <w:ilvl w:val="0"/>
          <w:numId w:val="2"/>
        </w:numPr>
        <w:spacing w:after="80"/>
      </w:pPr>
      <w:r>
        <w:rPr>
          <w:rFonts w:ascii="Calibri" w:cs="Calibri" w:eastAsia="Calibri" w:hAnsi="Calibri"/>
          <w:sz w:val="22"/>
          <w:szCs w:val="22"/>
        </w:rPr>
        <w:t xml:space="preserve">Checklist documental obrigatório (item 3 abaixo) antes de qualquer parecer ou petição — trava de fluxo idêntica à do Agente 3;</w:t>
      </w:r>
    </w:p>
    <w:p>
      <w:pPr>
        <w:pStyle w:val="ListParagraph"/>
        <w:numPr>
          <w:ilvl w:val="0"/>
          <w:numId w:val="2"/>
        </w:numPr>
        <w:spacing w:after="80"/>
      </w:pPr>
      <w:r>
        <w:rPr>
          <w:rFonts w:ascii="Calibri" w:cs="Calibri" w:eastAsia="Calibri" w:hAnsi="Calibri"/>
          <w:sz w:val="22"/>
          <w:szCs w:val="22"/>
        </w:rPr>
        <w:t xml:space="preserve">Verificação de reclamação prévia ao órgão competente (156, ouvidoria, SAC da concessionária) e orientação para registrá-la caso ainda não exista — fortalece a prova de ciência do defeito pelo responsável e não é condição de procedibilidade da ação, mas é recomendável;</w:t>
      </w:r>
    </w:p>
    <w:p>
      <w:pPr>
        <w:pStyle w:val="ListParagraph"/>
        <w:numPr>
          <w:ilvl w:val="0"/>
          <w:numId w:val="2"/>
        </w:numPr>
        <w:spacing w:after="80"/>
      </w:pPr>
      <w:r>
        <w:rPr>
          <w:rFonts w:ascii="Calibri" w:cs="Calibri" w:eastAsia="Calibri" w:hAnsi="Calibri"/>
          <w:sz w:val="22"/>
          <w:szCs w:val="22"/>
        </w:rPr>
        <w:t xml:space="preserve">Cálculo do prazo prescricional pelo Agente 7 (ver item 2 — regime específico da Fazenda Pública, diferente do prazo geral do CC);</w:t>
      </w:r>
    </w:p>
    <w:p>
      <w:pPr>
        <w:pStyle w:val="ListParagraph"/>
        <w:numPr>
          <w:ilvl w:val="0"/>
          <w:numId w:val="2"/>
        </w:numPr>
        <w:spacing w:after="80"/>
      </w:pPr>
      <w:r>
        <w:rPr>
          <w:rFonts w:ascii="Calibri" w:cs="Calibri" w:eastAsia="Calibri" w:hAnsi="Calibri"/>
          <w:sz w:val="22"/>
          <w:szCs w:val="22"/>
        </w:rPr>
        <w:t xml:space="preserve">Encaminhamento ao Agente 52 para a reclamação extrajudicial e, se essa via se esgotar, ao Copiloto (32, se o ente tiver Juizado da Fazenda Pública instalado) ou ao Agente 11 (vara comum ou concessionária, conforme o caso).</w:t>
      </w:r>
    </w:p>
    <w:p>
      <w:pPr>
        <w:spacing w:after="120"/>
      </w:pPr>
      <w:r>
        <w:rPr>
          <w:rFonts w:ascii="Calibri" w:cs="Calibri" w:eastAsia="Calibri" w:hAnsi="Calibri"/>
          <w:b/>
          <w:bCs/>
          <w:sz w:val="22"/>
          <w:szCs w:val="22"/>
        </w:rPr>
        <w:t xml:space="preserve">Fronteiras: </w:t>
      </w:r>
      <w:r>
        <w:rPr>
          <w:rFonts w:ascii="Calibri" w:cs="Calibri" w:eastAsia="Calibri" w:hAnsi="Calibri"/>
          <w:sz w:val="22"/>
          <w:szCs w:val="22"/>
        </w:rPr>
        <w:t xml:space="preserve">dano causado por outro veículo, e não pela via — Agente 54; sinistro coberto por seguro do próprio usuário — Agente 29; lesão corporal grave ou morte — mantém-se aqui a apuração cível, mas o agente sinaliza a complexidade para handoff prioritário; dúvida sobre se a via é municipal, estadual ou concedida — Agente 53 pesquisa e registra a fonte da identificação no case file (não presume).</w:t>
      </w:r>
    </w:p>
    <w:p>
      <w:pPr>
        <w:pStyle w:val="Heading2"/>
        <w:spacing w:after="120" w:before="280"/>
      </w:pPr>
      <w:r>
        <w:rPr>
          <w:rFonts w:ascii="Calibri" w:cs="Calibri" w:eastAsia="Calibri" w:hAnsi="Calibri"/>
          <w:sz w:val="22"/>
          <w:szCs w:val="22"/>
        </w:rPr>
        <w:t xml:space="preserve">2. Entrada nas Habilidades Jurídicas por Agente</w:t>
      </w:r>
    </w:p>
    <w:p>
      <w:pPr>
        <w:pStyle w:val="Heading3"/>
        <w:spacing w:after="80" w:before="200"/>
      </w:pPr>
      <w:r>
        <w:rPr>
          <w:rFonts w:ascii="Calibri" w:cs="Calibri" w:eastAsia="Calibri" w:hAnsi="Calibri"/>
          <w:sz w:val="22"/>
          <w:szCs w:val="22"/>
        </w:rPr>
        <w:t xml:space="preserve">Normativo</w:t>
      </w:r>
    </w:p>
    <w:p>
      <w:pPr>
        <w:pStyle w:val="ListParagraph"/>
        <w:numPr>
          <w:ilvl w:val="0"/>
          <w:numId w:val="2"/>
        </w:numPr>
        <w:spacing w:after="80"/>
      </w:pPr>
      <w:r>
        <w:rPr>
          <w:rFonts w:ascii="Calibri" w:cs="Calibri" w:eastAsia="Calibri" w:hAnsi="Calibri"/>
          <w:b/>
          <w:bCs/>
          <w:sz w:val="22"/>
          <w:szCs w:val="22"/>
        </w:rPr>
        <w:t xml:space="preserve">Responsabilidade civil do Estado — objetiva: </w:t>
      </w:r>
      <w:r>
        <w:rPr>
          <w:rFonts w:ascii="Calibri" w:cs="Calibri" w:eastAsia="Calibri" w:hAnsi="Calibri"/>
          <w:sz w:val="22"/>
          <w:szCs w:val="22"/>
        </w:rPr>
        <w:t xml:space="preserve">art. 37, §6º, CF (o Poder Público e as pessoas jurídicas de direito privado prestadoras de serviço público respondem pelos danos que seus agentes causarem a terceiros, assegurado o direito de regresso contra o responsável nos casos de dolo ou culpa); CC art. 43 (responsabilidade civil das pessoas jurídicas de direito público).</w:t>
      </w:r>
    </w:p>
    <w:p>
      <w:pPr>
        <w:pStyle w:val="ListParagraph"/>
        <w:numPr>
          <w:ilvl w:val="0"/>
          <w:numId w:val="2"/>
        </w:numPr>
        <w:spacing w:after="80"/>
      </w:pPr>
      <w:r>
        <w:rPr>
          <w:rFonts w:ascii="Calibri" w:cs="Calibri" w:eastAsia="Calibri" w:hAnsi="Calibri"/>
          <w:b/>
          <w:bCs/>
          <w:sz w:val="22"/>
          <w:szCs w:val="22"/>
        </w:rPr>
        <w:t xml:space="preserve">Concessionária de rodovia pedagiada: </w:t>
      </w:r>
      <w:r>
        <w:rPr>
          <w:rFonts w:ascii="Calibri" w:cs="Calibri" w:eastAsia="Calibri" w:hAnsi="Calibri"/>
          <w:sz w:val="22"/>
          <w:szCs w:val="22"/>
        </w:rPr>
        <w:t xml:space="preserve">mesma responsabilidade objetiva (</w:t>
      </w:r>
      <w:r>
        <w:rPr>
          <w:rFonts w:ascii="Calibri" w:cs="Calibri" w:eastAsia="Calibri" w:hAnsi="Calibri"/>
          <w:b/>
          <w:bCs/>
          <w:sz w:val="22"/>
          <w:szCs w:val="22"/>
        </w:rPr>
        <w:t xml:space="preserve">Tema 130/STF — RE 591.874</w:t>
      </w:r>
      <w:r>
        <w:rPr>
          <w:rFonts w:ascii="Calibri" w:cs="Calibri" w:eastAsia="Calibri" w:hAnsi="Calibri"/>
          <w:sz w:val="22"/>
          <w:szCs w:val="22"/>
        </w:rPr>
        <w:t xml:space="preserve">, verificado: pessoas jurídicas de direito privado prestadoras de serviço público respondem objetivamente por danos a terceiros usuários e não usuários do serviço); CDC aplicável (art. 22, caput e parágrafo único; art. 7º, Lei 8.987/95).</w:t>
      </w:r>
    </w:p>
    <w:p>
      <w:pPr>
        <w:pStyle w:val="ListParagraph"/>
        <w:numPr>
          <w:ilvl w:val="0"/>
          <w:numId w:val="2"/>
        </w:numPr>
        <w:spacing w:after="80"/>
      </w:pPr>
      <w:r>
        <w:rPr>
          <w:rFonts w:ascii="Calibri" w:cs="Calibri" w:eastAsia="Calibri" w:hAnsi="Calibri"/>
          <w:b/>
          <w:bCs/>
          <w:sz w:val="22"/>
          <w:szCs w:val="22"/>
        </w:rPr>
        <w:t xml:space="preserve">Prescrição: </w:t>
      </w:r>
      <w:r>
        <w:rPr>
          <w:rFonts w:ascii="Calibri" w:cs="Calibri" w:eastAsia="Calibri" w:hAnsi="Calibri"/>
          <w:sz w:val="22"/>
          <w:szCs w:val="22"/>
        </w:rPr>
        <w:t xml:space="preserve">quinquenal contra a Fazenda Pública — art. 1º, Decreto 20.910/1932 (</w:t>
      </w:r>
      <w:r>
        <w:rPr>
          <w:rFonts w:ascii="Calibri" w:cs="Calibri" w:eastAsia="Calibri" w:hAnsi="Calibri"/>
          <w:b/>
          <w:bCs/>
          <w:sz w:val="22"/>
          <w:szCs w:val="22"/>
        </w:rPr>
        <w:t xml:space="preserve">Tema 553/STJ — REsp 1.251.993/PR</w:t>
      </w:r>
      <w:r>
        <w:rPr>
          <w:rFonts w:ascii="Calibri" w:cs="Calibri" w:eastAsia="Calibri" w:hAnsi="Calibri"/>
          <w:sz w:val="22"/>
          <w:szCs w:val="22"/>
        </w:rPr>
        <w:t xml:space="preserve">, verificado: o prazo quinquenal do Decreto 20.910/32 prevalece sobre o trienal do art. 206, §3º, V, CC, por especialidade), estendido a autarquias e fundações pelo Decreto-Lei 4.597/1942. Contra concessionária privada, aplica-se o prazo do CC (3 anos, art. 206, §3º, V) — </w:t>
      </w:r>
      <w:r>
        <w:rPr>
          <w:rFonts w:ascii="Calibri" w:cs="Calibri" w:eastAsia="Calibri" w:hAnsi="Calibri"/>
          <w:i/>
          <w:iCs/>
          <w:sz w:val="22"/>
          <w:szCs w:val="22"/>
        </w:rPr>
        <w:t xml:space="preserve">regime diferente do da Fazenda Pública; o agente identifica o réu antes de calcular o prazo</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Competência: </w:t>
      </w:r>
      <w:r>
        <w:rPr>
          <w:rFonts w:ascii="Calibri" w:cs="Calibri" w:eastAsia="Calibri" w:hAnsi="Calibri"/>
          <w:sz w:val="22"/>
          <w:szCs w:val="22"/>
        </w:rPr>
        <w:t xml:space="preserve">Juizados Especiais da Fazenda Pública — Lei 12.153/2009, art. 2º (teto de 60 salários mínimos, verificado); onde não instalados, vara da Fazenda Pública comum. </w:t>
      </w:r>
      <w:r>
        <w:rPr>
          <w:rFonts w:ascii="Calibri" w:cs="Calibri" w:eastAsia="Calibri" w:hAnsi="Calibri"/>
          <w:b/>
          <w:bCs/>
          <w:sz w:val="22"/>
          <w:szCs w:val="22"/>
        </w:rPr>
        <w:t xml:space="preserve">EM VERIFICAÇÃO: </w:t>
      </w:r>
      <w:r>
        <w:rPr>
          <w:rFonts w:ascii="Calibri" w:cs="Calibri" w:eastAsia="Calibri" w:hAnsi="Calibri"/>
          <w:sz w:val="22"/>
          <w:szCs w:val="22"/>
        </w:rPr>
        <w:t xml:space="preserve">se a dispensa de advogado do art. 9º da Lei 9.099/95 se aplica subsidiariamente às causas de até 20 SM no Juizado da Fazenda Pública — há posições doutrinárias divergentes (a Lei 12.153/2009 não repete a regra expressamente; a Lei 9.099/95 aplica-se apenas subsidiariamente, no que não conflitar). Até confirmação pelo advogado responsável técnico, o Copiloto trata a atuação sem advogado no Juizado da Fazenda Pública como não disponível, e todo caso vai a handoff (Agente 11) ou, alternativamente, o usuário é informado da divergência e da necessidade de confirmar no cartório local antes de agir sem advogado.</w:t>
      </w:r>
    </w:p>
    <w:p>
      <w:pPr>
        <w:pStyle w:val="Heading3"/>
        <w:spacing w:after="80" w:before="200"/>
      </w:pPr>
      <w:r>
        <w:rPr>
          <w:rFonts w:ascii="Calibri" w:cs="Calibri" w:eastAsia="Calibri" w:hAnsi="Calibri"/>
          <w:sz w:val="22"/>
          <w:szCs w:val="22"/>
        </w:rPr>
        <w:t xml:space="preserve">Jurisprudência</w:t>
      </w:r>
    </w:p>
    <w:p>
      <w:pPr>
        <w:pStyle w:val="ListParagraph"/>
        <w:numPr>
          <w:ilvl w:val="0"/>
          <w:numId w:val="2"/>
        </w:numPr>
        <w:spacing w:after="80"/>
      </w:pPr>
      <w:r>
        <w:rPr>
          <w:rFonts w:ascii="Calibri" w:cs="Calibri" w:eastAsia="Calibri" w:hAnsi="Calibri"/>
          <w:sz w:val="22"/>
          <w:szCs w:val="22"/>
        </w:rPr>
        <w:t xml:space="preserve">Nexo causal: exige prova do defeito da via, da extensão do dano e do local exato — a ausência de sinalização de alerta (cone, fita, aviso) reforça a omissão do poder público no dever de manutenção e fiscalização.</w:t>
      </w:r>
    </w:p>
    <w:p>
      <w:pPr>
        <w:pStyle w:val="ListParagraph"/>
        <w:numPr>
          <w:ilvl w:val="0"/>
          <w:numId w:val="2"/>
        </w:numPr>
        <w:spacing w:after="80"/>
      </w:pPr>
      <w:r>
        <w:rPr>
          <w:rFonts w:ascii="Calibri" w:cs="Calibri" w:eastAsia="Calibri" w:hAnsi="Calibri"/>
          <w:sz w:val="22"/>
          <w:szCs w:val="22"/>
        </w:rPr>
        <w:t xml:space="preserve">Excludentes: culpa exclusiva da vítima (velocidade incompatível com o local, embriaguez, desatenção grave) rompe o nexo causal, mesmo em responsabilidade objetiva; a existência de sinalização de alerta prévia é o principal fato defensivo do ente público.</w:t>
      </w:r>
    </w:p>
    <w:p>
      <w:pPr>
        <w:pStyle w:val="ListParagraph"/>
        <w:numPr>
          <w:ilvl w:val="0"/>
          <w:numId w:val="2"/>
        </w:numPr>
        <w:spacing w:after="80"/>
      </w:pPr>
      <w:r>
        <w:rPr>
          <w:rFonts w:ascii="Calibri" w:cs="Calibri" w:eastAsia="Calibri" w:hAnsi="Calibri"/>
          <w:sz w:val="22"/>
          <w:szCs w:val="22"/>
        </w:rPr>
        <w:t xml:space="preserve">Dano moral: não é automático pelo simples dano ao veículo — jurisprudência dos TJs em regra exige repercussão que exceda o mero aborrecimento (ex.: risco à integridade física, capotamento, lesão). Mero prejuízo material ao veículo tende a gerar apenas dano material.</w:t>
      </w:r>
    </w:p>
    <w:p>
      <w:pPr>
        <w:pStyle w:val="Heading3"/>
        <w:spacing w:after="80" w:before="200"/>
      </w:pPr>
      <w:r>
        <w:rPr>
          <w:rFonts w:ascii="Calibri" w:cs="Calibri" w:eastAsia="Calibri" w:hAnsi="Calibri"/>
          <w:sz w:val="22"/>
          <w:szCs w:val="22"/>
        </w:rPr>
        <w:t xml:space="preserve">Estudo de casos</w:t>
      </w:r>
    </w:p>
    <w:p>
      <w:pPr>
        <w:pStyle w:val="ListParagraph"/>
        <w:numPr>
          <w:ilvl w:val="0"/>
          <w:numId w:val="2"/>
        </w:numPr>
        <w:spacing w:after="80"/>
      </w:pPr>
      <w:r>
        <w:rPr>
          <w:rFonts w:ascii="Calibri" w:cs="Calibri" w:eastAsia="Calibri" w:hAnsi="Calibri"/>
          <w:sz w:val="22"/>
          <w:szCs w:val="22"/>
        </w:rPr>
        <w:t xml:space="preserve">Reconstrução do fato: local exato (rua, número/altura, sentido, referência), data e hora, condições da via (chuva, iluminação, poça que ocultava o buraco), velocidade praticada.</w:t>
      </w:r>
    </w:p>
    <w:p>
      <w:pPr>
        <w:pStyle w:val="ListParagraph"/>
        <w:numPr>
          <w:ilvl w:val="0"/>
          <w:numId w:val="2"/>
        </w:numPr>
        <w:spacing w:after="80"/>
      </w:pPr>
      <w:r>
        <w:rPr>
          <w:rFonts w:ascii="Calibri" w:cs="Calibri" w:eastAsia="Calibri" w:hAnsi="Calibri"/>
          <w:sz w:val="22"/>
          <w:szCs w:val="22"/>
        </w:rPr>
        <w:t xml:space="preserve">Identificação do ente responsável: pesquisa se a via é municipal, estadual, federal (raro em contexto urbano) ou concedida — o agente registra a fonte da identificação (consulta ao site da concessionária/ANTT/DER, ou orientação ao usuário para checar placas de sinalização da concessão) e não presume.</w:t>
      </w:r>
    </w:p>
    <w:p>
      <w:pPr>
        <w:pStyle w:val="ListParagraph"/>
        <w:numPr>
          <w:ilvl w:val="0"/>
          <w:numId w:val="2"/>
        </w:numPr>
        <w:spacing w:after="80"/>
      </w:pPr>
      <w:r>
        <w:rPr>
          <w:rFonts w:ascii="Calibri" w:cs="Calibri" w:eastAsia="Calibri" w:hAnsi="Calibri"/>
          <w:sz w:val="22"/>
          <w:szCs w:val="22"/>
        </w:rPr>
        <w:t xml:space="preserve">Cálculo do dano material: os três orçamentos (item 3) formam a base; o pedido é normalmente lastreado no menor orçamento ou na média, com nota explicando o critério — orçamento isolado e muito acima dos demais é sinalizado como fragilidade ao Agente 34.</w:t>
      </w:r>
    </w:p>
    <w:p>
      <w:pPr>
        <w:pStyle w:val="Heading3"/>
        <w:spacing w:after="80" w:before="200"/>
      </w:pPr>
      <w:r>
        <w:rPr>
          <w:rFonts w:ascii="Calibri" w:cs="Calibri" w:eastAsia="Calibri" w:hAnsi="Calibri"/>
          <w:sz w:val="22"/>
          <w:szCs w:val="22"/>
        </w:rPr>
        <w:t xml:space="preserve">Documentos exigidos — checklist obrigatório antes de qualquer parecer, reclamação ou petição</w:t>
      </w:r>
    </w:p>
    <w:p>
      <w:pPr>
        <w:spacing w:after="120"/>
      </w:pPr>
      <w:r>
        <w:rPr>
          <w:rFonts w:ascii="Calibri" w:cs="Calibri" w:eastAsia="Calibri" w:hAnsi="Calibri"/>
          <w:i/>
          <w:iCs/>
          <w:sz w:val="22"/>
          <w:szCs w:val="22"/>
        </w:rPr>
        <w:t xml:space="preserve">O agente conduz o usuário por este checklist da mesma forma que o Agente 3 conduz o checklist de habilitação processual: pede um item de cada vez, valida cada um (legibilidade, data, pertinência) e mantém o status visível ao usuário ("faltam 2 itens: os orçamentos e o boletim de ocorrência"). Nenhuma reclamação ou petição é gerada com o checklist incompleto, salvo lacuna assumida e registrada pelo usuário.</w:t>
      </w:r>
    </w:p>
    <w:p>
      <w:pPr>
        <w:pStyle w:val="ListParagraph"/>
        <w:numPr>
          <w:ilvl w:val="0"/>
          <w:numId w:val="3"/>
        </w:numPr>
        <w:spacing w:after="80"/>
      </w:pPr>
      <w:r>
        <w:rPr>
          <w:rFonts w:ascii="Calibri" w:cs="Calibri" w:eastAsia="Calibri" w:hAnsi="Calibri"/>
          <w:b/>
          <w:bCs/>
          <w:sz w:val="22"/>
          <w:szCs w:val="22"/>
        </w:rPr>
        <w:t xml:space="preserve">Fotos do buraco/defeito da via</w:t>
      </w:r>
      <w:r>
        <w:rPr>
          <w:rFonts w:ascii="Calibri" w:cs="Calibri" w:eastAsia="Calibri" w:hAnsi="Calibri"/>
          <w:sz w:val="22"/>
          <w:szCs w:val="22"/>
        </w:rPr>
        <w:t xml:space="preserve"> — o quanto antes possível após o fato, mostrando a extensão e a profundidade do defeito e o contexto da via (referência de rua, ausência de sinalização); se possível, com geolocalização/metadado de data.</w:t>
      </w:r>
    </w:p>
    <w:p>
      <w:pPr>
        <w:pStyle w:val="ListParagraph"/>
        <w:numPr>
          <w:ilvl w:val="0"/>
          <w:numId w:val="3"/>
        </w:numPr>
        <w:spacing w:after="80"/>
      </w:pPr>
      <w:r>
        <w:rPr>
          <w:rFonts w:ascii="Calibri" w:cs="Calibri" w:eastAsia="Calibri" w:hAnsi="Calibri"/>
          <w:b/>
          <w:bCs/>
          <w:sz w:val="22"/>
          <w:szCs w:val="22"/>
        </w:rPr>
        <w:t xml:space="preserve">Fotos dos danos causados ao veículo</w:t>
      </w:r>
      <w:r>
        <w:rPr>
          <w:rFonts w:ascii="Calibri" w:cs="Calibri" w:eastAsia="Calibri" w:hAnsi="Calibri"/>
          <w:sz w:val="22"/>
          <w:szCs w:val="22"/>
        </w:rPr>
        <w:t xml:space="preserve"> (pneu, roda, suspensão, para-choque, chassi etc.), preferencialmente no mesmo dia do fato.</w:t>
      </w:r>
    </w:p>
    <w:p>
      <w:pPr>
        <w:pStyle w:val="ListParagraph"/>
        <w:numPr>
          <w:ilvl w:val="0"/>
          <w:numId w:val="3"/>
        </w:numPr>
        <w:spacing w:after="80"/>
      </w:pPr>
      <w:r>
        <w:rPr>
          <w:rFonts w:ascii="Calibri" w:cs="Calibri" w:eastAsia="Calibri" w:hAnsi="Calibri"/>
          <w:b/>
          <w:bCs/>
          <w:sz w:val="22"/>
          <w:szCs w:val="22"/>
        </w:rPr>
        <w:t xml:space="preserve">No mínimo três orçamentos de oficinas distintas</w:t>
      </w:r>
      <w:r>
        <w:rPr>
          <w:rFonts w:ascii="Calibri" w:cs="Calibri" w:eastAsia="Calibri" w:hAnsi="Calibri"/>
          <w:sz w:val="22"/>
          <w:szCs w:val="22"/>
        </w:rPr>
        <w:t xml:space="preserve"> para o reparo — regra padrão de praxe para evitar impugnação por sobrepreço; o agente explica ao usuário que o pedido costuma ser lastreado no menor valor ou na média dos três.</w:t>
      </w:r>
    </w:p>
    <w:p>
      <w:pPr>
        <w:pStyle w:val="ListParagraph"/>
        <w:numPr>
          <w:ilvl w:val="0"/>
          <w:numId w:val="3"/>
        </w:numPr>
        <w:spacing w:after="80"/>
      </w:pPr>
      <w:r>
        <w:rPr>
          <w:rFonts w:ascii="Calibri" w:cs="Calibri" w:eastAsia="Calibri" w:hAnsi="Calibri"/>
          <w:b/>
          <w:bCs/>
          <w:sz w:val="22"/>
          <w:szCs w:val="22"/>
        </w:rPr>
        <w:t xml:space="preserve">Boletim de ocorrência (BO)</w:t>
      </w:r>
      <w:r>
        <w:rPr>
          <w:rFonts w:ascii="Calibri" w:cs="Calibri" w:eastAsia="Calibri" w:hAnsi="Calibri"/>
          <w:sz w:val="22"/>
          <w:szCs w:val="22"/>
        </w:rPr>
        <w:t xml:space="preserve"> — não obrigatório, mas recomendado; orientar o registro pela Delegacia Eletrônica do estado ou aplicativo de trânsito, o quanto antes.</w:t>
      </w:r>
    </w:p>
    <w:p>
      <w:pPr>
        <w:pStyle w:val="ListParagraph"/>
        <w:numPr>
          <w:ilvl w:val="0"/>
          <w:numId w:val="3"/>
        </w:numPr>
        <w:spacing w:after="80"/>
      </w:pPr>
      <w:r>
        <w:rPr>
          <w:rFonts w:ascii="Calibri" w:cs="Calibri" w:eastAsia="Calibri" w:hAnsi="Calibri"/>
          <w:b/>
          <w:bCs/>
          <w:sz w:val="22"/>
          <w:szCs w:val="22"/>
        </w:rPr>
        <w:t xml:space="preserve">CRLV do veículo e CNH do condutor.</w:t>
      </w:r>
    </w:p>
    <w:p>
      <w:pPr>
        <w:pStyle w:val="ListParagraph"/>
        <w:numPr>
          <w:ilvl w:val="0"/>
          <w:numId w:val="3"/>
        </w:numPr>
        <w:spacing w:after="80"/>
      </w:pPr>
      <w:r>
        <w:rPr>
          <w:rFonts w:ascii="Calibri" w:cs="Calibri" w:eastAsia="Calibri" w:hAnsi="Calibri"/>
          <w:b/>
          <w:bCs/>
          <w:sz w:val="22"/>
          <w:szCs w:val="22"/>
        </w:rPr>
        <w:t xml:space="preserve">Localização exata do fato</w:t>
      </w:r>
      <w:r>
        <w:rPr>
          <w:rFonts w:ascii="Calibri" w:cs="Calibri" w:eastAsia="Calibri" w:hAnsi="Calibri"/>
          <w:sz w:val="22"/>
          <w:szCs w:val="22"/>
        </w:rPr>
        <w:t xml:space="preserve"> — endereço/CEP, cruzamento ou ponto de referência, com print do mapa (Google Maps/Street View) quando disponível.</w:t>
      </w:r>
    </w:p>
    <w:p>
      <w:pPr>
        <w:pStyle w:val="ListParagraph"/>
        <w:numPr>
          <w:ilvl w:val="0"/>
          <w:numId w:val="3"/>
        </w:numPr>
        <w:spacing w:after="80"/>
      </w:pPr>
      <w:r>
        <w:rPr>
          <w:rFonts w:ascii="Calibri" w:cs="Calibri" w:eastAsia="Calibri" w:hAnsi="Calibri"/>
          <w:b/>
          <w:bCs/>
          <w:sz w:val="22"/>
          <w:szCs w:val="22"/>
        </w:rPr>
        <w:t xml:space="preserve">Registro de reclamação prévia ao órgão</w:t>
      </w:r>
      <w:r>
        <w:rPr>
          <w:rFonts w:ascii="Calibri" w:cs="Calibri" w:eastAsia="Calibri" w:hAnsi="Calibri"/>
          <w:sz w:val="22"/>
          <w:szCs w:val="22"/>
        </w:rPr>
        <w:t xml:space="preserve"> (protocolo 156, ouvidoria municipal, SAC da concessionária), se já existente; se não existir, o agente orienta a registrá-la antes ou em paralelo à ação — fortalece a prova de ciência do defeito.</w:t>
      </w:r>
    </w:p>
    <w:p>
      <w:pPr>
        <w:pStyle w:val="ListParagraph"/>
        <w:numPr>
          <w:ilvl w:val="0"/>
          <w:numId w:val="3"/>
        </w:numPr>
        <w:spacing w:after="80"/>
      </w:pPr>
      <w:r>
        <w:rPr>
          <w:rFonts w:ascii="Calibri" w:cs="Calibri" w:eastAsia="Calibri" w:hAnsi="Calibri"/>
          <w:b/>
          <w:bCs/>
          <w:sz w:val="22"/>
          <w:szCs w:val="22"/>
        </w:rPr>
        <w:t xml:space="preserve">Testemunhas</w:t>
      </w:r>
      <w:r>
        <w:rPr>
          <w:rFonts w:ascii="Calibri" w:cs="Calibri" w:eastAsia="Calibri" w:hAnsi="Calibri"/>
          <w:sz w:val="22"/>
          <w:szCs w:val="22"/>
        </w:rPr>
        <w:t xml:space="preserve">, se houver (nome e contato).</w:t>
      </w:r>
    </w:p>
    <w:p>
      <w:pPr>
        <w:pStyle w:val="ListParagraph"/>
        <w:numPr>
          <w:ilvl w:val="0"/>
          <w:numId w:val="3"/>
        </w:numPr>
        <w:spacing w:after="80"/>
      </w:pPr>
      <w:r>
        <w:rPr>
          <w:rFonts w:ascii="Calibri" w:cs="Calibri" w:eastAsia="Calibri" w:hAnsi="Calibri"/>
          <w:b/>
          <w:bCs/>
          <w:sz w:val="22"/>
          <w:szCs w:val="22"/>
        </w:rPr>
        <w:t xml:space="preserve">Nota fiscal ou recibo da oficina</w:t>
      </w:r>
      <w:r>
        <w:rPr>
          <w:rFonts w:ascii="Calibri" w:cs="Calibri" w:eastAsia="Calibri" w:hAnsi="Calibri"/>
          <w:sz w:val="22"/>
          <w:szCs w:val="22"/>
        </w:rPr>
        <w:t xml:space="preserve">, se o reparo já foi feito.</w:t>
      </w:r>
    </w:p>
    <w:p>
      <w:pPr>
        <w:pStyle w:val="Heading3"/>
        <w:spacing w:after="80" w:before="200"/>
      </w:pPr>
      <w:r>
        <w:rPr>
          <w:rFonts w:ascii="Calibri" w:cs="Calibri" w:eastAsia="Calibri" w:hAnsi="Calibri"/>
          <w:sz w:val="22"/>
          <w:szCs w:val="22"/>
        </w:rPr>
        <w:t xml:space="preserve">Produtos</w:t>
      </w:r>
    </w:p>
    <w:p>
      <w:pPr>
        <w:pStyle w:val="ListParagraph"/>
        <w:numPr>
          <w:ilvl w:val="0"/>
          <w:numId w:val="2"/>
        </w:numPr>
        <w:spacing w:after="80"/>
      </w:pPr>
      <w:r>
        <w:rPr>
          <w:rFonts w:ascii="Calibri" w:cs="Calibri" w:eastAsia="Calibri" w:hAnsi="Calibri"/>
          <w:sz w:val="22"/>
          <w:szCs w:val="22"/>
        </w:rPr>
        <w:t xml:space="preserve">Identificação motivada do ente responsável e da via processual cabível (Juizado da Fazenda Pública / vara comum / concessionária);</w:t>
      </w:r>
    </w:p>
    <w:p>
      <w:pPr>
        <w:pStyle w:val="ListParagraph"/>
        <w:numPr>
          <w:ilvl w:val="0"/>
          <w:numId w:val="2"/>
        </w:numPr>
        <w:spacing w:after="80"/>
      </w:pPr>
      <w:r>
        <w:rPr>
          <w:rFonts w:ascii="Calibri" w:cs="Calibri" w:eastAsia="Calibri" w:hAnsi="Calibri"/>
          <w:sz w:val="22"/>
          <w:szCs w:val="22"/>
        </w:rPr>
        <w:t xml:space="preserve">Reclamação administrativa prévia (Agente 52), quando ainda não registrada;</w:t>
      </w:r>
    </w:p>
    <w:p>
      <w:pPr>
        <w:pStyle w:val="ListParagraph"/>
        <w:numPr>
          <w:ilvl w:val="0"/>
          <w:numId w:val="2"/>
        </w:numPr>
        <w:spacing w:after="80"/>
      </w:pPr>
      <w:r>
        <w:rPr>
          <w:rFonts w:ascii="Calibri" w:cs="Calibri" w:eastAsia="Calibri" w:hAnsi="Calibri"/>
          <w:sz w:val="22"/>
          <w:szCs w:val="22"/>
        </w:rPr>
        <w:t xml:space="preserve">Parecer de viabilidade com prazo prescricional calculado (Agente 7) e estimativa de dano material com base nos três orçamentos;</w:t>
      </w:r>
    </w:p>
    <w:p>
      <w:pPr>
        <w:pStyle w:val="ListParagraph"/>
        <w:numPr>
          <w:ilvl w:val="0"/>
          <w:numId w:val="2"/>
        </w:numPr>
        <w:spacing w:after="80"/>
      </w:pPr>
      <w:r>
        <w:rPr>
          <w:rFonts w:ascii="Calibri" w:cs="Calibri" w:eastAsia="Calibri" w:hAnsi="Calibri"/>
          <w:sz w:val="22"/>
          <w:szCs w:val="22"/>
        </w:rPr>
        <w:t xml:space="preserve">Minuta de petição para o Juizado da Fazenda Pública (sujeita à confirmação sobre dispensa de advogado — ver "em verificação" acima) ou encaminhamento ao Agente 11.</w:t>
      </w:r>
    </w:p>
    <w:p>
      <w:r>
        <w:br w:type="page"/>
      </w:r>
    </w:p>
    <w:p>
      <w:pPr>
        <w:pStyle w:val="Heading1"/>
        <w:spacing w:after="160" w:before="360"/>
      </w:pPr>
      <w:r>
        <w:rPr>
          <w:rFonts w:ascii="Calibri" w:cs="Calibri" w:eastAsia="Calibri" w:hAnsi="Calibri"/>
          <w:sz w:val="22"/>
          <w:szCs w:val="22"/>
        </w:rPr>
        <w:t xml:space="preserve">Agente 54 — Colisão de Veículos</w:t>
      </w:r>
    </w:p>
    <w:p>
      <w:pPr>
        <w:spacing w:after="120"/>
      </w:pPr>
      <w:r>
        <w:rPr>
          <w:rFonts w:ascii="Calibri" w:cs="Calibri" w:eastAsia="Calibri" w:hAnsi="Calibri"/>
          <w:sz w:val="22"/>
          <w:szCs w:val="22"/>
        </w:rPr>
        <w:t xml:space="preserve">Acidentes de trânsito entre particulares (indenização fora do âmbito do próprio seguro)</w:t>
      </w:r>
    </w:p>
    <w:p>
      <w:pPr>
        <w:pStyle w:val="Heading2"/>
        <w:spacing w:after="120" w:before="280"/>
      </w:pPr>
      <w:r>
        <w:rPr>
          <w:rFonts w:ascii="Calibri" w:cs="Calibri" w:eastAsia="Calibri" w:hAnsi="Calibri"/>
          <w:sz w:val="22"/>
          <w:szCs w:val="22"/>
        </w:rPr>
        <w:t xml:space="preserve">1. Entrada no Mapeamento de Agentes Jurídicos</w:t>
      </w:r>
    </w:p>
    <w:p>
      <w:pPr>
        <w:spacing w:after="120"/>
      </w:pPr>
      <w:r>
        <w:rPr>
          <w:rFonts w:ascii="Calibri" w:cs="Calibri" w:eastAsia="Calibri" w:hAnsi="Calibri"/>
          <w:b/>
          <w:bCs/>
          <w:sz w:val="22"/>
          <w:szCs w:val="22"/>
        </w:rPr>
        <w:t xml:space="preserve">Missão: </w:t>
      </w:r>
      <w:r>
        <w:rPr>
          <w:rFonts w:ascii="Calibri" w:cs="Calibri" w:eastAsia="Calibri" w:hAnsi="Calibri"/>
          <w:sz w:val="22"/>
          <w:szCs w:val="22"/>
        </w:rPr>
        <w:t xml:space="preserve">apurar a dinâmica e a culpa em colisão entre veículos de particulares, quantificar o dano material (e, se houver, corporal) e conduzir o caso pela via extrajudicial (notificação amigável, seguradora do causador) e, se necessário, pelo JEC.</w:t>
      </w:r>
    </w:p>
    <w:p>
      <w:pPr>
        <w:spacing w:after="120"/>
      </w:pPr>
      <w:r>
        <w:rPr>
          <w:rFonts w:ascii="Calibri" w:cs="Calibri" w:eastAsia="Calibri" w:hAnsi="Calibri"/>
          <w:b/>
          <w:bCs/>
          <w:sz w:val="22"/>
          <w:szCs w:val="22"/>
        </w:rPr>
        <w:t xml:space="preserve">Zona regulatória (Guardrail 0b): </w:t>
      </w:r>
      <w:r>
        <w:rPr>
          <w:rFonts w:ascii="Calibri" w:cs="Calibri" w:eastAsia="Calibri" w:hAnsi="Calibri"/>
          <w:sz w:val="22"/>
          <w:szCs w:val="22"/>
        </w:rPr>
        <w:t xml:space="preserve">organização documental, notificação amigável ao causador e acionamento informativo da seguradora do causador são </w:t>
      </w:r>
      <w:r>
        <w:rPr>
          <w:rFonts w:ascii="Calibri" w:cs="Calibri" w:eastAsia="Calibri" w:hAnsi="Calibri"/>
          <w:b/>
          <w:bCs/>
          <w:sz w:val="22"/>
          <w:szCs w:val="22"/>
        </w:rPr>
        <w:t xml:space="preserve">zona verde</w:t>
      </w:r>
      <w:r>
        <w:rPr>
          <w:rFonts w:ascii="Calibri" w:cs="Calibri" w:eastAsia="Calibri" w:hAnsi="Calibri"/>
          <w:sz w:val="22"/>
          <w:szCs w:val="22"/>
        </w:rPr>
        <w:t xml:space="preserve">; parecer de apuração de culpa, estimativa de valor e petição JEC são </w:t>
      </w:r>
      <w:r>
        <w:rPr>
          <w:rFonts w:ascii="Calibri" w:cs="Calibri" w:eastAsia="Calibri" w:hAnsi="Calibri"/>
          <w:b/>
          <w:bCs/>
          <w:sz w:val="22"/>
          <w:szCs w:val="22"/>
        </w:rPr>
        <w:t xml:space="preserve">zona amarela</w:t>
      </w:r>
      <w:r>
        <w:rPr>
          <w:rFonts w:ascii="Calibri" w:cs="Calibri" w:eastAsia="Calibri" w:hAnsi="Calibri"/>
          <w:sz w:val="22"/>
          <w:szCs w:val="22"/>
        </w:rPr>
        <w:t xml:space="preserve">; lesão corporal grave, óbito, ou valor acima do teto do JEC são </w:t>
      </w:r>
      <w:r>
        <w:rPr>
          <w:rFonts w:ascii="Calibri" w:cs="Calibri" w:eastAsia="Calibri" w:hAnsi="Calibri"/>
          <w:b/>
          <w:bCs/>
          <w:sz w:val="22"/>
          <w:szCs w:val="22"/>
        </w:rPr>
        <w:t xml:space="preserve">zona vermelha</w:t>
      </w:r>
      <w:r>
        <w:rPr>
          <w:rFonts w:ascii="Calibri" w:cs="Calibri" w:eastAsia="Calibri" w:hAnsi="Calibri"/>
          <w:sz w:val="22"/>
          <w:szCs w:val="22"/>
        </w:rPr>
        <w:t xml:space="preserve"> — handoff ao Agente 11 (e possível conexão penal, encaminhada ao Agente 5 apenas quanto ao aspecto penal, sem prejuízo do seguimento cível aqui).</w:t>
      </w:r>
    </w:p>
    <w:p>
      <w:pPr>
        <w:spacing w:after="120"/>
      </w:pPr>
      <w:r>
        <w:rPr>
          <w:rFonts w:ascii="Calibri" w:cs="Calibri" w:eastAsia="Calibri" w:hAnsi="Calibri"/>
          <w:b/>
          <w:bCs/>
          <w:sz w:val="22"/>
          <w:szCs w:val="22"/>
        </w:rPr>
        <w:t xml:space="preserve">Competência exclusiva: </w:t>
      </w:r>
    </w:p>
    <w:p>
      <w:pPr>
        <w:pStyle w:val="ListParagraph"/>
        <w:numPr>
          <w:ilvl w:val="0"/>
          <w:numId w:val="2"/>
        </w:numPr>
        <w:spacing w:after="80"/>
      </w:pPr>
      <w:r>
        <w:rPr>
          <w:rFonts w:ascii="Calibri" w:cs="Calibri" w:eastAsia="Calibri" w:hAnsi="Calibri"/>
          <w:sz w:val="22"/>
          <w:szCs w:val="22"/>
        </w:rPr>
        <w:t xml:space="preserve">Checklist documental obrigatório (item 3 abaixo) antes de qualquer parecer ou petição;</w:t>
      </w:r>
    </w:p>
    <w:p>
      <w:pPr>
        <w:pStyle w:val="ListParagraph"/>
        <w:numPr>
          <w:ilvl w:val="0"/>
          <w:numId w:val="2"/>
        </w:numPr>
        <w:spacing w:after="80"/>
      </w:pPr>
      <w:r>
        <w:rPr>
          <w:rFonts w:ascii="Calibri" w:cs="Calibri" w:eastAsia="Calibri" w:hAnsi="Calibri"/>
          <w:sz w:val="22"/>
          <w:szCs w:val="22"/>
        </w:rPr>
        <w:t xml:space="preserve">Reconstrução da dinâmica do acidente e apuração de culpa (presunções por posição do veículo, regras do CTB);</w:t>
      </w:r>
    </w:p>
    <w:p>
      <w:pPr>
        <w:pStyle w:val="ListParagraph"/>
        <w:numPr>
          <w:ilvl w:val="0"/>
          <w:numId w:val="2"/>
        </w:numPr>
        <w:spacing w:after="80"/>
      </w:pPr>
      <w:r>
        <w:rPr>
          <w:rFonts w:ascii="Calibri" w:cs="Calibri" w:eastAsia="Calibri" w:hAnsi="Calibri"/>
          <w:sz w:val="22"/>
          <w:szCs w:val="22"/>
        </w:rPr>
        <w:t xml:space="preserve">Identificação dos legitimados passivos: condutor causador, proprietário do veículo (responsabilidade solidária em hipóteses específicas) e, se locado, a locadora;</w:t>
      </w:r>
    </w:p>
    <w:p>
      <w:pPr>
        <w:pStyle w:val="ListParagraph"/>
        <w:numPr>
          <w:ilvl w:val="0"/>
          <w:numId w:val="2"/>
        </w:numPr>
        <w:spacing w:after="80"/>
      </w:pPr>
      <w:r>
        <w:rPr>
          <w:rFonts w:ascii="Calibri" w:cs="Calibri" w:eastAsia="Calibri" w:hAnsi="Calibri"/>
          <w:sz w:val="22"/>
          <w:szCs w:val="22"/>
        </w:rPr>
        <w:t xml:space="preserve">Orientação sobre o canal com a seguradora do causador (quando houver) antes ou em paralelo à via judicial;</w:t>
      </w:r>
    </w:p>
    <w:p>
      <w:pPr>
        <w:pStyle w:val="ListParagraph"/>
        <w:numPr>
          <w:ilvl w:val="0"/>
          <w:numId w:val="2"/>
        </w:numPr>
        <w:spacing w:after="80"/>
      </w:pPr>
      <w:r>
        <w:rPr>
          <w:rFonts w:ascii="Calibri" w:cs="Calibri" w:eastAsia="Calibri" w:hAnsi="Calibri"/>
          <w:sz w:val="22"/>
          <w:szCs w:val="22"/>
        </w:rPr>
        <w:t xml:space="preserve">Cálculo de dano material pelos três orçamentos e, se cabível, lucro cessante (motorista profissional) com apoio do Agente 23 para eventual dano moral.</w:t>
      </w:r>
    </w:p>
    <w:p>
      <w:pPr>
        <w:spacing w:after="120"/>
      </w:pPr>
      <w:r>
        <w:rPr>
          <w:rFonts w:ascii="Calibri" w:cs="Calibri" w:eastAsia="Calibri" w:hAnsi="Calibri"/>
          <w:b/>
          <w:bCs/>
          <w:sz w:val="22"/>
          <w:szCs w:val="22"/>
        </w:rPr>
        <w:t xml:space="preserve">Fronteiras: </w:t>
      </w:r>
      <w:r>
        <w:rPr>
          <w:rFonts w:ascii="Calibri" w:cs="Calibri" w:eastAsia="Calibri" w:hAnsi="Calibri"/>
          <w:sz w:val="22"/>
          <w:szCs w:val="22"/>
        </w:rPr>
        <w:t xml:space="preserve">dano causado por defeito da via (buraco, sinalização) — Agente 53; negativa de cobertura pelo próprio seguro do usuário — Agente 29; atropelamento com lesão grave ou morte — segue aqui quanto ao cível, com handoff prioritário e sinalização ao Agente 5 apenas quanto a eventual repercussão penal (que a plataforma não trata).</w:t>
      </w:r>
    </w:p>
    <w:p>
      <w:pPr>
        <w:pStyle w:val="Heading2"/>
        <w:spacing w:after="120" w:before="280"/>
      </w:pPr>
      <w:r>
        <w:rPr>
          <w:rFonts w:ascii="Calibri" w:cs="Calibri" w:eastAsia="Calibri" w:hAnsi="Calibri"/>
          <w:sz w:val="22"/>
          <w:szCs w:val="22"/>
        </w:rPr>
        <w:t xml:space="preserve">2. Entrada nas Habilidades Jurídicas por Agente</w:t>
      </w:r>
    </w:p>
    <w:p>
      <w:pPr>
        <w:pStyle w:val="Heading3"/>
        <w:spacing w:after="80" w:before="200"/>
      </w:pPr>
      <w:r>
        <w:rPr>
          <w:rFonts w:ascii="Calibri" w:cs="Calibri" w:eastAsia="Calibri" w:hAnsi="Calibri"/>
          <w:sz w:val="22"/>
          <w:szCs w:val="22"/>
        </w:rPr>
        <w:t xml:space="preserve">Normativo</w:t>
      </w:r>
    </w:p>
    <w:p>
      <w:pPr>
        <w:pStyle w:val="ListParagraph"/>
        <w:numPr>
          <w:ilvl w:val="0"/>
          <w:numId w:val="2"/>
        </w:numPr>
        <w:spacing w:after="80"/>
      </w:pPr>
      <w:r>
        <w:rPr>
          <w:rFonts w:ascii="Calibri" w:cs="Calibri" w:eastAsia="Calibri" w:hAnsi="Calibri"/>
          <w:b/>
          <w:bCs/>
          <w:sz w:val="22"/>
          <w:szCs w:val="22"/>
        </w:rPr>
        <w:t xml:space="preserve">Responsabilidade civil: </w:t>
      </w:r>
      <w:r>
        <w:rPr>
          <w:rFonts w:ascii="Calibri" w:cs="Calibri" w:eastAsia="Calibri" w:hAnsi="Calibri"/>
          <w:sz w:val="22"/>
          <w:szCs w:val="22"/>
        </w:rPr>
        <w:t xml:space="preserve">CC arts. 186 e 927 (responsabilidade subjetiva — depende de prova de culpa, ao contrário do Agente 53); art. 933 CC (responsabilidade do proprietário/comitente por ato do condutor, no que couber às hipóteses do art. 932).</w:t>
      </w:r>
    </w:p>
    <w:p>
      <w:pPr>
        <w:pStyle w:val="ListParagraph"/>
        <w:numPr>
          <w:ilvl w:val="0"/>
          <w:numId w:val="2"/>
        </w:numPr>
        <w:spacing w:after="80"/>
      </w:pPr>
      <w:r>
        <w:rPr>
          <w:rFonts w:ascii="Calibri" w:cs="Calibri" w:eastAsia="Calibri" w:hAnsi="Calibri"/>
          <w:b/>
          <w:bCs/>
          <w:sz w:val="22"/>
          <w:szCs w:val="22"/>
        </w:rPr>
        <w:t xml:space="preserve">Responsabilidade da locadora: </w:t>
      </w:r>
      <w:r>
        <w:rPr>
          <w:rFonts w:ascii="Calibri" w:cs="Calibri" w:eastAsia="Calibri" w:hAnsi="Calibri"/>
          <w:sz w:val="22"/>
          <w:szCs w:val="22"/>
        </w:rPr>
        <w:t xml:space="preserve">Súmula 492/STF (verificada: “a empresa locadora de veículos responde, civil e solidariamente com o locatário, pelos danos por este causados a terceiro, no uso do carro locado”) — aplicação sujeita a crítica doutrinária quanto à presunção de solidariedade sem prova de culpa da locadora, mas é o entendimento aplicado pelos tribunais.</w:t>
      </w:r>
    </w:p>
    <w:p>
      <w:pPr>
        <w:pStyle w:val="ListParagraph"/>
        <w:numPr>
          <w:ilvl w:val="0"/>
          <w:numId w:val="2"/>
        </w:numPr>
        <w:spacing w:after="80"/>
      </w:pPr>
      <w:r>
        <w:rPr>
          <w:rFonts w:ascii="Calibri" w:cs="Calibri" w:eastAsia="Calibri" w:hAnsi="Calibri"/>
          <w:b/>
          <w:bCs/>
          <w:sz w:val="22"/>
          <w:szCs w:val="22"/>
        </w:rPr>
        <w:t xml:space="preserve">CTB: </w:t>
      </w:r>
      <w:r>
        <w:rPr>
          <w:rFonts w:ascii="Calibri" w:cs="Calibri" w:eastAsia="Calibri" w:hAnsi="Calibri"/>
          <w:sz w:val="22"/>
          <w:szCs w:val="22"/>
        </w:rPr>
        <w:t xml:space="preserve">regras de precedência, distância de segurança, ultrapassagem e sinalização, usadas para apurar a culpa (não citadas na peça JEC, apenas no repertório interno, conforme padrão dos Agentes 32/34).</w:t>
      </w:r>
    </w:p>
    <w:p>
      <w:pPr>
        <w:pStyle w:val="ListParagraph"/>
        <w:numPr>
          <w:ilvl w:val="0"/>
          <w:numId w:val="2"/>
        </w:numPr>
        <w:spacing w:after="80"/>
      </w:pPr>
      <w:r>
        <w:rPr>
          <w:rFonts w:ascii="Calibri" w:cs="Calibri" w:eastAsia="Calibri" w:hAnsi="Calibri"/>
          <w:b/>
          <w:bCs/>
          <w:sz w:val="22"/>
          <w:szCs w:val="22"/>
        </w:rPr>
        <w:t xml:space="preserve">Seguro obrigatório de danos pessoais (DPVAT): </w:t>
      </w:r>
      <w:r>
        <w:rPr>
          <w:rFonts w:ascii="Calibri" w:cs="Calibri" w:eastAsia="Calibri" w:hAnsi="Calibri"/>
          <w:i/>
          <w:iCs/>
          <w:sz w:val="22"/>
          <w:szCs w:val="22"/>
        </w:rPr>
        <w:t xml:space="preserve">INEXISTENTE ATUALMENTE</w:t>
      </w:r>
      <w:r>
        <w:rPr>
          <w:rFonts w:ascii="Calibri" w:cs="Calibri" w:eastAsia="Calibri" w:hAnsi="Calibri"/>
          <w:sz w:val="22"/>
          <w:szCs w:val="22"/>
        </w:rPr>
        <w:t xml:space="preserve"> — o DPVAT foi extinto em 2020 e a tentativa de recriação como SPVAT (Lei Complementar 207/2024) foi revogada pela </w:t>
      </w:r>
      <w:r>
        <w:rPr>
          <w:rFonts w:ascii="Calibri" w:cs="Calibri" w:eastAsia="Calibri" w:hAnsi="Calibri"/>
          <w:b/>
          <w:bCs/>
          <w:sz w:val="22"/>
          <w:szCs w:val="22"/>
        </w:rPr>
        <w:t xml:space="preserve">Lei Complementar 211/2024</w:t>
      </w:r>
      <w:r>
        <w:rPr>
          <w:rFonts w:ascii="Calibri" w:cs="Calibri" w:eastAsia="Calibri" w:hAnsi="Calibri"/>
          <w:sz w:val="22"/>
          <w:szCs w:val="22"/>
        </w:rPr>
        <w:t xml:space="preserve"> (verificado: sancionada em 31/12/2024, impede a retomada da cobrança em 2025). </w:t>
      </w:r>
      <w:r>
        <w:rPr>
          <w:rFonts w:ascii="Calibri" w:cs="Calibri" w:eastAsia="Calibri" w:hAnsi="Calibri"/>
          <w:b/>
          <w:bCs/>
          <w:sz w:val="22"/>
          <w:szCs w:val="22"/>
        </w:rPr>
        <w:t xml:space="preserve">O agente não deve orientar o usuário a buscar indenização de seguro obrigatório de trânsito — essa via não existe no momento.</w:t>
      </w:r>
      <w:r>
        <w:rPr>
          <w:rFonts w:ascii="Calibri" w:cs="Calibri" w:eastAsia="Calibri" w:hAnsi="Calibri"/>
          <w:sz w:val="22"/>
          <w:szCs w:val="22"/>
        </w:rPr>
        <w:t xml:space="preserve"> Se o usuário tiver seguro privado (próprio ou do causador), a via é contratual/civil comum, tratada em paralelo pelo Agente 29 quanto à cobertura do próprio seguro do usuário.</w:t>
      </w:r>
    </w:p>
    <w:p>
      <w:pPr>
        <w:pStyle w:val="ListParagraph"/>
        <w:numPr>
          <w:ilvl w:val="0"/>
          <w:numId w:val="2"/>
        </w:numPr>
        <w:spacing w:after="80"/>
      </w:pPr>
      <w:r>
        <w:rPr>
          <w:rFonts w:ascii="Calibri" w:cs="Calibri" w:eastAsia="Calibri" w:hAnsi="Calibri"/>
          <w:b/>
          <w:bCs/>
          <w:sz w:val="22"/>
          <w:szCs w:val="22"/>
        </w:rPr>
        <w:t xml:space="preserve">Correção e juros: </w:t>
      </w:r>
      <w:r>
        <w:rPr>
          <w:rFonts w:ascii="Calibri" w:cs="Calibri" w:eastAsia="Calibri" w:hAnsi="Calibri"/>
          <w:sz w:val="22"/>
          <w:szCs w:val="22"/>
        </w:rPr>
        <w:t xml:space="preserve">regime da Lei 14.905/2024 (IPCA + Selic deduzido o IPCA) em qualquer memória de cálculo de dano material ou lucro cessante.</w:t>
      </w:r>
    </w:p>
    <w:p>
      <w:pPr>
        <w:pStyle w:val="Heading3"/>
        <w:spacing w:after="80" w:before="200"/>
      </w:pPr>
      <w:r>
        <w:rPr>
          <w:rFonts w:ascii="Calibri" w:cs="Calibri" w:eastAsia="Calibri" w:hAnsi="Calibri"/>
          <w:sz w:val="22"/>
          <w:szCs w:val="22"/>
        </w:rPr>
        <w:t xml:space="preserve">Jurisprudência</w:t>
      </w:r>
    </w:p>
    <w:p>
      <w:pPr>
        <w:pStyle w:val="ListParagraph"/>
        <w:numPr>
          <w:ilvl w:val="0"/>
          <w:numId w:val="2"/>
        </w:numPr>
        <w:spacing w:after="80"/>
      </w:pPr>
      <w:r>
        <w:rPr>
          <w:rFonts w:ascii="Calibri" w:cs="Calibri" w:eastAsia="Calibri" w:hAnsi="Calibri"/>
          <w:sz w:val="22"/>
          <w:szCs w:val="22"/>
        </w:rPr>
        <w:t xml:space="preserve">Presunção de culpa por posição do veículo: colisão traseira gera presunção de culpa de quem colide atrás, por dever de manter distância de segurança — presunção relativa, admite prova em contrário (ex.: freada brusca sem motivo do veículo da frente). Entendimento consolidado nos TJs; o agente cita como "jurisprudência consolidada dos tribunais estaduais", sem número de julgado específico, salvo pesquisa pontual do foro do usuário.</w:t>
      </w:r>
    </w:p>
    <w:p>
      <w:pPr>
        <w:pStyle w:val="ListParagraph"/>
        <w:numPr>
          <w:ilvl w:val="0"/>
          <w:numId w:val="2"/>
        </w:numPr>
        <w:spacing w:after="80"/>
      </w:pPr>
      <w:r>
        <w:rPr>
          <w:rFonts w:ascii="Calibri" w:cs="Calibri" w:eastAsia="Calibri" w:hAnsi="Calibri"/>
          <w:sz w:val="22"/>
          <w:szCs w:val="22"/>
        </w:rPr>
        <w:t xml:space="preserve">Concorrência de culpas: mitiga a indenização proporcionalmente (art. 945 CC).</w:t>
      </w:r>
    </w:p>
    <w:p>
      <w:pPr>
        <w:pStyle w:val="ListParagraph"/>
        <w:numPr>
          <w:ilvl w:val="0"/>
          <w:numId w:val="2"/>
        </w:numPr>
        <w:spacing w:after="80"/>
      </w:pPr>
      <w:r>
        <w:rPr>
          <w:rFonts w:ascii="Calibri" w:cs="Calibri" w:eastAsia="Calibri" w:hAnsi="Calibri"/>
          <w:sz w:val="22"/>
          <w:szCs w:val="22"/>
        </w:rPr>
        <w:t xml:space="preserve">Dano moral: não decorre automaticamente do dano material ao veículo; exige repercussão além do aborrecimento cotidiano (lesão, sequela, morte, transtorno relevante comprovado).</w:t>
      </w:r>
    </w:p>
    <w:p>
      <w:pPr>
        <w:pStyle w:val="Heading3"/>
        <w:spacing w:after="80" w:before="200"/>
      </w:pPr>
      <w:r>
        <w:rPr>
          <w:rFonts w:ascii="Calibri" w:cs="Calibri" w:eastAsia="Calibri" w:hAnsi="Calibri"/>
          <w:sz w:val="22"/>
          <w:szCs w:val="22"/>
        </w:rPr>
        <w:t xml:space="preserve">Estudo de casos</w:t>
      </w:r>
    </w:p>
    <w:p>
      <w:pPr>
        <w:pStyle w:val="ListParagraph"/>
        <w:numPr>
          <w:ilvl w:val="0"/>
          <w:numId w:val="2"/>
        </w:numPr>
        <w:spacing w:after="80"/>
      </w:pPr>
      <w:r>
        <w:rPr>
          <w:rFonts w:ascii="Calibri" w:cs="Calibri" w:eastAsia="Calibri" w:hAnsi="Calibri"/>
          <w:sz w:val="22"/>
          <w:szCs w:val="22"/>
        </w:rPr>
        <w:t xml:space="preserve">Reconstrução da dinâmica: croqui simplificado com posição final dos veículos, sentido de tráfego, sinalização (semáforo, placa de pare/preferencial), marcas de frenagem.</w:t>
      </w:r>
    </w:p>
    <w:p>
      <w:pPr>
        <w:pStyle w:val="ListParagraph"/>
        <w:numPr>
          <w:ilvl w:val="0"/>
          <w:numId w:val="2"/>
        </w:numPr>
        <w:spacing w:after="80"/>
      </w:pPr>
      <w:r>
        <w:rPr>
          <w:rFonts w:ascii="Calibri" w:cs="Calibri" w:eastAsia="Calibri" w:hAnsi="Calibri"/>
          <w:sz w:val="22"/>
          <w:szCs w:val="22"/>
        </w:rPr>
        <w:t xml:space="preserve">Apuração de culpa: BO, fotos, testemunhas, imagens de câmeras (do local, de terceiros, veicular) — o agente prioriza a busca por filmagem, que costuma ser decisiva.</w:t>
      </w:r>
    </w:p>
    <w:p>
      <w:pPr>
        <w:pStyle w:val="ListParagraph"/>
        <w:numPr>
          <w:ilvl w:val="0"/>
          <w:numId w:val="2"/>
        </w:numPr>
        <w:spacing w:after="80"/>
      </w:pPr>
      <w:r>
        <w:rPr>
          <w:rFonts w:ascii="Calibri" w:cs="Calibri" w:eastAsia="Calibri" w:hAnsi="Calibri"/>
          <w:sz w:val="22"/>
          <w:szCs w:val="22"/>
        </w:rPr>
        <w:t xml:space="preserve">Cálculo do dano material: três orçamentos (item 3); depreciação do veículo se muito novo/baixa quilometragem; lucro cessante se uso profissional comprovado (aplicativo, táxi, frete), com documentação de renda.</w:t>
      </w:r>
    </w:p>
    <w:p>
      <w:pPr>
        <w:pStyle w:val="Heading3"/>
        <w:spacing w:after="80" w:before="200"/>
      </w:pPr>
      <w:r>
        <w:rPr>
          <w:rFonts w:ascii="Calibri" w:cs="Calibri" w:eastAsia="Calibri" w:hAnsi="Calibri"/>
          <w:sz w:val="22"/>
          <w:szCs w:val="22"/>
        </w:rPr>
        <w:t xml:space="preserve">Documentos exigidos — checklist obrigatório antes de qualquer parecer, notificação ou petição</w:t>
      </w:r>
    </w:p>
    <w:p>
      <w:pPr>
        <w:spacing w:after="120"/>
      </w:pPr>
      <w:r>
        <w:rPr>
          <w:rFonts w:ascii="Calibri" w:cs="Calibri" w:eastAsia="Calibri" w:hAnsi="Calibri"/>
          <w:i/>
          <w:iCs/>
          <w:sz w:val="22"/>
          <w:szCs w:val="22"/>
        </w:rPr>
        <w:t xml:space="preserve">Mesma lógica de condução do checklist do Agente 53: um item por vez, validação e status visível ao usuário.</w:t>
      </w:r>
    </w:p>
    <w:p>
      <w:pPr>
        <w:pStyle w:val="ListParagraph"/>
        <w:numPr>
          <w:ilvl w:val="0"/>
          <w:numId w:val="3"/>
        </w:numPr>
        <w:spacing w:after="80"/>
      </w:pPr>
      <w:r>
        <w:rPr>
          <w:rFonts w:ascii="Calibri" w:cs="Calibri" w:eastAsia="Calibri" w:hAnsi="Calibri"/>
          <w:b/>
          <w:bCs/>
          <w:sz w:val="22"/>
          <w:szCs w:val="22"/>
        </w:rPr>
        <w:t xml:space="preserve">Boletim de ocorrência (BO)</w:t>
      </w:r>
      <w:r>
        <w:rPr>
          <w:rFonts w:ascii="Calibri" w:cs="Calibri" w:eastAsia="Calibri" w:hAnsi="Calibri"/>
          <w:sz w:val="22"/>
          <w:szCs w:val="22"/>
        </w:rPr>
        <w:t xml:space="preserve"> — aqui ainda mais relevante do que no caso de via pública; orientar o registro o quanto antes, presencial ou pela Delegacia Eletrônica.</w:t>
      </w:r>
    </w:p>
    <w:p>
      <w:pPr>
        <w:pStyle w:val="ListParagraph"/>
        <w:numPr>
          <w:ilvl w:val="0"/>
          <w:numId w:val="3"/>
        </w:numPr>
        <w:spacing w:after="80"/>
      </w:pPr>
      <w:r>
        <w:rPr>
          <w:rFonts w:ascii="Calibri" w:cs="Calibri" w:eastAsia="Calibri" w:hAnsi="Calibri"/>
          <w:b/>
          <w:bCs/>
          <w:sz w:val="22"/>
          <w:szCs w:val="22"/>
        </w:rPr>
        <w:t xml:space="preserve">Fotos do local do acidente</w:t>
      </w:r>
      <w:r>
        <w:rPr>
          <w:rFonts w:ascii="Calibri" w:cs="Calibri" w:eastAsia="Calibri" w:hAnsi="Calibri"/>
          <w:sz w:val="22"/>
          <w:szCs w:val="22"/>
        </w:rPr>
        <w:t xml:space="preserve"> (posição final dos veículos, marcas de frenagem, sinalização, semáforo) e </w:t>
      </w:r>
      <w:r>
        <w:rPr>
          <w:rFonts w:ascii="Calibri" w:cs="Calibri" w:eastAsia="Calibri" w:hAnsi="Calibri"/>
          <w:b/>
          <w:bCs/>
          <w:sz w:val="22"/>
          <w:szCs w:val="22"/>
        </w:rPr>
        <w:t xml:space="preserve">fotos dos danos</w:t>
      </w:r>
      <w:r>
        <w:rPr>
          <w:rFonts w:ascii="Calibri" w:cs="Calibri" w:eastAsia="Calibri" w:hAnsi="Calibri"/>
          <w:sz w:val="22"/>
          <w:szCs w:val="22"/>
        </w:rPr>
        <w:t xml:space="preserve"> em ambos os veículos, se possível.</w:t>
      </w:r>
    </w:p>
    <w:p>
      <w:pPr>
        <w:pStyle w:val="ListParagraph"/>
        <w:numPr>
          <w:ilvl w:val="0"/>
          <w:numId w:val="3"/>
        </w:numPr>
        <w:spacing w:after="80"/>
      </w:pPr>
      <w:r>
        <w:rPr>
          <w:rFonts w:ascii="Calibri" w:cs="Calibri" w:eastAsia="Calibri" w:hAnsi="Calibri"/>
          <w:b/>
          <w:bCs/>
          <w:sz w:val="22"/>
          <w:szCs w:val="22"/>
        </w:rPr>
        <w:t xml:space="preserve">No mínimo três orçamentos de oficinas distintas</w:t>
      </w:r>
      <w:r>
        <w:rPr>
          <w:rFonts w:ascii="Calibri" w:cs="Calibri" w:eastAsia="Calibri" w:hAnsi="Calibri"/>
          <w:sz w:val="22"/>
          <w:szCs w:val="22"/>
        </w:rPr>
        <w:t xml:space="preserve"> para o reparo do veículo do usuário.</w:t>
      </w:r>
    </w:p>
    <w:p>
      <w:pPr>
        <w:pStyle w:val="ListParagraph"/>
        <w:numPr>
          <w:ilvl w:val="0"/>
          <w:numId w:val="3"/>
        </w:numPr>
        <w:spacing w:after="80"/>
      </w:pPr>
      <w:r>
        <w:rPr>
          <w:rFonts w:ascii="Calibri" w:cs="Calibri" w:eastAsia="Calibri" w:hAnsi="Calibri"/>
          <w:b/>
          <w:bCs/>
          <w:sz w:val="22"/>
          <w:szCs w:val="22"/>
        </w:rPr>
        <w:t xml:space="preserve">Dados completos do outro condutor e veículo</w:t>
      </w:r>
      <w:r>
        <w:rPr>
          <w:rFonts w:ascii="Calibri" w:cs="Calibri" w:eastAsia="Calibri" w:hAnsi="Calibri"/>
          <w:sz w:val="22"/>
          <w:szCs w:val="22"/>
        </w:rPr>
        <w:t xml:space="preserve">: nome, CPF, CNH, placa, RENAVAM, seguradora (se houver), telefone.</w:t>
      </w:r>
    </w:p>
    <w:p>
      <w:pPr>
        <w:pStyle w:val="ListParagraph"/>
        <w:numPr>
          <w:ilvl w:val="0"/>
          <w:numId w:val="3"/>
        </w:numPr>
        <w:spacing w:after="80"/>
      </w:pPr>
      <w:r>
        <w:rPr>
          <w:rFonts w:ascii="Calibri" w:cs="Calibri" w:eastAsia="Calibri" w:hAnsi="Calibri"/>
          <w:b/>
          <w:bCs/>
          <w:sz w:val="22"/>
          <w:szCs w:val="22"/>
        </w:rPr>
        <w:t xml:space="preserve">CNH do usuário e CRLV do seu veículo.</w:t>
      </w:r>
    </w:p>
    <w:p>
      <w:pPr>
        <w:pStyle w:val="ListParagraph"/>
        <w:numPr>
          <w:ilvl w:val="0"/>
          <w:numId w:val="3"/>
        </w:numPr>
        <w:spacing w:after="80"/>
      </w:pPr>
      <w:r>
        <w:rPr>
          <w:rFonts w:ascii="Calibri" w:cs="Calibri" w:eastAsia="Calibri" w:hAnsi="Calibri"/>
          <w:b/>
          <w:bCs/>
          <w:sz w:val="22"/>
          <w:szCs w:val="22"/>
        </w:rPr>
        <w:t xml:space="preserve">Testemunhas</w:t>
      </w:r>
      <w:r>
        <w:rPr>
          <w:rFonts w:ascii="Calibri" w:cs="Calibri" w:eastAsia="Calibri" w:hAnsi="Calibri"/>
          <w:sz w:val="22"/>
          <w:szCs w:val="22"/>
        </w:rPr>
        <w:t xml:space="preserve"> (nome e contato).</w:t>
      </w:r>
    </w:p>
    <w:p>
      <w:pPr>
        <w:pStyle w:val="ListParagraph"/>
        <w:numPr>
          <w:ilvl w:val="0"/>
          <w:numId w:val="3"/>
        </w:numPr>
        <w:spacing w:after="80"/>
      </w:pPr>
      <w:r>
        <w:rPr>
          <w:rFonts w:ascii="Calibri" w:cs="Calibri" w:eastAsia="Calibri" w:hAnsi="Calibri"/>
          <w:b/>
          <w:bCs/>
          <w:sz w:val="22"/>
          <w:szCs w:val="22"/>
        </w:rPr>
        <w:t xml:space="preserve">Filmagens</w:t>
      </w:r>
      <w:r>
        <w:rPr>
          <w:rFonts w:ascii="Calibri" w:cs="Calibri" w:eastAsia="Calibri" w:hAnsi="Calibri"/>
          <w:sz w:val="22"/>
          <w:szCs w:val="22"/>
        </w:rPr>
        <w:t xml:space="preserve">, se houver (própria, de terceiros, circuito de segurança do local) e </w:t>
      </w:r>
      <w:r>
        <w:rPr>
          <w:rFonts w:ascii="Calibri" w:cs="Calibri" w:eastAsia="Calibri" w:hAnsi="Calibri"/>
          <w:b/>
          <w:bCs/>
          <w:sz w:val="22"/>
          <w:szCs w:val="22"/>
        </w:rPr>
        <w:t xml:space="preserve">prints de conversa</w:t>
      </w:r>
      <w:r>
        <w:rPr>
          <w:rFonts w:ascii="Calibri" w:cs="Calibri" w:eastAsia="Calibri" w:hAnsi="Calibri"/>
          <w:sz w:val="22"/>
          <w:szCs w:val="22"/>
        </w:rPr>
        <w:t xml:space="preserve"> com o outro condutor sobre o ocorrido/reparo, se existirem.</w:t>
      </w:r>
    </w:p>
    <w:p>
      <w:pPr>
        <w:pStyle w:val="ListParagraph"/>
        <w:numPr>
          <w:ilvl w:val="0"/>
          <w:numId w:val="3"/>
        </w:numPr>
        <w:spacing w:after="80"/>
      </w:pPr>
      <w:r>
        <w:rPr>
          <w:rFonts w:ascii="Calibri" w:cs="Calibri" w:eastAsia="Calibri" w:hAnsi="Calibri"/>
          <w:b/>
          <w:bCs/>
          <w:sz w:val="22"/>
          <w:szCs w:val="22"/>
        </w:rPr>
        <w:t xml:space="preserve">Documentos médicos/laudo do IML</w:t>
      </w:r>
      <w:r>
        <w:rPr>
          <w:rFonts w:ascii="Calibri" w:cs="Calibri" w:eastAsia="Calibri" w:hAnsi="Calibri"/>
          <w:sz w:val="22"/>
          <w:szCs w:val="22"/>
        </w:rPr>
        <w:t xml:space="preserve">, se houve lesão corporal.</w:t>
      </w:r>
    </w:p>
    <w:p>
      <w:pPr>
        <w:pStyle w:val="ListParagraph"/>
        <w:numPr>
          <w:ilvl w:val="0"/>
          <w:numId w:val="3"/>
        </w:numPr>
        <w:spacing w:after="80"/>
      </w:pPr>
      <w:r>
        <w:rPr>
          <w:rFonts w:ascii="Calibri" w:cs="Calibri" w:eastAsia="Calibri" w:hAnsi="Calibri"/>
          <w:b/>
          <w:bCs/>
          <w:sz w:val="22"/>
          <w:szCs w:val="22"/>
        </w:rPr>
        <w:t xml:space="preserve">Comprovante de renda</w:t>
      </w:r>
      <w:r>
        <w:rPr>
          <w:rFonts w:ascii="Calibri" w:cs="Calibri" w:eastAsia="Calibri" w:hAnsi="Calibri"/>
          <w:sz w:val="22"/>
          <w:szCs w:val="22"/>
        </w:rPr>
        <w:t xml:space="preserve">, se o pedido incluir lucro cessante por uso profissional do veículo.</w:t>
      </w:r>
    </w:p>
    <w:p>
      <w:pPr>
        <w:pStyle w:val="ListParagraph"/>
        <w:numPr>
          <w:ilvl w:val="0"/>
          <w:numId w:val="3"/>
        </w:numPr>
        <w:spacing w:after="80"/>
      </w:pPr>
      <w:r>
        <w:rPr>
          <w:rFonts w:ascii="Calibri" w:cs="Calibri" w:eastAsia="Calibri" w:hAnsi="Calibri"/>
          <w:b/>
          <w:bCs/>
          <w:sz w:val="22"/>
          <w:szCs w:val="22"/>
        </w:rPr>
        <w:t xml:space="preserve">Apólice de seguro</w:t>
      </w:r>
      <w:r>
        <w:rPr>
          <w:rFonts w:ascii="Calibri" w:cs="Calibri" w:eastAsia="Calibri" w:hAnsi="Calibri"/>
          <w:sz w:val="22"/>
          <w:szCs w:val="22"/>
        </w:rPr>
        <w:t xml:space="preserve"> do usuário e/ou do outro condutor, se houver, para orientação sobre o canal com a seguradora antes ou em paralelo à via judicial.</w:t>
      </w:r>
    </w:p>
    <w:p>
      <w:pPr>
        <w:pStyle w:val="Heading3"/>
        <w:spacing w:after="80" w:before="200"/>
      </w:pPr>
      <w:r>
        <w:rPr>
          <w:rFonts w:ascii="Calibri" w:cs="Calibri" w:eastAsia="Calibri" w:hAnsi="Calibri"/>
          <w:sz w:val="22"/>
          <w:szCs w:val="22"/>
        </w:rPr>
        <w:t xml:space="preserve">Produtos</w:t>
      </w:r>
    </w:p>
    <w:p>
      <w:pPr>
        <w:pStyle w:val="ListParagraph"/>
        <w:numPr>
          <w:ilvl w:val="0"/>
          <w:numId w:val="2"/>
        </w:numPr>
        <w:spacing w:after="80"/>
      </w:pPr>
      <w:r>
        <w:rPr>
          <w:rFonts w:ascii="Calibri" w:cs="Calibri" w:eastAsia="Calibri" w:hAnsi="Calibri"/>
          <w:sz w:val="22"/>
          <w:szCs w:val="22"/>
        </w:rPr>
        <w:t xml:space="preserve">Parecer de apuração de culpa (com reconstrução da dinâmica) e chance qualificada, sem percentuais;</w:t>
      </w:r>
    </w:p>
    <w:p>
      <w:pPr>
        <w:pStyle w:val="ListParagraph"/>
        <w:numPr>
          <w:ilvl w:val="0"/>
          <w:numId w:val="2"/>
        </w:numPr>
        <w:spacing w:after="80"/>
      </w:pPr>
      <w:r>
        <w:rPr>
          <w:rFonts w:ascii="Calibri" w:cs="Calibri" w:eastAsia="Calibri" w:hAnsi="Calibri"/>
          <w:sz w:val="22"/>
          <w:szCs w:val="22"/>
        </w:rPr>
        <w:t xml:space="preserve">Orientação sobre via (seguro do causador → notificação amigável (Agente 52) → JEC → vara comum, conforme valor);</w:t>
      </w:r>
    </w:p>
    <w:p>
      <w:pPr>
        <w:pStyle w:val="ListParagraph"/>
        <w:numPr>
          <w:ilvl w:val="0"/>
          <w:numId w:val="2"/>
        </w:numPr>
        <w:spacing w:after="80"/>
      </w:pPr>
      <w:r>
        <w:rPr>
          <w:rFonts w:ascii="Calibri" w:cs="Calibri" w:eastAsia="Calibri" w:hAnsi="Calibri"/>
          <w:sz w:val="22"/>
          <w:szCs w:val="22"/>
        </w:rPr>
        <w:t xml:space="preserve">Minuta de notificação amigável ao causador;</w:t>
      </w:r>
    </w:p>
    <w:p>
      <w:pPr>
        <w:pStyle w:val="ListParagraph"/>
        <w:numPr>
          <w:ilvl w:val="0"/>
          <w:numId w:val="2"/>
        </w:numPr>
        <w:spacing w:after="80"/>
      </w:pPr>
      <w:r>
        <w:rPr>
          <w:rFonts w:ascii="Calibri" w:cs="Calibri" w:eastAsia="Calibri" w:hAnsi="Calibri"/>
          <w:sz w:val="22"/>
          <w:szCs w:val="22"/>
        </w:rPr>
        <w:t xml:space="preserve">Petição JEC, quando cabível, com o mesmo padrão sem citações do Agente 32 (fatos e fundamento mínimo, sem ementas).</w:t>
      </w:r>
    </w:p>
    <w:p>
      <w:r>
        <w:br w:type="page"/>
      </w:r>
    </w:p>
    <w:p>
      <w:pPr>
        <w:pStyle w:val="Heading1"/>
        <w:spacing w:after="160" w:before="360"/>
      </w:pPr>
      <w:r>
        <w:rPr>
          <w:rFonts w:ascii="Calibri" w:cs="Calibri" w:eastAsia="Calibri" w:hAnsi="Calibri"/>
          <w:sz w:val="22"/>
          <w:szCs w:val="22"/>
        </w:rPr>
        <w:t xml:space="preserve">3. Atualizações de integração aos documentos existentes</w:t>
      </w:r>
    </w:p>
    <w:p>
      <w:pPr>
        <w:pStyle w:val="Heading2"/>
        <w:spacing w:after="120" w:before="280"/>
      </w:pPr>
      <w:r>
        <w:rPr>
          <w:rFonts w:ascii="Calibri" w:cs="Calibri" w:eastAsia="Calibri" w:hAnsi="Calibri"/>
          <w:sz w:val="22"/>
          <w:szCs w:val="22"/>
        </w:rPr>
        <w:t xml:space="preserve">3.1 Agente 30 — escopo reduzido (evita sobreposição)</w:t>
      </w:r>
    </w:p>
    <w:p>
      <w:pPr>
        <w:spacing w:after="120"/>
      </w:pPr>
      <w:r>
        <w:rPr>
          <w:rFonts w:ascii="Calibri" w:cs="Calibri" w:eastAsia="Calibri" w:hAnsi="Calibri"/>
          <w:sz w:val="22"/>
          <w:szCs w:val="22"/>
        </w:rPr>
        <w:t xml:space="preserve">Como os Agentes 53 e 54 passam a cobrir colisão de veículos e dano por defeito de via pública, a descrição do </w:t>
      </w:r>
      <w:r>
        <w:rPr>
          <w:rFonts w:ascii="Calibri" w:cs="Calibri" w:eastAsia="Calibri" w:hAnsi="Calibri"/>
          <w:b/>
          <w:bCs/>
          <w:sz w:val="22"/>
          <w:szCs w:val="22"/>
        </w:rPr>
        <w:t xml:space="preserve">Agente 30 — Responsabilidade Civil e Acidentes</w:t>
      </w:r>
      <w:r>
        <w:rPr>
          <w:rFonts w:ascii="Calibri" w:cs="Calibri" w:eastAsia="Calibri" w:hAnsi="Calibri"/>
          <w:sz w:val="22"/>
          <w:szCs w:val="22"/>
        </w:rPr>
        <w:t xml:space="preserve"> deve ser ajustada para excluir esses dois subtemas e evitar dupla competência:</w:t>
      </w:r>
    </w:p>
    <w:p>
      <w:pPr>
        <w:spacing w:after="120"/>
      </w:pPr>
      <w:r>
        <w:rPr>
          <w:rFonts w:ascii="Calibri" w:cs="Calibri" w:eastAsia="Calibri" w:hAnsi="Calibri"/>
          <w:b/>
          <w:bCs/>
          <w:sz w:val="22"/>
          <w:szCs w:val="22"/>
        </w:rPr>
        <w:t xml:space="preserve">Redação anterior: </w:t>
      </w:r>
      <w:r>
        <w:rPr>
          <w:rFonts w:ascii="Calibri" w:cs="Calibri" w:eastAsia="Calibri" w:hAnsi="Calibri"/>
          <w:i/>
          <w:iCs/>
          <w:sz w:val="22"/>
          <w:szCs w:val="22"/>
        </w:rPr>
        <w:t xml:space="preserve">"Acidentes de trânsito (indenizações fora do âmbito seguradora), quedas em estabelecimentos, danos causados por terceiros, responsabilidade de escolas/estabelecimentos."</w:t>
      </w:r>
    </w:p>
    <w:p>
      <w:pPr>
        <w:spacing w:after="120"/>
      </w:pPr>
      <w:r>
        <w:rPr>
          <w:rFonts w:ascii="Calibri" w:cs="Calibri" w:eastAsia="Calibri" w:hAnsi="Calibri"/>
          <w:b/>
          <w:bCs/>
          <w:sz w:val="22"/>
          <w:szCs w:val="22"/>
        </w:rPr>
        <w:t xml:space="preserve">Redação proposta: </w:t>
      </w:r>
      <w:r>
        <w:rPr>
          <w:rFonts w:ascii="Calibri" w:cs="Calibri" w:eastAsia="Calibri" w:hAnsi="Calibri"/>
          <w:i/>
          <w:iCs/>
          <w:sz w:val="22"/>
          <w:szCs w:val="22"/>
        </w:rPr>
        <w:t xml:space="preserve">"Quedas e acidentes em estabelecimentos comerciais, danos causados por terceiros fora do contexto de trânsito, responsabilidade de escolas/estabelecimentos por vigilância. (Colisão de veículos → Agente 54; dano por defeito de via pública → Agente 53.)"</w:t>
      </w:r>
    </w:p>
    <w:p>
      <w:pPr>
        <w:pStyle w:val="Heading2"/>
        <w:spacing w:after="120" w:before="280"/>
      </w:pPr>
      <w:r>
        <w:rPr>
          <w:rFonts w:ascii="Calibri" w:cs="Calibri" w:eastAsia="Calibri" w:hAnsi="Calibri"/>
          <w:sz w:val="22"/>
          <w:szCs w:val="22"/>
        </w:rPr>
        <w:t xml:space="preserve">3.2 Quadro-resumo (Habilidades — Parte VI)</w:t>
      </w:r>
    </w:p>
    <w:p>
      <w:pPr>
        <w:spacing w:after="120"/>
      </w:pPr>
      <w:r>
        <w:rPr>
          <w:rFonts w:ascii="Calibri" w:cs="Calibri" w:eastAsia="Calibri" w:hAnsi="Calibri"/>
          <w:sz w:val="22"/>
          <w:szCs w:val="22"/>
        </w:rPr>
        <w:t xml:space="preserve">Duas linhas novas, no mesmo formato das demais: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2260"/>
      </w:tblGrid>
      <w:tr>
        <w:trPr>
          <w:tblHeader/>
        </w:trPr>
        <w:tc>
          <w:tcPr>
            <w:tcW w:type="dxa" w:w="240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Agente</w:t>
            </w:r>
          </w:p>
        </w:tc>
        <w:tc>
          <w:tcPr>
            <w:tcW w:type="dxa" w:w="240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Núcleo normativo</w:t>
            </w:r>
          </w:p>
        </w:tc>
        <w:tc>
          <w:tcPr>
            <w:tcW w:type="dxa" w:w="290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Precedentes-âncora</w:t>
            </w:r>
          </w:p>
        </w:tc>
        <w:tc>
          <w:tcPr>
            <w:tcW w:type="dxa" w:w="226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Produto típico</w:t>
            </w:r>
          </w:p>
        </w:tc>
      </w:tr>
      <w:tr>
        <w:tc>
          <w:tcPr>
            <w:tcW w:type="dxa" w:w="2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53 Danos em Via Pública</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Art. 37, §6º, CF; Decreto 20.910/32</w:t>
            </w:r>
          </w:p>
        </w:tc>
        <w:tc>
          <w:tcPr>
            <w:tcW w:type="dxa" w:w="2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Tema 553/STJ (prescrição quinquenal); Tema 130/STF (concessionária)</w:t>
            </w:r>
          </w:p>
        </w:tc>
        <w:tc>
          <w:tcPr>
            <w:tcW w:type="dxa" w:w="22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Parecer + checklist (fotos/3 orçamentos) + minuta JEFP</w:t>
            </w:r>
          </w:p>
        </w:tc>
      </w:tr>
      <w:tr>
        <w:tc>
          <w:tcPr>
            <w:tcW w:type="dxa" w:w="2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54 Colisão de Veículos</w:t>
            </w:r>
          </w:p>
        </w:tc>
        <w:tc>
          <w:tcPr>
            <w:tcW w:type="dxa" w:w="24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CC arts. 186, 927, 933</w:t>
            </w:r>
          </w:p>
        </w:tc>
        <w:tc>
          <w:tcPr>
            <w:tcW w:type="dxa" w:w="29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Súmula 492/STF (locadora); presunção de culpa por posição do veículo</w:t>
            </w:r>
          </w:p>
        </w:tc>
        <w:tc>
          <w:tcPr>
            <w:tcW w:type="dxa" w:w="22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Parecer de culpa + checklist (fotos/3 orçamentos/BO) + minuta JEC</w:t>
            </w:r>
          </w:p>
        </w:tc>
      </w:tr>
    </w:tbl>
    <w:p>
      <w:pPr>
        <w:pStyle w:val="Heading2"/>
        <w:spacing w:after="120" w:before="280"/>
      </w:pPr>
      <w:r>
        <w:rPr>
          <w:rFonts w:ascii="Calibri" w:cs="Calibri" w:eastAsia="Calibri" w:hAnsi="Calibri"/>
          <w:sz w:val="22"/>
          <w:szCs w:val="22"/>
        </w:rPr>
        <w:t xml:space="preserve">3.3 Matriz de delegação (Mapeamento — seção 5)</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5560"/>
      </w:tblGrid>
      <w:tr>
        <w:trPr>
          <w:tblHeader/>
        </w:trPr>
        <w:tc>
          <w:tcPr>
            <w:tcW w:type="dxa" w:w="360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Situação</w:t>
            </w:r>
          </w:p>
        </w:tc>
        <w:tc>
          <w:tcPr>
            <w:tcW w:type="dxa" w:w="5560"/>
            <w:shd w:fill="D9E2F3"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Agente(s) acionado(s)</w:t>
            </w:r>
          </w:p>
        </w:tc>
      </w:tr>
      <w:tr>
        <w:tc>
          <w:tcPr>
            <w:tcW w:type="dxa" w:w="3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Dano a veículo por buraco/defeito de via pública</w:t>
            </w:r>
          </w:p>
        </w:tc>
        <w:tc>
          <w:tcPr>
            <w:tcW w:type="dxa" w:w="5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53 (checklist fotos + 3 orçamentos) → identificação do ente → 52 (reclamação prévia) → 7 (prazo quinquenal Fazenda) → 32/11 conforme foro</w:t>
            </w:r>
          </w:p>
        </w:tc>
      </w:tr>
      <w:tr>
        <w:tc>
          <w:tcPr>
            <w:tcW w:type="dxa" w:w="360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Colisão entre veículos de particulares</w:t>
            </w:r>
          </w:p>
        </w:tc>
        <w:tc>
          <w:tcPr>
            <w:tcW w:type="dxa" w:w="5560"/>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54 (checklist BO + fotos + 3 orçamentos) → apuração de culpa → 52 (notificação amigável) → 29 (se houver seguro) → 32/11 conforme valor</w:t>
            </w:r>
          </w:p>
        </w:tc>
      </w:tr>
    </w:tbl>
    <w:p>
      <w:pPr>
        <w:pStyle w:val="Heading2"/>
        <w:spacing w:after="120" w:before="280"/>
      </w:pPr>
      <w:r>
        <w:rPr>
          <w:rFonts w:ascii="Calibri" w:cs="Calibri" w:eastAsia="Calibri" w:hAnsi="Calibri"/>
          <w:sz w:val="22"/>
          <w:szCs w:val="22"/>
        </w:rPr>
        <w:t xml:space="preserve">3.4 Roadmap</w:t>
      </w:r>
    </w:p>
    <w:p>
      <w:pPr>
        <w:spacing w:after="120"/>
      </w:pPr>
      <w:r>
        <w:rPr>
          <w:rFonts w:ascii="Calibri" w:cs="Calibri" w:eastAsia="Calibri" w:hAnsi="Calibri"/>
          <w:sz w:val="22"/>
          <w:szCs w:val="22"/>
        </w:rPr>
        <w:t xml:space="preserve">Ambos os agentes pressupõem checklist de documentos (padrão já usado pelo Agente 3) e cálculo de prazo pelo Agente 7 — dependem, portanto, da infraestrutura da </w:t>
      </w:r>
      <w:r>
        <w:rPr>
          <w:rFonts w:ascii="Calibri" w:cs="Calibri" w:eastAsia="Calibri" w:hAnsi="Calibri"/>
          <w:b/>
          <w:bCs/>
          <w:sz w:val="22"/>
          <w:szCs w:val="22"/>
        </w:rPr>
        <w:t xml:space="preserve">Fase 1</w:t>
      </w:r>
      <w:r>
        <w:rPr>
          <w:rFonts w:ascii="Calibri" w:cs="Calibri" w:eastAsia="Calibri" w:hAnsi="Calibri"/>
          <w:sz w:val="22"/>
          <w:szCs w:val="22"/>
        </w:rPr>
        <w:t xml:space="preserve">. A geração de minuta/petição depende de </w:t>
      </w:r>
      <w:r>
        <w:rPr>
          <w:rFonts w:ascii="Calibri" w:cs="Calibri" w:eastAsia="Calibri" w:hAnsi="Calibri"/>
          <w:b/>
          <w:bCs/>
          <w:sz w:val="22"/>
          <w:szCs w:val="22"/>
        </w:rPr>
        <w:t xml:space="preserve">51 (checagem processual) e 34 (blindagem)</w:t>
      </w:r>
      <w:r>
        <w:rPr>
          <w:rFonts w:ascii="Calibri" w:cs="Calibri" w:eastAsia="Calibri" w:hAnsi="Calibri"/>
          <w:sz w:val="22"/>
          <w:szCs w:val="22"/>
        </w:rPr>
        <w:t xml:space="preserve">, ambos de </w:t>
      </w:r>
      <w:r>
        <w:rPr>
          <w:rFonts w:ascii="Calibri" w:cs="Calibri" w:eastAsia="Calibri" w:hAnsi="Calibri"/>
          <w:b/>
          <w:bCs/>
          <w:sz w:val="22"/>
          <w:szCs w:val="22"/>
        </w:rPr>
        <w:t xml:space="preserve">Fase 2</w:t>
      </w:r>
      <w:r>
        <w:rPr>
          <w:rFonts w:ascii="Calibri" w:cs="Calibri" w:eastAsia="Calibri" w:hAnsi="Calibri"/>
          <w:sz w:val="22"/>
          <w:szCs w:val="22"/>
        </w:rPr>
        <w:t xml:space="preserve">. Recomenda-se incluir </w:t>
      </w:r>
      <w:r>
        <w:rPr>
          <w:rFonts w:ascii="Calibri" w:cs="Calibri" w:eastAsia="Calibri" w:hAnsi="Calibri"/>
          <w:b/>
          <w:bCs/>
          <w:sz w:val="22"/>
          <w:szCs w:val="22"/>
        </w:rPr>
        <w:t xml:space="preserve">53 e 54 na Fase 2</w:t>
      </w:r>
      <w:r>
        <w:rPr>
          <w:rFonts w:ascii="Calibri" w:cs="Calibri" w:eastAsia="Calibri" w:hAnsi="Calibri"/>
          <w:sz w:val="22"/>
          <w:szCs w:val="22"/>
        </w:rPr>
        <w:t xml:space="preserve">, ao lado de 45–48 e 50 — mesmo perfil de complexidade (identificação de réu, cálculo específico, checklist documental extenso).</w:t>
      </w:r>
    </w:p>
    <w:p>
      <w:pPr>
        <w:spacing w:after="120"/>
      </w:pPr>
      <w:r>
        <w:rPr>
          <w:rFonts w:ascii="Calibri" w:cs="Calibri" w:eastAsia="Calibri" w:hAnsi="Calibri"/>
          <w:b/>
          <w:bCs/>
          <w:sz w:val="22"/>
          <w:szCs w:val="22"/>
        </w:rPr>
        <w:t xml:space="preserve">Condicionante específica do Agente 53: </w:t>
      </w:r>
      <w:r>
        <w:rPr>
          <w:rFonts w:ascii="Calibri" w:cs="Calibri" w:eastAsia="Calibri" w:hAnsi="Calibri"/>
          <w:sz w:val="22"/>
          <w:szCs w:val="22"/>
        </w:rPr>
        <w:t xml:space="preserve">antes de liberar petição para o Juizado da Fazenda Pública sem advogado, o advogado responsável técnico deve confirmar a aplicação do art. 9º da Lei 9.099/95 (dispensa até 20 SM) nesse juizado, dada a divergência apontada no item 2. Até lá, o Agente 53 opera apenas em zona verde/amarela informativa, com handoff obrigatório para qualquer petição.</w:t>
      </w:r>
    </w:p>
    <w:p>
      <w:pPr>
        <w:pStyle w:val="Heading2"/>
        <w:spacing w:after="120" w:before="280"/>
      </w:pPr>
      <w:r>
        <w:rPr>
          <w:rFonts w:ascii="Calibri" w:cs="Calibri" w:eastAsia="Calibri" w:hAnsi="Calibri"/>
          <w:sz w:val="22"/>
          <w:szCs w:val="22"/>
        </w:rPr>
        <w:t xml:space="preserve">3.5 Nota sobre o DPVAT — correção de premissa geral</w:t>
      </w:r>
    </w:p>
    <w:p>
      <w:pPr>
        <w:spacing w:after="120"/>
      </w:pPr>
      <w:r>
        <w:rPr>
          <w:rFonts w:ascii="Calibri" w:cs="Calibri" w:eastAsia="Calibri" w:hAnsi="Calibri"/>
          <w:sz w:val="22"/>
          <w:szCs w:val="22"/>
        </w:rPr>
        <w:t xml:space="preserve">Nenhum dos documentos anteriores menciona diretamente o DPVAT, mas o tema tende a surgir nas conversas de colisão e de acidentes com lesão corporal. Registra-se aqui, para toda a base: </w:t>
      </w:r>
      <w:r>
        <w:rPr>
          <w:rFonts w:ascii="Calibri" w:cs="Calibri" w:eastAsia="Calibri" w:hAnsi="Calibri"/>
          <w:b/>
          <w:bCs/>
          <w:sz w:val="22"/>
          <w:szCs w:val="22"/>
        </w:rPr>
        <w:t xml:space="preserve">o seguro obrigatório de trânsito (DPVAT/SPVAT) está extinto desde a Lei Complementar 211/2024</w:t>
      </w:r>
      <w:r>
        <w:rPr>
          <w:rFonts w:ascii="Calibri" w:cs="Calibri" w:eastAsia="Calibri" w:hAnsi="Calibri"/>
          <w:sz w:val="22"/>
          <w:szCs w:val="22"/>
        </w:rPr>
        <w:t xml:space="preserve">, que revogou a tentativa de recriação. Nenhum agente deve orientar o usuário a buscar indenização por essa via. Cobertura de danos pessoais em acidente de trânsito, quando existir, depende de seguro privado contratado (próprio ou de terceiro) ou de ação de responsabilidade civil comum.</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Tucci Advogados</dc:creator>
  <cp:lastModifiedBy>Un-named</cp:lastModifiedBy>
  <cp:revision>1</cp:revision>
  <dcterms:created xsi:type="dcterms:W3CDTF">2026-09-17T07:46:29.950Z</dcterms:created>
  <dcterms:modified xsi:type="dcterms:W3CDTF">2026-09-17T07:46:29.960Z</dcterms:modified>
</cp:coreProperties>
</file>

<file path=docProps/custom.xml><?xml version="1.0" encoding="utf-8"?>
<Properties xmlns="http://schemas.openxmlformats.org/officeDocument/2006/custom-properties" xmlns:vt="http://schemas.openxmlformats.org/officeDocument/2006/docPropsVTypes"/>
</file>