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4c1d83f1bc77ee6abf45442010e98b1fe1a57d4"/>
    <w:p>
      <w:pPr>
        <w:pStyle w:val="Heading1"/>
      </w:pPr>
      <w:r>
        <w:t xml:space="preserve">Auditoria de Citações — Base de Conhecimento dos Agentes (Goga Legal)</w:t>
      </w:r>
    </w:p>
    <w:p>
      <w:pPr>
        <w:pStyle w:val="FirstParagraph"/>
      </w:pPr>
      <w:r>
        <w:rPr>
          <w:bCs/>
          <w:b/>
        </w:rPr>
        <w:t xml:space="preserve">Objeto:</w:t>
      </w:r>
      <w:r>
        <w:t xml:space="preserve"> </w:t>
      </w:r>
      <w:r>
        <w:t xml:space="preserve">auditoria ponto a ponto das citações normativas e jurisprudenciais dos documentos</w:t>
      </w:r>
      <w:r>
        <w:t xml:space="preserve"> </w:t>
      </w:r>
      <w:r>
        <w:rPr>
          <w:rStyle w:val="VerbatimChar"/>
        </w:rPr>
        <w:t xml:space="preserve">mapeamento_agentes_juridicos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habilidades_juridicas_agentes</w:t>
      </w:r>
      <w:r>
        <w:t xml:space="preserve">, decorrente da revisão externa de escopo.</w:t>
      </w:r>
      <w:r>
        <w:t xml:space="preserve"> </w:t>
      </w:r>
      <w:r>
        <w:rPr>
          <w:bCs/>
          <w:b/>
        </w:rPr>
        <w:t xml:space="preserve">Regra aplicada:</w:t>
      </w:r>
      <w:r>
        <w:t xml:space="preserve"> </w:t>
      </w:r>
      <w:r>
        <w:t xml:space="preserve">nenhuma citação permanece na base sem status — (A)</w:t>
      </w:r>
      <w:r>
        <w:t xml:space="preserve"> </w:t>
      </w:r>
      <w:r>
        <w:rPr>
          <w:bCs/>
          <w:b/>
        </w:rPr>
        <w:t xml:space="preserve">VERIFICADA E CORRIGIDA</w:t>
      </w:r>
      <w:r>
        <w:t xml:space="preserve"> </w:t>
      </w:r>
      <w:r>
        <w:t xml:space="preserve">(erro confirmado, correção aplicada com fonte); (B)</w:t>
      </w:r>
      <w:r>
        <w:t xml:space="preserve"> </w:t>
      </w:r>
      <w:r>
        <w:rPr>
          <w:bCs/>
          <w:b/>
        </w:rPr>
        <w:t xml:space="preserve">VERIFICADA E MANTIDA</w:t>
      </w:r>
      <w:r>
        <w:t xml:space="preserve"> </w:t>
      </w:r>
      <w:r>
        <w:t xml:space="preserve">(conferida, estava correta); (C)</w:t>
      </w:r>
      <w:r>
        <w:t xml:space="preserve"> </w:t>
      </w:r>
      <w:r>
        <w:rPr>
          <w:bCs/>
          <w:b/>
        </w:rPr>
        <w:t xml:space="preserve">EM VERIFICAÇÃO</w:t>
      </w:r>
      <w:r>
        <w:t xml:space="preserve"> </w:t>
      </w:r>
      <w:r>
        <w:t xml:space="preserve">(não localizada em fonte confiável — vedado uso pelos agentes até confirmação na base validada; o texto foi neutralizado).</w:t>
      </w:r>
      <w:r>
        <w:t xml:space="preserve"> </w:t>
      </w:r>
      <w:r>
        <w:rPr>
          <w:bCs/>
          <w:b/>
        </w:rPr>
        <w:t xml:space="preserve">Método:</w:t>
      </w:r>
      <w:r>
        <w:t xml:space="preserve"> </w:t>
      </w:r>
      <w:r>
        <w:t xml:space="preserve">cada item foi conferido contra fonte primária ou secundária oficial (sites dos tribunais, planalto, doutrina consolidada) antes da alteração — nem o documento original nem a revisão externa foram aceitos sem verificação.</w:t>
      </w:r>
    </w:p>
    <w:p>
      <w:r>
        <w:pict>
          <v:rect style="width:0;height:1.5pt" o:hralign="center" o:hrstd="t" o:hr="t"/>
        </w:pict>
      </w:r>
    </w:p>
    <w:bookmarkStart w:id="20" w:name="X40fc33b4fa75548762c7759792f86a829d3e2d0"/>
    <w:p>
      <w:pPr>
        <w:pStyle w:val="Heading2"/>
      </w:pPr>
      <w:r>
        <w:t xml:space="preserve">1. Itens VERIFICADOS E CORRIGIDOS (erro confirmado no documento original)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dizia (errado)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Correção aplicada (verificada)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 14.611/2023 = superendividamento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Lei 14.181/2021</w:t>
            </w:r>
            <w:r>
              <w:t xml:space="preserve"> </w:t>
            </w:r>
            <w:r>
              <w:t xml:space="preserve">(CDC, Capítulo VI-A, arts. 54-A e ss.); a 14.611/2023 trata de igualdade salarial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Ambos (Ag. 15 e tabelas)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Súmula 302/STJ = corte de energia / dano in re ipsa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Súmula 302/STJ trata de</w:t>
            </w:r>
            <w:r>
              <w:t xml:space="preserve"> </w:t>
            </w:r>
            <w:r>
              <w:rPr>
                <w:bCs/>
                <w:b/>
              </w:rPr>
              <w:t xml:space="preserve">limite temporal de internação em plano de saúde</w:t>
            </w:r>
            <w:r>
              <w:t xml:space="preserve"> </w:t>
            </w:r>
            <w:r>
              <w:t xml:space="preserve">— removida como fundamento; dano in re ipsa ficou com jurisprudência por hipótese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Habilidades (Ag. 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Súmula 385/STJ = inscrição indevida / dano moral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Sentido</w:t>
            </w:r>
            <w:r>
              <w:t xml:space="preserve"> </w:t>
            </w:r>
            <w:r>
              <w:rPr>
                <w:bCs/>
                <w:b/>
              </w:rPr>
              <w:t xml:space="preserve">oposto</w:t>
            </w:r>
            <w:r>
              <w:t xml:space="preserve">:</w:t>
            </w:r>
            <w:r>
              <w:t xml:space="preserve"> </w:t>
            </w:r>
            <w:r>
              <w:rPr>
                <w:bCs/>
                <w:b/>
              </w:rPr>
              <w:t xml:space="preserve">afasta</w:t>
            </w:r>
            <w:r>
              <w:t xml:space="preserve"> </w:t>
            </w:r>
            <w:r>
              <w:t xml:space="preserve">dano moral quando há inscrição legítima preexistente. Reclassificada como tese defensiva a conhecer, nunca fundamento ofensivo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Habilidades (Ag. 15, 19, 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Súmula 608/STJ = rol exemplificativo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Sentido correto:</w:t>
            </w:r>
            <w:r>
              <w:t xml:space="preserve"> </w:t>
            </w:r>
            <w:r>
              <w:rPr>
                <w:bCs/>
                <w:b/>
              </w:rPr>
              <w:t xml:space="preserve">CDC aplicável aos planos de saúde, exceto autogestão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Habilidades (Ag. 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Súmula 616/STJ = doença preexistente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Sentido correto:</w:t>
            </w:r>
            <w:r>
              <w:t xml:space="preserve"> </w:t>
            </w:r>
            <w:r>
              <w:rPr>
                <w:bCs/>
                <w:b/>
              </w:rPr>
              <w:t xml:space="preserve">vedada negativa por mora no prêmio sem prévia interpelação</w:t>
            </w:r>
            <w:r>
              <w:t xml:space="preserve">; doença preexistente/CPT =</w:t>
            </w:r>
            <w:r>
              <w:t xml:space="preserve"> </w:t>
            </w:r>
            <w:r>
              <w:rPr>
                <w:bCs/>
                <w:b/>
              </w:rPr>
              <w:t xml:space="preserve">Súmula 609/STJ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Habilidades (Ag. 29)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Tema 210/STJ (aéreo)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Tema 210/STF</w:t>
            </w:r>
            <w:r>
              <w:t xml:space="preserve"> </w:t>
            </w:r>
            <w:r>
              <w:t xml:space="preserve">(RE 636.331): prevalência de Varsóvia/Montreal sobre o CDC para</w:t>
            </w:r>
            <w:r>
              <w:t xml:space="preserve"> </w:t>
            </w:r>
            <w:r>
              <w:rPr>
                <w:bCs/>
                <w:b/>
              </w:rPr>
              <w:t xml:space="preserve">danos materiais</w:t>
            </w:r>
            <w:r>
              <w:t xml:space="preserve">; danos morais seguem o CDC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Ambos (Ag. 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Tema 952/STJ = rol taxativo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Tema 952/STJ =</w:t>
            </w:r>
            <w:r>
              <w:t xml:space="preserve"> </w:t>
            </w:r>
            <w:r>
              <w:rPr>
                <w:bCs/>
                <w:b/>
              </w:rPr>
              <w:t xml:space="preserve">reajuste por faixa etária</w:t>
            </w:r>
            <w:r>
              <w:t xml:space="preserve">; rol da ANS (taxatividade mitigada) =</w:t>
            </w:r>
            <w:r>
              <w:t xml:space="preserve"> </w:t>
            </w:r>
            <w:r>
              <w:rPr>
                <w:bCs/>
                <w:b/>
              </w:rPr>
              <w:t xml:space="preserve">EREsp 1.886.929 e 1.887.704/STJ (2022) + Lei 14.454/2022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Ambos (Ag. 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Tema 1.095/STJ = revisão da vida toda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Revisão da vida toda = Tema 999/STJ e</w:t>
            </w:r>
            <w:r>
              <w:t xml:space="preserve"> </w:t>
            </w:r>
            <w:r>
              <w:rPr>
                <w:bCs/>
                <w:b/>
              </w:rPr>
              <w:t xml:space="preserve">Tema 1.102/STF — tese rejeitada pelo STF em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Habilidades (Ag. 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Tema 796/STJ = corretagem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Corretagem em imóvel na planta =</w:t>
            </w:r>
            <w:r>
              <w:t xml:space="preserve"> </w:t>
            </w:r>
            <w:r>
              <w:rPr>
                <w:bCs/>
                <w:b/>
              </w:rPr>
              <w:t xml:space="preserve">Tema 938/STJ</w:t>
            </w:r>
            <w:r>
              <w:t xml:space="preserve"> </w:t>
            </w:r>
            <w:r>
              <w:t xml:space="preserve">(transferência válida com destaque no preço; SATI abusiva); acrescido Tema 1.099/STJ (prescrição decenal do distrato)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Ambos (Ag. 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44, Lei 8.245/91 = vedação de cumular garantias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Art. 37, parágrafo único, Lei 8.245/91</w:t>
            </w:r>
            <w:r>
              <w:t xml:space="preserve"> </w:t>
            </w:r>
            <w:r>
              <w:t xml:space="preserve">(o art. 44 tipifica crimes)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Ambos (Ag. 45)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JEF: art. 2º, Lei 10.259/2001 (60 SM)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Teto de 60 SM:</w:t>
            </w:r>
            <w:r>
              <w:t xml:space="preserve"> </w:t>
            </w:r>
            <w:r>
              <w:rPr>
                <w:bCs/>
                <w:b/>
              </w:rPr>
              <w:t xml:space="preserve">art. 3º, Lei 10.259/2001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Ambos (Guardrail 4 e Ag. 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Recurso adesivo</w:t>
            </w:r>
            <w:r>
              <w:t xml:space="preserve"> </w:t>
            </w:r>
            <w:r>
              <w:t xml:space="preserve">“</w:t>
            </w:r>
            <w:r>
              <w:t xml:space="preserve">obrigatório</w:t>
            </w:r>
            <w:r>
              <w:t xml:space="preserve">”</w:t>
            </w:r>
            <w:r>
              <w:t xml:space="preserve"> </w:t>
            </w:r>
            <w:r>
              <w:t xml:space="preserve">no JEC (art. 89)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89 da Lei 9.099/95 é do rito</w:t>
            </w:r>
            <w:r>
              <w:t xml:space="preserve"> </w:t>
            </w:r>
            <w:r>
              <w:rPr>
                <w:bCs/>
                <w:b/>
              </w:rPr>
              <w:t xml:space="preserve">criminal</w:t>
            </w:r>
            <w:r>
              <w:t xml:space="preserve">; no JEC cível o recurso adesivo é</w:t>
            </w:r>
            <w:r>
              <w:t xml:space="preserve"> </w:t>
            </w:r>
            <w:r>
              <w:rPr>
                <w:bCs/>
                <w:b/>
              </w:rPr>
              <w:t xml:space="preserve">incabível</w:t>
            </w:r>
            <w:r>
              <w:t xml:space="preserve"> </w:t>
            </w:r>
            <w:r>
              <w:t xml:space="preserve">(Enunciado 88 FONAJE)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Habilidades (Ag. 51, Módulo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Agravo de instrumento no JEC (art. 42, 10 dias)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42 é o</w:t>
            </w:r>
            <w:r>
              <w:t xml:space="preserve"> </w:t>
            </w:r>
            <w:r>
              <w:rPr>
                <w:bCs/>
                <w:b/>
              </w:rPr>
              <w:t xml:space="preserve">recurso inominado</w:t>
            </w:r>
            <w:r>
              <w:t xml:space="preserve">; regra no JEC:</w:t>
            </w:r>
            <w:r>
              <w:t xml:space="preserve"> </w:t>
            </w:r>
            <w:r>
              <w:rPr>
                <w:bCs/>
                <w:b/>
              </w:rPr>
              <w:t xml:space="preserve">irrecorribilidade das interlocutórias</w:t>
            </w:r>
            <w:r>
              <w:t xml:space="preserve"> </w:t>
            </w:r>
            <w:r>
              <w:t xml:space="preserve">(MS residual); qualquer impugnação exige advogado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Habilidades (Ag. 51, Módulo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Taxatividade mitigada: EREsp 1.398.889 / REsp 1.657.156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Tema 988/STJ</w:t>
            </w:r>
            <w:r>
              <w:t xml:space="preserve"> </w:t>
            </w:r>
            <w:r>
              <w:t xml:space="preserve">(REsp 1.696.396/MT e REsp 1.704.520/MT, Corte Especial — tese vinculante, art. 927, III, CPC). REsp 1.657.156 é o Tema 106 (medicamentos/SUS)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Habilidades (Ag. 51, tabela recursal)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1.015, X = decisão de mérito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Mérito =</w:t>
            </w:r>
            <w:r>
              <w:t xml:space="preserve"> </w:t>
            </w:r>
            <w:r>
              <w:rPr>
                <w:bCs/>
                <w:b/>
              </w:rPr>
              <w:t xml:space="preserve">inciso II</w:t>
            </w:r>
            <w:r>
              <w:t xml:space="preserve">; o inciso X trata de efeito suspensivo a embargos de declaração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Ambos (Ag. 51)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103-A CF = repercussão geral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Repercussão geral =</w:t>
            </w:r>
            <w:r>
              <w:t xml:space="preserve"> </w:t>
            </w:r>
            <w:r>
              <w:rPr>
                <w:bCs/>
                <w:b/>
              </w:rPr>
              <w:t xml:space="preserve">art. 102, §3º, CF</w:t>
            </w:r>
            <w:r>
              <w:t xml:space="preserve">; o art. 103-A trata de súmula vinculante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Habilidades (Ag. 51)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Arts. 162, §1º e 463 CPC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do</w:t>
            </w:r>
            <w:r>
              <w:t xml:space="preserve"> </w:t>
            </w:r>
            <w:r>
              <w:rPr>
                <w:bCs/>
                <w:b/>
              </w:rPr>
              <w:t xml:space="preserve">CPC/73</w:t>
            </w:r>
            <w:r>
              <w:t xml:space="preserve">; vigentes:</w:t>
            </w:r>
            <w:r>
              <w:t xml:space="preserve"> </w:t>
            </w:r>
            <w:r>
              <w:rPr>
                <w:bCs/>
                <w:b/>
              </w:rPr>
              <w:t xml:space="preserve">art. 203, §§1º-2º</w:t>
            </w:r>
            <w:r>
              <w:t xml:space="preserve"> </w:t>
            </w:r>
            <w:r>
              <w:t xml:space="preserve">(decisão interlocutória) e</w:t>
            </w:r>
            <w:r>
              <w:t xml:space="preserve"> </w:t>
            </w:r>
            <w:r>
              <w:rPr>
                <w:bCs/>
                <w:b/>
              </w:rPr>
              <w:t xml:space="preserve">art. 494</w:t>
            </w:r>
            <w:r>
              <w:t xml:space="preserve"> </w:t>
            </w:r>
            <w:r>
              <w:t xml:space="preserve">(erro material)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Habilidades (Ag. 51, Módulos 1 e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Arts. 938–941 CPC = reconsideração/correição no JEC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Tratam de</w:t>
            </w:r>
            <w:r>
              <w:t xml:space="preserve"> </w:t>
            </w:r>
            <w:r>
              <w:rPr>
                <w:bCs/>
                <w:b/>
              </w:rPr>
              <w:t xml:space="preserve">julgamento colegiado nos tribunais</w:t>
            </w:r>
            <w:r>
              <w:t xml:space="preserve"> </w:t>
            </w:r>
            <w:r>
              <w:t xml:space="preserve">— não se aplicam; reconsideração/correição parcial nos juizados seguem praxe e regimentos das turmas recursais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Habilidades (Ag. 51, tabela)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Tema 1.176/STJ = dano moral presumido em vazamento de 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Invertido: STJ decidiu que vazamento de dados</w:t>
            </w:r>
            <w:r>
              <w:t xml:space="preserve"> </w:t>
            </w:r>
            <w:r>
              <w:rPr>
                <w:bCs/>
                <w:b/>
              </w:rPr>
              <w:t xml:space="preserve">comuns não gera dano moral presumido</w:t>
            </w:r>
            <w:r>
              <w:t xml:space="preserve"> </w:t>
            </w:r>
            <w:r>
              <w:t xml:space="preserve">(ex.: AREsp 2.130.619/SP); dano</w:t>
            </w:r>
            <w:r>
              <w:t xml:space="preserve"> </w:t>
            </w:r>
            <w:r>
              <w:rPr>
                <w:bCs/>
                <w:b/>
              </w:rPr>
              <w:t xml:space="preserve">in re ipsa</w:t>
            </w:r>
            <w:r>
              <w:t xml:space="preserve"> </w:t>
            </w:r>
            <w:r>
              <w:t xml:space="preserve">apenas para dados</w:t>
            </w:r>
            <w:r>
              <w:t xml:space="preserve"> </w:t>
            </w:r>
            <w:r>
              <w:rPr>
                <w:bCs/>
                <w:b/>
              </w:rPr>
              <w:t xml:space="preserve">sensíveis</w:t>
            </w:r>
            <w:r>
              <w:t xml:space="preserve"> </w:t>
            </w:r>
            <w:r>
              <w:t xml:space="preserve">(ex.: REsp 2.121.904/SP)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Ambos (Ag. 31)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DPSAT/DPVAT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Correção tipográfica:</w:t>
            </w:r>
            <w:r>
              <w:t xml:space="preserve"> </w:t>
            </w:r>
            <w:r>
              <w:rPr>
                <w:bCs/>
                <w:b/>
              </w:rPr>
              <w:t xml:space="preserve">DPVAT histórico e DPSAT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Habilidades (Ag. 29)</w:t>
            </w:r>
          </w:p>
        </w:tc>
      </w:tr>
    </w:tbl>
    <w:bookmarkEnd w:id="20"/>
    <w:bookmarkStart w:id="21" w:name="Xd642d267e9038f22ac193a276b17b8c2d6b1263"/>
    <w:p>
      <w:pPr>
        <w:pStyle w:val="Heading2"/>
      </w:pPr>
      <w:r>
        <w:t xml:space="preserve">2. Itens EM VERIFICAÇÃO (não confirmados — neutralizados no texto; vedado uso até validação)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Motivo da cautela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Tratamento aplicado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591.339/STF (desvio produtivo)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Desvio produtivo é construção jurisprudencial do STJ; RE com esse objeto não localizado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mantém a teoria,</w:t>
            </w:r>
            <w:r>
              <w:t xml:space="preserve"> </w:t>
            </w:r>
            <w:r>
              <w:rPr>
                <w:bCs/>
                <w:b/>
              </w:rPr>
              <w:t xml:space="preserve">sem o RE</w:t>
            </w:r>
            <w:r>
              <w:t xml:space="preserve">; marcado</w:t>
            </w:r>
            <w:r>
              <w:t xml:space="preserve"> </w:t>
            </w:r>
            <w:r>
              <w:t xml:space="preserve">“</w:t>
            </w:r>
            <w:r>
              <w:t xml:space="preserve">em verificação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Tema 898/STJ (prescrição em negativação)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localizado com esse 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Substituído por descrição genérica +</w:t>
            </w:r>
            <w:r>
              <w:t xml:space="preserve"> </w:t>
            </w:r>
            <w:r>
              <w:t xml:space="preserve">“</w:t>
            </w:r>
            <w:r>
              <w:t xml:space="preserve">em verificação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Tema 503/STJ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localizado no contexto bancário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Removido;</w:t>
            </w:r>
            <w:r>
              <w:t xml:space="preserve"> </w:t>
            </w:r>
            <w:r>
              <w:t xml:space="preserve">“</w:t>
            </w:r>
            <w:r>
              <w:t xml:space="preserve">em verificação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 14.870/2024 (marketplaces)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localizada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Substituída por CDC art. 34 + jurisprudência;</w:t>
            </w:r>
            <w:r>
              <w:t xml:space="preserve"> </w:t>
            </w:r>
            <w:r>
              <w:t xml:space="preserve">“</w:t>
            </w:r>
            <w:r>
              <w:t xml:space="preserve">em verificação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Decreto 3.275/99 (recall)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Recall é regulado pelo CDC art. 10 e Decreto 2.181/97; o 3.275/99 não foi confirmado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Substituído por CDC art. 10;</w:t>
            </w:r>
            <w:r>
              <w:t xml:space="preserve"> </w:t>
            </w:r>
            <w:r>
              <w:t xml:space="preserve">“</w:t>
            </w:r>
            <w:r>
              <w:t xml:space="preserve">em verificação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580.824 (juros/art. 192 CF)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diverso (regime de caixa dos municípios)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Neutralizado;</w:t>
            </w:r>
            <w:r>
              <w:t xml:space="preserve"> </w:t>
            </w:r>
            <w:r>
              <w:t xml:space="preserve">“</w:t>
            </w:r>
            <w:r>
              <w:t xml:space="preserve">em verificação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976.739/STF (atos próprios)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confirmado com esse 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Teoria mantida sem o RE;</w:t>
            </w:r>
            <w:r>
              <w:t xml:space="preserve"> </w:t>
            </w:r>
            <w:r>
              <w:t xml:space="preserve">“</w:t>
            </w:r>
            <w:r>
              <w:t xml:space="preserve">em verificação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ADI 2.591 (</w:t>
            </w:r>
            <w:r>
              <w:t xml:space="preserve">“</w:t>
            </w:r>
            <w:r>
              <w:t xml:space="preserve">bancos do amanhã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ADI 2.591 tem objeto diverso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Neutralizada;</w:t>
            </w:r>
            <w:r>
              <w:t xml:space="preserve"> </w:t>
            </w:r>
            <w:r>
              <w:t xml:space="preserve">“</w:t>
            </w:r>
            <w:r>
              <w:t xml:space="preserve">em verificação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Súmulas 239, 269, 308, 541/STJ nos contextos indicados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Contextos não confirmados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Substituídas por</w:t>
            </w:r>
            <w:r>
              <w:t xml:space="preserve"> </w:t>
            </w:r>
            <w:r>
              <w:t xml:space="preserve">“</w:t>
            </w:r>
            <w:r>
              <w:t xml:space="preserve">jurisprudência consolidada; referência em verificação</w:t>
            </w:r>
            <w:r>
              <w:t xml:space="preserve">”</w:t>
            </w:r>
          </w:p>
        </w:tc>
      </w:tr>
    </w:tbl>
    <w:bookmarkEnd w:id="21"/>
    <w:bookmarkStart w:id="22" w:name="X646a52a26019973c30368d792871da35abf7e44"/>
    <w:p>
      <w:pPr>
        <w:pStyle w:val="Heading2"/>
      </w:pPr>
      <w:r>
        <w:t xml:space="preserve">3. Itens VERIFICADOS E MANTIDOS (conferidos — estavam corretos)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Súmula 479/STJ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Fraude em conta — responsabilidade objetiva do banco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Súmula 297/STJ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CDC aplicável às instituições financeiras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Súmula 609/STJ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Doença preexistente/CPT em plano de saúde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Súmula 617/STJ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Seguro — contexto mantido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Súmula 596/STF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Juros remuneratórios em contratos bancários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Súmula 150/STF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Marcos interruptivos de prescrição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Tema 971/STJ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Distrato de imóvel na planta — retenção percentual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Tema 1.061/STJ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Medicamento não rolado — pressupostos cumulativos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Tema 636/STJ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Cumulação de prazos em dobro (Fazenda + litisconsortes)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Tema 988/STF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Embargos de declaração com efeitos modificativos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44, parágrafo único, CPC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Desmembramento de comarca (contexto CPC — correto)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784, III, CPC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Confissão de dívida com duas testemunhas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54, Lei 9.099/95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Custas recursais no JEC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332, §1º, CPC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Improcedência liminar por prescrição/decadência ✓</w:t>
            </w:r>
          </w:p>
        </w:tc>
      </w:tr>
    </w:tbl>
    <w:bookmarkEnd w:id="22"/>
    <w:bookmarkStart w:id="23" w:name="lacuna-normativa-incorporada"/>
    <w:p>
      <w:pPr>
        <w:pStyle w:val="Heading2"/>
      </w:pPr>
      <w:r>
        <w:t xml:space="preserve">4. Lacuna normativa incorporada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Lei 14.905/2024</w:t>
      </w:r>
      <w:r>
        <w:t xml:space="preserve"> </w:t>
      </w:r>
      <w:r>
        <w:t xml:space="preserve">(novo regime de juros e correção monetária — arts. 389 e 406 CC: correção pelo IPCA + juros pela Selic deduzido o IPCA): incluída nos Agentes 15, 20, 23, 47 e na camada normativa do Agente 51. Também incorporada a</w:t>
      </w:r>
      <w:r>
        <w:t xml:space="preserve"> </w:t>
      </w:r>
      <w:r>
        <w:rPr>
          <w:bCs/>
          <w:b/>
        </w:rPr>
        <w:t xml:space="preserve">Lei 14.195/2021</w:t>
      </w:r>
      <w:r>
        <w:t xml:space="preserve"> </w:t>
      </w:r>
      <w:r>
        <w:t xml:space="preserve">(citação/intimação eletrônicas) na curadoria do Agente 51.</w:t>
      </w:r>
    </w:p>
    <w:bookmarkEnd w:id="23"/>
    <w:bookmarkStart w:id="24" w:name="Xe311ddd62dc3075cb1d26e44c41bad5333de5c2"/>
    <w:p>
      <w:pPr>
        <w:pStyle w:val="Heading2"/>
      </w:pPr>
      <w:r>
        <w:t xml:space="preserve">5. Regra operacional resultante (incorporada aos documentos)</w:t>
      </w:r>
    </w:p>
    <w:p>
      <w:pPr>
        <w:numPr>
          <w:ilvl w:val="0"/>
          <w:numId w:val="1002"/>
        </w:numPr>
        <w:pStyle w:val="Compact"/>
      </w:pPr>
      <w:r>
        <w:t xml:space="preserve">Citação com status</w:t>
      </w:r>
      <w:r>
        <w:t xml:space="preserve"> </w:t>
      </w:r>
      <w:r>
        <w:rPr>
          <w:bCs/>
          <w:b/>
        </w:rPr>
        <w:t xml:space="preserve">EM VERIFICAÇÃO</w:t>
      </w:r>
      <w:r>
        <w:t xml:space="preserve"> </w:t>
      </w:r>
      <w:r>
        <w:t xml:space="preserve">não pode ser usada por nenhum agente em parecer ou peça — é trava de saída do Guardião de Compliance (8).</w:t>
      </w:r>
    </w:p>
    <w:p>
      <w:pPr>
        <w:numPr>
          <w:ilvl w:val="0"/>
          <w:numId w:val="1002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base validada</w:t>
      </w:r>
      <w:r>
        <w:t xml:space="preserve"> </w:t>
      </w:r>
      <w:r>
        <w:t xml:space="preserve">só admite citações com status VERIFICADA, conferidas pelo verificador determinístico contra fonte primária (Guardrail 6).</w:t>
      </w:r>
    </w:p>
    <w:p>
      <w:pPr>
        <w:numPr>
          <w:ilvl w:val="0"/>
          <w:numId w:val="1002"/>
        </w:numPr>
        <w:pStyle w:val="Compact"/>
      </w:pPr>
      <w:r>
        <w:t xml:space="preserve">Esta tabela é documento vivo: nova auditoria a cada alteração de repertório; o Agente 35 registra divergências encontradas em produção para retroalimentar a auditoria.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Documento de trabalho interno — auditoria de escopo. Não constitui parecer jurídico.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2026-09-14T17:59:55Z</dcterms:created>
  <dcterms:modified xsi:type="dcterms:W3CDTF">2026-09-14T17:59:55Z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