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01198472dd83dffe881b4beae39d7f625524cba"/>
    <w:p>
      <w:pPr>
        <w:pStyle w:val="Heading1"/>
      </w:pPr>
      <w:r>
        <w:t xml:space="preserve">Habilidades Jurídicas por Agente — Estudos de Causas e Jurisprudência</w:t>
      </w:r>
    </w:p>
    <w:p>
      <w:pPr>
        <w:pStyle w:val="FirstParagraph"/>
      </w:pPr>
      <w:r>
        <w:t xml:space="preserve">Documento complementar ao</w:t>
      </w:r>
      <w:r>
        <w:t xml:space="preserve"> </w:t>
      </w:r>
      <w:r>
        <w:rPr>
          <w:iCs/>
          <w:i/>
        </w:rPr>
        <w:t xml:space="preserve">Mapeamento de Agentes Jurídicos</w:t>
      </w:r>
      <w:r>
        <w:t xml:space="preserve">. Para cada agente, define-se: (a) competências de pesquisa jurídica; (b) repertório jurisprudencial e normativo que o agente deve dominar; (c) habilidades de estudo de casos concretos; (d) produtos gerados.</w:t>
      </w:r>
    </w:p>
    <w:p>
      <w:pPr>
        <w:pStyle w:val="BodyText"/>
      </w:pPr>
      <w:r>
        <w:rPr>
          <w:bCs/>
          <w:b/>
        </w:rPr>
        <w:t xml:space="preserve">Infraestrutura de pesquisa comum a todos os agentes especializados (camada compartilhada, acessada via Orquestrador):</w:t>
      </w:r>
    </w:p>
    <w:p>
      <w:pPr>
        <w:numPr>
          <w:ilvl w:val="0"/>
          <w:numId w:val="1001"/>
        </w:numPr>
        <w:pStyle w:val="Compact"/>
      </w:pPr>
      <w:r>
        <w:t xml:space="preserve">Consulta a bases primárias: jurisprudência STJ, STF, TJs estaduais (com prioridade ao tribunal do usuário), tribunais regionais do trabalho, CNJ (repercussão/Temas repetitivos), DREI/Juntas Comerciais (casos societários/registrais), Súmulas vinculantes e comuns, IACs (Incidentes de Assunção de Competência) e IRDRs/Temas repetitivos.</w:t>
      </w:r>
    </w:p>
    <w:p>
      <w:pPr>
        <w:numPr>
          <w:ilvl w:val="0"/>
          <w:numId w:val="1001"/>
        </w:numPr>
        <w:pStyle w:val="Compact"/>
      </w:pPr>
      <w:r>
        <w:t xml:space="preserve">Legislação atualizada com controle de vigência temporal (ex.: CC/1916 vs. CC/2002 para fatos pretéritos).</w:t>
      </w:r>
    </w:p>
    <w:p>
      <w:pPr>
        <w:numPr>
          <w:ilvl w:val="0"/>
          <w:numId w:val="1001"/>
        </w:numPr>
        <w:pStyle w:val="Compact"/>
      </w:pPr>
      <w:r>
        <w:t xml:space="preserve">Doutrina e legislação comparada apenas como reforço argumentativo, nunca como fundamento isolado.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Regra de verificação</w:t>
      </w:r>
      <w:r>
        <w:t xml:space="preserve">: toda citação jurisprudencial exige número de processo, relator, data e tribunal verificáveis; citação não verificável é bloqueada pelo Guardião de Compliance (Agente 8).</w:t>
      </w:r>
    </w:p>
    <w:p>
      <w:r>
        <w:pict>
          <v:rect style="width:0;height:1.5pt" o:hralign="center" o:hrstd="t" o:hr="t"/>
        </w:pict>
      </w:r>
    </w:p>
    <w:bookmarkStart w:id="25" w:name="parte-i-camada-0-pré-jurídica"/>
    <w:p>
      <w:pPr>
        <w:pStyle w:val="Heading2"/>
      </w:pPr>
      <w:r>
        <w:t xml:space="preserve">PARTE I — Camada 0 (Pré-jurídica)</w:t>
      </w:r>
    </w:p>
    <w:bookmarkStart w:id="20" w:name="agente-1-recepcionista-multimodal"/>
    <w:p>
      <w:pPr>
        <w:pStyle w:val="Heading3"/>
      </w:pPr>
      <w:r>
        <w:t xml:space="preserve">Agente 1 — Recepcionista Multimodal</w:t>
      </w:r>
    </w:p>
    <w:p>
      <w:pPr>
        <w:pStyle w:val="FirstParagraph"/>
      </w:pPr>
      <w:r>
        <w:t xml:space="preserve">Sem habilidades jurídicas. Competência é de comunicação e normalização de entrada.</w:t>
      </w:r>
    </w:p>
    <w:bookmarkEnd w:id="20"/>
    <w:bookmarkStart w:id="21" w:name="agente-2-identificador-de-demanda"/>
    <w:p>
      <w:pPr>
        <w:pStyle w:val="Heading3"/>
      </w:pPr>
      <w:r>
        <w:t xml:space="preserve">Agente 2 — Identificador de Demanda</w:t>
      </w:r>
    </w:p>
    <w:p>
      <w:pPr>
        <w:numPr>
          <w:ilvl w:val="0"/>
          <w:numId w:val="1002"/>
        </w:numPr>
        <w:pStyle w:val="Compact"/>
      </w:pPr>
      <w:r>
        <w:t xml:space="preserve">Conhecimento jurídico mínimo para fazer</w:t>
      </w:r>
      <w:r>
        <w:t xml:space="preserve"> </w:t>
      </w:r>
      <w:r>
        <w:rPr>
          <w:bCs/>
          <w:b/>
        </w:rPr>
        <w:t xml:space="preserve">perguntas juridicamente relevantes</w:t>
      </w:r>
      <w:r>
        <w:t xml:space="preserve">: sabe o que é fato essencial em cada grande área (ex.: em negativação, perguntar se havia dívida; em voo, horário de aviso do cancelamento).</w:t>
      </w:r>
    </w:p>
    <w:p>
      <w:pPr>
        <w:numPr>
          <w:ilvl w:val="0"/>
          <w:numId w:val="1002"/>
        </w:numPr>
        <w:pStyle w:val="Compact"/>
      </w:pPr>
      <w:r>
        <w:t xml:space="preserve">Não pesquisa jurisprudência.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Protocolo de processo preexistente (ativo ou extinto):</w:t>
      </w:r>
      <w:r>
        <w:t xml:space="preserve"> </w:t>
      </w:r>
      <w:r>
        <w:t xml:space="preserve">constatado na interação que já houve ou há processo envolvendo o usuário (relato espontâneo, número de processo, citação, processo anterior sobre o mesmo fato), o agente: (i) coleta os dados localizadores com interação máxima (número, tribunal, vara, partes, ano aproximado — se o usuário não souber o número, usa os dados das partes e o tribunal provável); (ii)</w:t>
      </w:r>
      <w:r>
        <w:t xml:space="preserve"> </w:t>
      </w:r>
      <w:r>
        <w:rPr>
          <w:bCs/>
          <w:b/>
        </w:rPr>
        <w:t xml:space="preserve">informa expressamente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Vamos fazer o download do processo (ativo ou extinto) na íntegra e encaminhar aqui no chat em até 48 horas úteis.</w:t>
      </w:r>
      <w:r>
        <w:rPr>
          <w:iCs/>
          <w:i/>
        </w:rPr>
        <w:t xml:space="preserve">”</w:t>
      </w:r>
      <w:r>
        <w:t xml:space="preserve">; (iii)</w:t>
      </w:r>
      <w:r>
        <w:t xml:space="preserve"> </w:t>
      </w:r>
      <w:r>
        <w:rPr>
          <w:bCs/>
          <w:b/>
        </w:rPr>
        <w:t xml:space="preserve">cria ticket de integração com pessoa</w:t>
      </w:r>
      <w:r>
        <w:t xml:space="preserve"> </w:t>
      </w:r>
      <w:r>
        <w:t xml:space="preserve">(atendimento humano da plataforma) para localização, download integral dos autos e entrega no chat dentro do prazo; (iv) registra no case file</w:t>
      </w:r>
      <w:r>
        <w:t xml:space="preserve"> </w:t>
      </w:r>
      <w:r>
        <w:t xml:space="preserve">“</w:t>
      </w:r>
      <w:r>
        <w:t xml:space="preserve">processo preexistente — ticket aberto, download pendente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Nenhuma conclusão de mérito é emitida sobre o caso enquanto os autos não forem recebidos e lidos</w:t>
      </w:r>
      <w:r>
        <w:t xml:space="preserve"> </w:t>
      </w:r>
      <w:r>
        <w:t xml:space="preserve">(regra-mãe: nada se afirma sobre processo não lido); recebidos os autos, o Agente 3 extrai os dados e o caso é reclassificado/retomado pelo orquestrador, inclusive como polo passivo quando for o caso.</w:t>
      </w:r>
    </w:p>
    <w:bookmarkEnd w:id="21"/>
    <w:bookmarkStart w:id="22" w:name="Xd78404eba2261dd0cc11bb78e75e276d8a3dfbc"/>
    <w:p>
      <w:pPr>
        <w:pStyle w:val="Heading3"/>
      </w:pPr>
      <w:r>
        <w:t xml:space="preserve">Agente 3 — Gestor Documental e Pré-Atendimento Processual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Habilidade jurídico-documental</w:t>
      </w:r>
      <w:r>
        <w:t xml:space="preserve">: catálogo de provas típicas por tipo de causa (fatura, contrato, protocolo de atendimento, prints, gravações, laudos).</w:t>
      </w:r>
    </w:p>
    <w:p>
      <w:pPr>
        <w:numPr>
          <w:ilvl w:val="0"/>
          <w:numId w:val="1003"/>
        </w:numPr>
        <w:pStyle w:val="Compact"/>
      </w:pPr>
      <w:r>
        <w:t xml:space="preserve">Leitura técnica de documentos jurídicos: contratos (identificar cláusulas abusivas</w:t>
      </w:r>
      <w:r>
        <w:t xml:space="preserve"> </w:t>
      </w:r>
      <w:r>
        <w:rPr>
          <w:iCs/>
          <w:i/>
        </w:rPr>
        <w:t xml:space="preserve">potenciais</w:t>
      </w:r>
      <w:r>
        <w:t xml:space="preserve"> </w:t>
      </w:r>
      <w:r>
        <w:t xml:space="preserve">para flag ao especialista), decisões, intimações, certidões — extrai dados, não opina.</w:t>
      </w:r>
    </w:p>
    <w:p>
      <w:pPr>
        <w:numPr>
          <w:ilvl w:val="0"/>
          <w:numId w:val="1003"/>
        </w:numPr>
        <w:pStyle w:val="Compact"/>
      </w:pPr>
      <w:r>
        <w:t xml:space="preserve">Detecção de indicadores de falsidade documental aparente (sinaliza, nunca conclui).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Módulo de pré-atendimento para ação (checklist de habilitação — obrigatório antes de qualquer petição inicial):</w:t>
      </w:r>
      <w:r>
        <w:t xml:space="preserve"> </w:t>
      </w:r>
      <w:r>
        <w:t xml:space="preserve">conduz o usuário, interagindo até a completude (regra-mãe), por 5 blocos: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Identificação</w:t>
      </w:r>
      <w:r>
        <w:t xml:space="preserve"> </w:t>
      </w:r>
      <w:r>
        <w:t xml:space="preserve">— RG/CNH/outro documento válido, capturado e validado pelo Agente 49 (OCR + selfie com documento + prova de vida);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Comprovante de residência</w:t>
      </w:r>
      <w:r>
        <w:t xml:space="preserve"> </w:t>
      </w:r>
      <w:r>
        <w:t xml:space="preserve">— recente (até 90 dias) em nome do usuário; em nome de terceiro → orienta alternativas (declaração de residência, correspondência oficial, conta de consumo + declaração);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CPF e qualificação civil</w:t>
      </w:r>
      <w:r>
        <w:t xml:space="preserve"> </w:t>
      </w:r>
      <w:r>
        <w:t xml:space="preserve">(estado civil, profissão — via intake, Agente 2);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Probatórios do caso</w:t>
      </w:r>
      <w:r>
        <w:t xml:space="preserve"> </w:t>
      </w:r>
      <w:r>
        <w:t xml:space="preserve">— catálogo específico por demanda (contrato, faturas, prints, protocolos, notas fiscais, laudos, fotos, gravações lícitas, rol de testemunhas com nome e contato);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Dados da contraparte</w:t>
      </w:r>
      <w:r>
        <w:t xml:space="preserve"> </w:t>
      </w:r>
      <w:r>
        <w:t xml:space="preserve">— razão social/CNPJ e endereço completo do réu (essencial para citação; orienta obtenção via nota fiscal, site, cartão CNPJ).</w:t>
      </w:r>
      <w:r>
        <w:t xml:space="preserve"> </w:t>
      </w:r>
      <w:r>
        <w:rPr>
          <w:bCs/>
          <w:b/>
        </w:rPr>
        <w:t xml:space="preserve">Regras do módulo:</w:t>
      </w:r>
      <w:r>
        <w:t xml:space="preserve"> </w:t>
      </w:r>
      <w:r>
        <w:t xml:space="preserve">validação de cada item (legibilidade, vigência, pertinência — ex.: comprovante vencido é recusado com orientação de como obter um novo); status do checklist visível ao usuário (</w:t>
      </w:r>
      <w:r>
        <w:t xml:space="preserve">“</w:t>
      </w:r>
      <w:r>
        <w:t xml:space="preserve">faltam 2 documentos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trava de fluxo: o Copiloto JEC (32) só gera petição inicial com o checklist de habilitação completo</w:t>
      </w:r>
      <w:r>
        <w:t xml:space="preserve">, registrado no case file; em urgência (Agente 7), o checklist roda em fast-path com os itens indispensáveis primeiro.</w:t>
      </w:r>
    </w:p>
    <w:bookmarkEnd w:id="22"/>
    <w:bookmarkStart w:id="23" w:name="agente-4-classificador-jurídico-triagem"/>
    <w:p>
      <w:pPr>
        <w:pStyle w:val="Heading3"/>
      </w:pPr>
      <w:r>
        <w:t xml:space="preserve">Agente 4 — Classificador Jurídico (Triagem)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Taxonomia completa do direito privado e conexos</w:t>
      </w:r>
      <w:r>
        <w:t xml:space="preserve"> </w:t>
      </w:r>
      <w:r>
        <w:t xml:space="preserve">com critérios de deslinde (ex.: consumidor bancário × relação civil pura; dano trabalhista × consumerista).</w:t>
      </w:r>
    </w:p>
    <w:p>
      <w:pPr>
        <w:numPr>
          <w:ilvl w:val="0"/>
          <w:numId w:val="1005"/>
        </w:numPr>
        <w:pStyle w:val="Compact"/>
      </w:pPr>
      <w:r>
        <w:t xml:space="preserve">Noções de competência (JEC × vara comum × juizado especializado; competência por domicílio do consumidor — art. 101, I, CDC).</w:t>
      </w:r>
    </w:p>
    <w:p>
      <w:pPr>
        <w:numPr>
          <w:ilvl w:val="0"/>
          <w:numId w:val="1005"/>
        </w:numPr>
        <w:pStyle w:val="Compact"/>
      </w:pPr>
      <w:r>
        <w:t xml:space="preserve">Domínio de</w:t>
      </w:r>
      <w:r>
        <w:t xml:space="preserve"> </w:t>
      </w:r>
      <w:r>
        <w:rPr>
          <w:bCs/>
          <w:b/>
        </w:rPr>
        <w:t xml:space="preserve">critérios de identificação de prescrição aparente</w:t>
      </w:r>
      <w:r>
        <w:t xml:space="preserve"> </w:t>
      </w:r>
      <w:r>
        <w:t xml:space="preserve">por área (marca casos para o Agente 7).</w:t>
      </w:r>
    </w:p>
    <w:p>
      <w:pPr>
        <w:numPr>
          <w:ilvl w:val="0"/>
          <w:numId w:val="1005"/>
        </w:numPr>
        <w:pStyle w:val="Compact"/>
      </w:pPr>
      <w:r>
        <w:t xml:space="preserve">Pesquisa rápida de enunciados de súmulas para confirmar enquadramento.</w:t>
      </w:r>
    </w:p>
    <w:bookmarkEnd w:id="23"/>
    <w:bookmarkStart w:id="24" w:name="agente-5-exclusão-e-encaminhamento"/>
    <w:p>
      <w:pPr>
        <w:pStyle w:val="Heading3"/>
      </w:pPr>
      <w:r>
        <w:t xml:space="preserve">Agente 5 — Exclusão e Encaminhamento</w:t>
      </w:r>
    </w:p>
    <w:p>
      <w:pPr>
        <w:numPr>
          <w:ilvl w:val="0"/>
          <w:numId w:val="1006"/>
        </w:numPr>
        <w:pStyle w:val="Compact"/>
      </w:pPr>
      <w:r>
        <w:t xml:space="preserve">Conhecimento suficiente de família e penal</w:t>
      </w:r>
      <w:r>
        <w:t xml:space="preserve"> </w:t>
      </w:r>
      <w:r>
        <w:rPr>
          <w:bCs/>
          <w:b/>
        </w:rPr>
        <w:t xml:space="preserve">apenas para confirmar a exclusão</w:t>
      </w:r>
      <w:r>
        <w:t xml:space="preserve"> </w:t>
      </w:r>
      <w:r>
        <w:t xml:space="preserve">(distinguir, p.ex., pensão alimentícia [fora] de cobrança indevida [dentro]; crime de estelionato consumado [fora] de golpe contra usuário em e-commerce [dentro, como fato do caso cível]).</w:t>
      </w:r>
    </w:p>
    <w:p>
      <w:pPr>
        <w:numPr>
          <w:ilvl w:val="0"/>
          <w:numId w:val="1006"/>
        </w:numPr>
        <w:pStyle w:val="Compact"/>
      </w:pPr>
      <w:r>
        <w:t xml:space="preserve">Mapa de encaminhamento: Defensoria, OAB, delegacias especializadas, MP, Procon.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X46b4fb7091d17272d6fcc33e90c188ae81573a8"/>
    <w:p>
      <w:pPr>
        <w:pStyle w:val="Heading2"/>
      </w:pPr>
      <w:r>
        <w:t xml:space="preserve">PARTE II — Camada 1 (Orquestração e Qualidade)</w:t>
      </w:r>
    </w:p>
    <w:bookmarkStart w:id="26" w:name="agente-6-orquestradorroteador"/>
    <w:p>
      <w:pPr>
        <w:pStyle w:val="Heading3"/>
      </w:pPr>
      <w:r>
        <w:t xml:space="preserve">Agente 6 — Orquestrador/Roteador</w:t>
      </w:r>
    </w:p>
    <w:p>
      <w:pPr>
        <w:numPr>
          <w:ilvl w:val="0"/>
          <w:numId w:val="1007"/>
        </w:numPr>
        <w:pStyle w:val="Compact"/>
      </w:pPr>
      <w:r>
        <w:t xml:space="preserve">Domínio de</w:t>
      </w:r>
      <w:r>
        <w:t xml:space="preserve"> </w:t>
      </w:r>
      <w:r>
        <w:rPr>
          <w:bCs/>
          <w:b/>
        </w:rPr>
        <w:t xml:space="preserve">conexões e continências entre matérias</w:t>
      </w:r>
      <w:r>
        <w:t xml:space="preserve"> </w:t>
      </w:r>
      <w:r>
        <w:t xml:space="preserve">(mesmo fato gerando demanda consumerista + bancária + LGPD) para composição de equipe de especialistas.</w:t>
      </w:r>
    </w:p>
    <w:p>
      <w:pPr>
        <w:numPr>
          <w:ilvl w:val="0"/>
          <w:numId w:val="1007"/>
        </w:numPr>
        <w:pStyle w:val="Compact"/>
      </w:pPr>
      <w:r>
        <w:t xml:space="preserve">Não pesquisa mérito; pesquisa precedentes de</w:t>
      </w:r>
      <w:r>
        <w:t xml:space="preserve"> </w:t>
      </w:r>
      <w:r>
        <w:rPr>
          <w:bCs/>
          <w:b/>
        </w:rPr>
        <w:t xml:space="preserve">competência e acúmulo de pedidos</w:t>
      </w:r>
      <w:r>
        <w:t xml:space="preserve"> </w:t>
      </w:r>
      <w:r>
        <w:t xml:space="preserve">quando houver dúvida de roteamento.</w:t>
      </w:r>
    </w:p>
    <w:bookmarkEnd w:id="26"/>
    <w:bookmarkStart w:id="27" w:name="X8730c33ce7896b5fac086659fa784dcda3fd487"/>
    <w:p>
      <w:pPr>
        <w:pStyle w:val="Heading3"/>
      </w:pPr>
      <w:r>
        <w:t xml:space="preserve">Agente 7 — Analista de Prazos e Riscos Processuais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Matriz completa de prescrição e decadência</w:t>
      </w:r>
      <w:r>
        <w:t xml:space="preserve">: CC (arts. 205, 206), CDC (art. 27), CDC decadencial (art. 26), CTN, CLT (bienal/quinquenal), Lei 9.784/99 (art. 54), Lei 6.015/73, prazos recursais CPC/CLT.</w:t>
      </w:r>
    </w:p>
    <w:p>
      <w:pPr>
        <w:numPr>
          <w:ilvl w:val="0"/>
          <w:numId w:val="1008"/>
        </w:numPr>
        <w:pStyle w:val="Compact"/>
      </w:pPr>
      <w:r>
        <w:t xml:space="preserve">Jurisprudência de</w:t>
      </w:r>
      <w:r>
        <w:t xml:space="preserve"> </w:t>
      </w:r>
      <w:r>
        <w:rPr>
          <w:bCs/>
          <w:b/>
        </w:rPr>
        <w:t xml:space="preserve">marcos interruptivos e de início de prazo</w:t>
      </w:r>
      <w:r>
        <w:t xml:space="preserve"> </w:t>
      </w:r>
      <w:r>
        <w:t xml:space="preserve">(ciência inequívoca do dano; Súmula 150/STF; Tema 898/STJ sobre prescrição em negativação; marcos em planos de saúde e seguros).</w:t>
      </w:r>
    </w:p>
    <w:p>
      <w:pPr>
        <w:numPr>
          <w:ilvl w:val="0"/>
          <w:numId w:val="1008"/>
        </w:numPr>
        <w:pStyle w:val="Compact"/>
      </w:pPr>
      <w:r>
        <w:t xml:space="preserve">Estudo de caso: cronologia do fato → cálculo com data de referência → alerta de perecimento iminente.</w:t>
      </w:r>
    </w:p>
    <w:bookmarkEnd w:id="27"/>
    <w:bookmarkStart w:id="28" w:name="Xb2a19d4d83136db783ec6593319c1a98427a35b"/>
    <w:p>
      <w:pPr>
        <w:pStyle w:val="Heading3"/>
      </w:pPr>
      <w:r>
        <w:t xml:space="preserve">Agente 8 — Guardião de Conformidade e Ética</w:t>
      </w:r>
    </w:p>
    <w:p>
      <w:pPr>
        <w:numPr>
          <w:ilvl w:val="0"/>
          <w:numId w:val="1009"/>
        </w:numPr>
        <w:pStyle w:val="Compact"/>
      </w:pPr>
      <w:r>
        <w:t xml:space="preserve">Código de Ética OAB, provimentos sobre publicidade advocatícia, LGPD (bases legais, dados sensíveis), vedação de promessa de resultado.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Verificação factual de citações</w:t>
      </w:r>
      <w:r>
        <w:t xml:space="preserve">: confere se o precedente citado existe e diz o que a peça afirma (anti-alucinação).</w:t>
      </w:r>
    </w:p>
    <w:bookmarkEnd w:id="28"/>
    <w:bookmarkStart w:id="29" w:name="agente-9-redator-do-resumo-do-caso"/>
    <w:p>
      <w:pPr>
        <w:pStyle w:val="Heading3"/>
      </w:pPr>
      <w:r>
        <w:t xml:space="preserve">Agente 9 — Redator do Resumo do Caso</w:t>
      </w:r>
    </w:p>
    <w:p>
      <w:pPr>
        <w:numPr>
          <w:ilvl w:val="0"/>
          <w:numId w:val="1010"/>
        </w:numPr>
        <w:pStyle w:val="Compact"/>
      </w:pPr>
      <w:r>
        <w:t xml:space="preserve">Técnica de síntese jurídica: cronologia fática, separação fato/prova/pedido, tradução de parecer técnico em linguagem acessível.</w:t>
      </w:r>
    </w:p>
    <w:bookmarkEnd w:id="29"/>
    <w:bookmarkStart w:id="30" w:name="X57d44d006f894a797711b64cc2ca8c1da621ff9"/>
    <w:p>
      <w:pPr>
        <w:pStyle w:val="Heading3"/>
      </w:pPr>
      <w:r>
        <w:t xml:space="preserve">Agente 10 — Agente de Orientação ao Usuário e Escolha de Via</w:t>
      </w:r>
    </w:p>
    <w:p>
      <w:pPr>
        <w:numPr>
          <w:ilvl w:val="0"/>
          <w:numId w:val="1011"/>
        </w:numPr>
        <w:pStyle w:val="Compact"/>
      </w:pPr>
      <w:r>
        <w:t xml:space="preserve">Conhecimento amplo e raso de</w:t>
      </w:r>
      <w:r>
        <w:t xml:space="preserve"> </w:t>
      </w:r>
      <w:r>
        <w:rPr>
          <w:bCs/>
          <w:b/>
        </w:rPr>
        <w:t xml:space="preserve">vias de solução extrajudicial</w:t>
      </w:r>
      <w:r>
        <w:t xml:space="preserve"> </w:t>
      </w:r>
      <w:r>
        <w:t xml:space="preserve">(consumidor.gov.br, Procon, ANAC/ANATEL/ANS/Bacen, mediação) com taxas de efetividade por canal.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Apresentação da escolha de via após a análise</w:t>
      </w:r>
      <w:r>
        <w:t xml:space="preserve">: quadro comparativo entre (i) via extrajudicial, (ii)</w:t>
      </w:r>
      <w:r>
        <w:t xml:space="preserve"> </w:t>
      </w:r>
      <w:r>
        <w:rPr>
          <w:bCs/>
          <w:b/>
        </w:rPr>
        <w:t xml:space="preserve">processo civil comum — sempre com advogado</w:t>
      </w:r>
      <w:r>
        <w:t xml:space="preserve"> </w:t>
      </w:r>
      <w:r>
        <w:t xml:space="preserve">(art. 104, CPC): se a causa for destinada a essa via</w:t>
      </w:r>
      <w:r>
        <w:t xml:space="preserve"> </w:t>
      </w:r>
      <w:r>
        <w:rPr>
          <w:bCs/>
          <w:b/>
        </w:rPr>
        <w:t xml:space="preserve">por opção ou por necessidade</w:t>
      </w:r>
      <w:r>
        <w:t xml:space="preserve">, o agente informa expressamente que a postulação exige advogado e que a plataforma</w:t>
      </w:r>
      <w:r>
        <w:t xml:space="preserve"> </w:t>
      </w:r>
      <w:r>
        <w:rPr>
          <w:bCs/>
          <w:b/>
        </w:rPr>
        <w:t xml:space="preserve">agendará consulta por vídeo com advogado</w:t>
      </w:r>
      <w:r>
        <w:t xml:space="preserve"> </w:t>
      </w:r>
      <w:r>
        <w:t xml:space="preserve">(Agente 11) —</w:t>
      </w:r>
      <w:r>
        <w:t xml:space="preserve"> </w:t>
      </w:r>
      <w:r>
        <w:rPr>
          <w:bCs/>
          <w:b/>
        </w:rPr>
        <w:t xml:space="preserve">nessa via a ferramenta não gera peça para protocolo do usuário nem minuta</w:t>
      </w:r>
      <w:r>
        <w:t xml:space="preserve">; com cálculo e informação das custas estimadas e prazos, e (iii)</w:t>
      </w:r>
      <w:r>
        <w:t xml:space="preserve"> </w:t>
      </w:r>
      <w:r>
        <w:rPr>
          <w:bCs/>
          <w:b/>
        </w:rPr>
        <w:t xml:space="preserve">JEC/JEF — sem custas em 1º grau, com suporte integral da ferramenta (peças + acompanhamento, Agentes 32 e 33)</w:t>
      </w:r>
      <w:r>
        <w:t xml:space="preserve">. O usuário escolhe explicitamente; nenhuma peça é gerada antes da escolha.</w:t>
      </w:r>
    </w:p>
    <w:p>
      <w:pPr>
        <w:numPr>
          <w:ilvl w:val="0"/>
          <w:numId w:val="1011"/>
        </w:numPr>
        <w:pStyle w:val="Compact"/>
      </w:pPr>
      <w:r>
        <w:t xml:space="preserve">Critérios de elegibilidade JEC (20 SM sem advogado; até 40 SM com), JEF (60 SM sem advogado — art. 2º, Lei 10.259/2001) e JT (art. 791, CLT); cálculo de custas (incluindo gratuidade — art. 98 CPC) e informação de custas recursais do JEC (art. 54, Lei 9.099/95).</w:t>
      </w:r>
    </w:p>
    <w:p>
      <w:pPr>
        <w:numPr>
          <w:ilvl w:val="0"/>
          <w:numId w:val="1011"/>
        </w:numPr>
        <w:pStyle w:val="Compact"/>
      </w:pPr>
      <w:r>
        <w:t xml:space="preserve">Peças formais em nome próprio</w:t>
      </w:r>
      <w:r>
        <w:t xml:space="preserve"> </w:t>
      </w:r>
      <w:r>
        <w:rPr>
          <w:bCs/>
          <w:b/>
        </w:rPr>
        <w:t xml:space="preserve">somente nos foros com jus postulandi</w:t>
      </w:r>
      <w:r>
        <w:t xml:space="preserve">;</w:t>
      </w:r>
      <w:r>
        <w:t xml:space="preserve"> </w:t>
      </w:r>
      <w:r>
        <w:rPr>
          <w:bCs/>
          <w:b/>
        </w:rPr>
        <w:t xml:space="preserve">recursos exigem advogado — bloqueio duro + handoff obrigatório</w:t>
      </w:r>
      <w:r>
        <w:t xml:space="preserve">; demais hipóteses, handoff permanece opção.</w:t>
      </w:r>
    </w:p>
    <w:bookmarkEnd w:id="30"/>
    <w:bookmarkStart w:id="31" w:name="X3de4c2a8b096ed725a85f4d9f940684a94ee740"/>
    <w:p>
      <w:pPr>
        <w:pStyle w:val="Heading3"/>
      </w:pPr>
      <w:r>
        <w:t xml:space="preserve">Agente 11 — Consulta por Vídeo com Advogado (handoff agendado pela plataforma)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Hipóteses de acionamento:</w:t>
      </w:r>
      <w:r>
        <w:t xml:space="preserve"> </w:t>
      </w:r>
      <w:r>
        <w:t xml:space="preserve">(i)</w:t>
      </w:r>
      <w:r>
        <w:t xml:space="preserve"> </w:t>
      </w:r>
      <w:r>
        <w:rPr>
          <w:bCs/>
          <w:b/>
        </w:rPr>
        <w:t xml:space="preserve">obrigatória</w:t>
      </w:r>
      <w:r>
        <w:t xml:space="preserve"> </w:t>
      </w:r>
      <w:r>
        <w:t xml:space="preserve">— causa destinada à vara cível comum, por opção ou por necessidade (art. 104, CPC), e qualquer fase recursal (recurso inominado ou outro recurso — bloqueio duro do Agente 32); (ii)</w:t>
      </w:r>
      <w:r>
        <w:t xml:space="preserve"> </w:t>
      </w:r>
      <w:r>
        <w:rPr>
          <w:bCs/>
          <w:b/>
        </w:rPr>
        <w:t xml:space="preserve">opcional</w:t>
      </w:r>
      <w:r>
        <w:t xml:space="preserve"> </w:t>
      </w:r>
      <w:r>
        <w:t xml:space="preserve">— preferência do usuário por representação em qualquer via.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Funções:</w:t>
      </w:r>
      <w:r>
        <w:t xml:space="preserve"> </w:t>
      </w:r>
      <w:r>
        <w:t xml:space="preserve">agendamento da consulta por vídeo com o advogado da plataforma; preparação e envio prévio do dossiê técnico completo (resumo + documentos + linha do tempo + matriz fato × prova) para aproveitamento da chamada; condução pós-consulta (procuração, proposta de honorários do advogado, continuidade do monitoramento pelo Agente 33 após a distribuição).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Fronteira absoluta:</w:t>
      </w:r>
      <w:r>
        <w:t xml:space="preserve"> </w:t>
      </w:r>
      <w:r>
        <w:t xml:space="preserve">na via da vara cível comum a ferramenta</w:t>
      </w:r>
      <w:r>
        <w:t xml:space="preserve"> </w:t>
      </w:r>
      <w:r>
        <w:rPr>
          <w:bCs/>
          <w:b/>
        </w:rPr>
        <w:t xml:space="preserve">não gera peça para protocolo do usuário nem minuta</w:t>
      </w:r>
      <w:r>
        <w:t xml:space="preserve"> </w:t>
      </w:r>
      <w:r>
        <w:t xml:space="preserve">— a atuação técnica é integralmente do advogado a partir da consulta.</w:t>
      </w:r>
    </w:p>
    <w:bookmarkEnd w:id="31"/>
    <w:bookmarkStart w:id="32" w:name="agentes-12-e-13-memória-e-qc"/>
    <w:p>
      <w:pPr>
        <w:pStyle w:val="Heading3"/>
      </w:pPr>
      <w:r>
        <w:t xml:space="preserve">Agentes 12 e 13 — Memória e QC</w:t>
      </w:r>
    </w:p>
    <w:p>
      <w:pPr>
        <w:numPr>
          <w:ilvl w:val="0"/>
          <w:numId w:val="1013"/>
        </w:numPr>
        <w:pStyle w:val="Compact"/>
      </w:pPr>
      <w:r>
        <w:t xml:space="preserve">12: sem pesquisa jurídica; contexto do cliente.</w:t>
      </w:r>
    </w:p>
    <w:p>
      <w:pPr>
        <w:numPr>
          <w:ilvl w:val="0"/>
          <w:numId w:val="1013"/>
        </w:numPr>
        <w:pStyle w:val="Compact"/>
      </w:pPr>
      <w:r>
        <w:t xml:space="preserve">13:</w:t>
      </w:r>
      <w:r>
        <w:t xml:space="preserve"> </w:t>
      </w:r>
      <w:r>
        <w:rPr>
          <w:bCs/>
          <w:b/>
        </w:rPr>
        <w:t xml:space="preserve">metodologia de avaliação de acurácia jurídica</w:t>
      </w:r>
      <w:r>
        <w:t xml:space="preserve"> </w:t>
      </w:r>
      <w:r>
        <w:t xml:space="preserve">— compara classificação/parecer com desfecho real, mede divergências jurisprudenciais aplicadas × decididas.</w:t>
      </w:r>
    </w:p>
    <w:bookmarkEnd w:id="32"/>
    <w:bookmarkStart w:id="33" w:name="Xfd9a08123a8fd2a4e6284c05ee00253081e1987"/>
    <w:p>
      <w:pPr>
        <w:pStyle w:val="Heading3"/>
      </w:pPr>
      <w:r>
        <w:t xml:space="preserve">Agente 34 — Agente de Adversidade e Blindagem (todas as peças, todas as fases)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porta de saída obrigatória sobre</w:t>
      </w:r>
      <w:r>
        <w:t xml:space="preserve"> </w:t>
      </w:r>
      <w:r>
        <w:rPr>
          <w:bCs/>
          <w:b/>
        </w:rPr>
        <w:t xml:space="preserve">todas as peças produzidas pela plataforma, em qualquer fase do caso</w:t>
      </w:r>
      <w:r>
        <w:t xml:space="preserve"> </w:t>
      </w:r>
      <w:r>
        <w:t xml:space="preserve">— inicial, manifestações, respostas a decisões, cumprimento de sentença, pareceres e orientações. Dupla função:</w:t>
      </w:r>
      <w:r>
        <w:t xml:space="preserve"> </w:t>
      </w:r>
      <w:r>
        <w:rPr>
          <w:bCs/>
          <w:b/>
        </w:rPr>
        <w:t xml:space="preserve">atacar</w:t>
      </w:r>
      <w:r>
        <w:t xml:space="preserve"> </w:t>
      </w:r>
      <w:r>
        <w:t xml:space="preserve">cada peça sob múltiplas óticas adversas e</w:t>
      </w:r>
      <w:r>
        <w:t xml:space="preserve"> </w:t>
      </w:r>
      <w:r>
        <w:rPr>
          <w:bCs/>
          <w:b/>
        </w:rPr>
        <w:t xml:space="preserve">blindar</w:t>
      </w:r>
      <w:r>
        <w:t xml:space="preserve"> </w:t>
      </w:r>
      <w:r>
        <w:t xml:space="preserve">a peça antes do protocolo/entrega, de modo que cada fragilidade identificada seja neutralizada na versão final — lacuna suprida, ataque pré-respondido dentro da própria peça, contradição sanada. Nenhuma peça sai sem versão blindada aprovada.</w:t>
      </w:r>
    </w:p>
    <w:p>
      <w:pPr>
        <w:pStyle w:val="BodyText"/>
      </w:pPr>
      <w:r>
        <w:rPr>
          <w:bCs/>
          <w:b/>
        </w:rPr>
        <w:t xml:space="preserve">Habilidades jurídicas: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Teste de adversidade em 4 camadas: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Forma</w:t>
      </w:r>
      <w:r>
        <w:t xml:space="preserve"> </w:t>
      </w:r>
      <w:r>
        <w:t xml:space="preserve">— enquadramento correto, competência, valor da causa, legitimidade ativa/passiva (polo errado é causa clássica de improcedência);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Fato</w:t>
      </w:r>
      <w:r>
        <w:t xml:space="preserve"> </w:t>
      </w:r>
      <w:r>
        <w:t xml:space="preserve">— coerência interna da narrativa; cronologia possível; fatos alegados × fatos prováveis;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Prova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matriz fato × prova</w:t>
      </w:r>
      <w:r>
        <w:t xml:space="preserve">: cada fato relevante exige documento/prova correspondente; fato sem prova = fragilidade marcada; documento ilegível, sem data, sem identificação da parte, print sem contexto, contrato incompleto ou assinatura divergente = problema documental marcado;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Direito</w:t>
      </w:r>
      <w:r>
        <w:t xml:space="preserve"> </w:t>
      </w:r>
      <w:r>
        <w:t xml:space="preserve">— tese confrontada com jurisprudência contrária vigente no tribunal do foro, súmulas e temas repetitivos adversos, excludentes e exceções que a contraparte invocará (prescrição/decadência — checagem cruzada com Agente 7; força maior; culpa exclusiva da vítima).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Simulação de papéis adversos (uso exclusivamente interno):</w:t>
      </w:r>
      <w:r>
        <w:t xml:space="preserve"> </w:t>
      </w:r>
      <w:r>
        <w:t xml:space="preserve">redige a</w:t>
      </w:r>
      <w:r>
        <w:t xml:space="preserve"> </w:t>
      </w:r>
      <w:r>
        <w:rPr>
          <w:bCs/>
          <w:b/>
        </w:rPr>
        <w:t xml:space="preserve">minuta da melhor defesa da parte contrária</w:t>
      </w:r>
      <w:r>
        <w:t xml:space="preserve"> </w:t>
      </w:r>
      <w:r>
        <w:t xml:space="preserve">e a</w:t>
      </w:r>
      <w:r>
        <w:t xml:space="preserve"> </w:t>
      </w:r>
      <w:r>
        <w:rPr>
          <w:bCs/>
          <w:b/>
        </w:rPr>
        <w:t xml:space="preserve">minuta da decisão de improcedência</w:t>
      </w:r>
      <w:r>
        <w:t xml:space="preserve">; confronta com a peça; identifica onde a peça é vulnerável.</w:t>
      </w:r>
      <w:r>
        <w:t xml:space="preserve"> </w:t>
      </w:r>
      <w:r>
        <w:rPr>
          <w:bCs/>
          <w:b/>
        </w:rPr>
        <w:t xml:space="preserve">Essas minutas jamais são incorporadas à peça nem mostradas ao adversário — servem apenas para orientar o reforço interno.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Regra estratégica rígida — vedação de antecipação de teses adversas: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expressamente vedado</w:t>
      </w:r>
      <w:r>
        <w:t xml:space="preserve"> </w:t>
      </w:r>
      <w:r>
        <w:t xml:space="preserve">antecipar na petição defesas, excludentes, prescrições, decadências ou qualquer tese que a parte contrária possa arguir e ainda não arguiu. Fundamento estratégico: antecipar defesa educa o adversário, confere relevância a tese que talvez nunca fosse suscitada e pode configurar confissão tática. A peça blindada é</w:t>
      </w:r>
      <w:r>
        <w:t xml:space="preserve"> </w:t>
      </w:r>
      <w:r>
        <w:t xml:space="preserve">“</w:t>
      </w:r>
      <w:r>
        <w:t xml:space="preserve">limpa</w:t>
      </w:r>
      <w:r>
        <w:t xml:space="preserve">”</w:t>
      </w:r>
      <w:r>
        <w:t xml:space="preserve">: sustenta a tese própria com força máxima e prova robusta — a blindagem se dá por reforço probatório e reformulação, nunca por pré-resposta.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Protocolo de blindagem (diferencial):</w:t>
      </w:r>
      <w:r>
        <w:t xml:space="preserve"> </w:t>
      </w:r>
      <w:r>
        <w:t xml:space="preserve">para cada fragilidade identificada, determina obrigatoriamente uma das ações: (a)</w:t>
      </w:r>
      <w:r>
        <w:t xml:space="preserve"> </w:t>
      </w:r>
      <w:r>
        <w:rPr>
          <w:bCs/>
          <w:b/>
        </w:rPr>
        <w:t xml:space="preserve">suprimento</w:t>
      </w:r>
      <w:r>
        <w:t xml:space="preserve"> </w:t>
      </w:r>
      <w:r>
        <w:t xml:space="preserve">— esclarecimento fático ou documento adicional ao usuário (via Agentes 2/3) antes do protocolo; (b)</w:t>
      </w:r>
      <w:r>
        <w:t xml:space="preserve"> </w:t>
      </w:r>
      <w:r>
        <w:rPr>
          <w:bCs/>
          <w:b/>
        </w:rPr>
        <w:t xml:space="preserve">reformulação</w:t>
      </w:r>
      <w:r>
        <w:t xml:space="preserve"> </w:t>
      </w:r>
      <w:r>
        <w:t xml:space="preserve">— o especialista de origem reescreve o trecho sob especificação de blindagem (remover alegação improvável, reposicionar tese, qualificar pedido, suprimir narrativa que entregue ponto de ataque); (c)</w:t>
      </w:r>
      <w:r>
        <w:t xml:space="preserve"> </w:t>
      </w:r>
      <w:r>
        <w:rPr>
          <w:bCs/>
          <w:b/>
        </w:rPr>
        <w:t xml:space="preserve">registro interno de contra-ataque</w:t>
      </w:r>
      <w:r>
        <w:t xml:space="preserve"> </w:t>
      </w:r>
      <w:r>
        <w:t xml:space="preserve">— a resposta à tese adversa previsível fica</w:t>
      </w:r>
      <w:r>
        <w:t xml:space="preserve"> </w:t>
      </w:r>
      <w:r>
        <w:rPr>
          <w:bCs/>
          <w:b/>
        </w:rPr>
        <w:t xml:space="preserve">pré-elaborada e arquivada internamente</w:t>
      </w:r>
      <w:r>
        <w:t xml:space="preserve">, pronta para ser usada</w:t>
      </w:r>
      <w:r>
        <w:t xml:space="preserve"> </w:t>
      </w:r>
      <w:r>
        <w:rPr>
          <w:bCs/>
          <w:b/>
        </w:rPr>
        <w:t xml:space="preserve">somente se e quando</w:t>
      </w:r>
      <w:r>
        <w:t xml:space="preserve"> </w:t>
      </w:r>
      <w:r>
        <w:t xml:space="preserve">a contraparte a suscitar (réplica, manifestação sobre contestação), nunca antes. Após a blindagem,</w:t>
      </w:r>
      <w:r>
        <w:t xml:space="preserve"> </w:t>
      </w:r>
      <w:r>
        <w:rPr>
          <w:bCs/>
          <w:b/>
        </w:rPr>
        <w:t xml:space="preserve">revalida a peça</w:t>
      </w:r>
      <w:r>
        <w:t xml:space="preserve"> </w:t>
      </w:r>
      <w:r>
        <w:t xml:space="preserve">— nova rodada completa de adversidade sobre a versão blindada.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Cobertura contínua:</w:t>
      </w:r>
      <w:r>
        <w:t xml:space="preserve"> </w:t>
      </w:r>
      <w:r>
        <w:t xml:space="preserve">o laudo não é evento único da inicial — toda peça subsequente gerada pelo Copiloto JEC ou especialista passa pelo mesmo ciclo ataque → blindagem → revalidação.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Detecção de contradições usuário × documentos:</w:t>
      </w:r>
      <w:r>
        <w:t xml:space="preserve"> </w:t>
      </w:r>
      <w:r>
        <w:t xml:space="preserve">divergências entre relato do intake e conteúdo documental (datas, valores, versões) — marca como inconsistência crítica que precisa de esclarecimento.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Detecção de prova autoincriminatória:</w:t>
      </w:r>
      <w:r>
        <w:t xml:space="preserve"> </w:t>
      </w:r>
      <w:r>
        <w:t xml:space="preserve">documentos ou declarações do usuário que jogam contra ele (ex.: mensagem admitindo ciência do vício; fatura paga sem ressalva) — sinaliza risco e necessidade de reposicionamento da tese.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Geração de pedido de esclarecimentos e documentos:</w:t>
      </w:r>
      <w:r>
        <w:t xml:space="preserve"> </w:t>
      </w:r>
      <w:r>
        <w:t xml:space="preserve">transforma cada fragilidade em item acionável — pergunta fática objetiva (</w:t>
      </w:r>
      <w:r>
        <w:t xml:space="preserve">“</w:t>
      </w:r>
      <w:r>
        <w:t xml:space="preserve">em que data exata o serviço foi cortado?</w:t>
      </w:r>
      <w:r>
        <w:t xml:space="preserve">”</w:t>
      </w:r>
      <w:r>
        <w:t xml:space="preserve">) ou documento específico (</w:t>
      </w:r>
      <w:r>
        <w:t xml:space="preserve">“</w:t>
      </w:r>
      <w:r>
        <w:t xml:space="preserve">fatura de [mês]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protocolo de atendimento nº […]</w:t>
      </w:r>
      <w:r>
        <w:t xml:space="preserve">”</w:t>
      </w:r>
      <w:r>
        <w:t xml:space="preserve">). Devolve a lista ao Agente 2 (perguntas fáticas) ou Agente 3 (documentos), que interagem com o usuário; recebidas as respostas, refaz a análise.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Laudo de adversidade e blindagem com veredito:</w:t>
      </w:r>
      <w:r>
        <w:t xml:space="preserve"> </w:t>
      </w:r>
      <w:r>
        <w:t xml:space="preserve">BLINDADA / BLINDADA COM RESSALVA (fragilidade assumida e explicitada ao usuário) / BLOQUEADA — PENDENTE ESCLARECIMENTOS OU REFORMULAÇÃO (lista anexa). Peça bloqueada não segue em hipótese alguma; o ciclo se repete até a blindagem.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Fronteiras:</w:t>
      </w:r>
      <w:r>
        <w:t xml:space="preserve"> </w:t>
      </w:r>
      <w:r>
        <w:t xml:space="preserve">não fala diretamente com o usuário (solicitações via Agentes 2/3/10); a reescrita técnica é do especialista de origem, sob especificação de blindagem do Agente 34; veredito revisado pelo Guardião de Compliance (Agente 8) quanto à forma e pelo Orquestrador quanto ao ciclo.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laudo de adversidade e blindagem por peça (todas as fases); matriz fato × prova com fragilidades e respectiva ação de blindagem; minutas de defesa adversária simulada e de decisão de improcedência (</w:t>
      </w:r>
      <w:r>
        <w:rPr>
          <w:bCs/>
          <w:b/>
        </w:rPr>
        <w:t xml:space="preserve">arquivo interno, sigiloso</w:t>
      </w:r>
      <w:r>
        <w:t xml:space="preserve">);</w:t>
      </w:r>
      <w:r>
        <w:t xml:space="preserve"> </w:t>
      </w:r>
      <w:r>
        <w:rPr>
          <w:bCs/>
          <w:b/>
        </w:rPr>
        <w:t xml:space="preserve">banco interno de contra-ataques pré-elaborados</w:t>
      </w:r>
      <w:r>
        <w:t xml:space="preserve"> </w:t>
      </w:r>
      <w:r>
        <w:t xml:space="preserve">(ativado apenas se a tese for arguida pela contraparte); especificações de reformulação; lista de esclarecimentos fáticos e documentos adicionais; registro de ciclos ataque→blindagem→revalidação (feedback ao QC, Agente 13).</w:t>
      </w:r>
    </w:p>
    <w:bookmarkEnd w:id="33"/>
    <w:bookmarkStart w:id="34" w:name="X8ffd4d79fb725e42192980c3cd4d6aaf61833b8"/>
    <w:p>
      <w:pPr>
        <w:pStyle w:val="Heading3"/>
      </w:pPr>
      <w:r>
        <w:t xml:space="preserve">Agente 35 — Registro Contínuo e Autocrítica (aprendizado do sistema — uso exclusivo dos desenvolvedores)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registrar na nuvem toda a conversa e todo o processamento dos agentes de cada caso, acompanhar o caso até o final e, ao desfecho, executar a autocrítica do sistema — comparando o que foi alegado pela parte com o que foi reconhecido pelo juízo — para identificar falhas e aprimorar os agentes, de modo que a falha identificada em um processo não volte a ocorrer.</w:t>
      </w:r>
    </w:p>
    <w:p>
      <w:pPr>
        <w:pStyle w:val="BodyText"/>
      </w:pPr>
      <w:r>
        <w:rPr>
          <w:bCs/>
          <w:b/>
        </w:rPr>
        <w:t xml:space="preserve">Habilidades e funções: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Registro integral na nuvem (trilha de auditoria):</w:t>
      </w:r>
      <w:r>
        <w:t xml:space="preserve"> </w:t>
      </w:r>
      <w:r>
        <w:t xml:space="preserve">log versionado e imutável de cada caso — conversa do usuário (intake e esclarecimentos), documentos enviados e extrações, classificação e roteamentos, pareceres dos especialistas, laudos de adversidade/blindagem (inclusive versões atacadas e blindadas), peças protocoladas, andamentos captados pelo Monitor Processual, decisões e sentenças.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Acompanhamento até o desfecho:</w:t>
      </w:r>
      <w:r>
        <w:t xml:space="preserve"> </w:t>
      </w:r>
      <w:r>
        <w:t xml:space="preserve">mantém o dossiê vivo do caso até trânsito em julgado/encerramento (integrado ao Agente 33), fechando o ciclo somente com o resultado final.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Autocrítica prognóstico × desfecho (núcleo do aprendizado):</w:t>
      </w:r>
      <w:r>
        <w:t xml:space="preserve"> </w:t>
      </w:r>
      <w:r>
        <w:t xml:space="preserve">análise ponto a ponto do confronto entre (a) o que a parte alegou e o que os agentes previram/recomendaram e (b) o que o juízo efetivamente reconheceu — tese acolhida/rejeitada/ignorada; prova valorada/desprezada; pedido deferido total/parcial/indeferido; valor do dano moral concedido × estimado (feedback ao Agente 23).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Classificação de causa raiz da falha:</w:t>
      </w:r>
      <w:r>
        <w:t xml:space="preserve"> </w:t>
      </w:r>
      <w:r>
        <w:t xml:space="preserve">falha de intake (pergunta não feita); falha documental (prova não solicitada); falha de classificação/roteamento; falha de tese ou enquadramento; falha de blindagem (ataque adversário não previsto pelo Agente 34); falha de prognóstico (leitura errada do padrão do foro); falha de orientação (via escolhida inadequada).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Relatório de aprimoramento:</w:t>
      </w:r>
      <w:r>
        <w:t xml:space="preserve"> </w:t>
      </w:r>
      <w:r>
        <w:t xml:space="preserve">para cada falha, emite relatório com causa raiz e</w:t>
      </w:r>
      <w:r>
        <w:t xml:space="preserve"> </w:t>
      </w:r>
      <w:r>
        <w:rPr>
          <w:bCs/>
          <w:b/>
        </w:rPr>
        <w:t xml:space="preserve">correção proposta no agente responsável</w:t>
      </w:r>
      <w:r>
        <w:t xml:space="preserve"> </w:t>
      </w:r>
      <w:r>
        <w:t xml:space="preserve">(ajuste de prompt, nova regra de checagem, atualização de taxonomia ou de parâmetro jurisprudencial), consolidando métricas de aprendizado por agente e por área (taxa de acerto de prognóstico, fragilidades recorrentes, vereditos do Agente 34 × desfechos).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Sigilo absoluto — destinação exclusiva aos desenvolvedores:</w:t>
      </w:r>
      <w:r>
        <w:t xml:space="preserve"> </w:t>
      </w:r>
      <w:r>
        <w:t xml:space="preserve">as informações deste agente</w:t>
      </w:r>
      <w:r>
        <w:t xml:space="preserve"> </w:t>
      </w:r>
      <w:r>
        <w:rPr>
          <w:bCs/>
          <w:b/>
        </w:rPr>
        <w:t xml:space="preserve">em hipótese alguma vão ao usuário do app</w:t>
      </w:r>
      <w:r>
        <w:t xml:space="preserve">. Não alimenta respostas, pareceres ou orientações; trilha criptografada com acesso restrito à equipe de desenvolvimento; tratamento LGPD com finalidade exclusiva de melhoria do sistema (minimização/anonimização no que couber).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Fronteiras:</w:t>
      </w:r>
      <w:r>
        <w:t xml:space="preserve"> </w:t>
      </w:r>
      <w:r>
        <w:t xml:space="preserve">atua</w:t>
      </w:r>
      <w:r>
        <w:t xml:space="preserve"> </w:t>
      </w:r>
      <w:r>
        <w:rPr>
          <w:bCs/>
          <w:b/>
        </w:rPr>
        <w:t xml:space="preserve">somente em leitura</w:t>
      </w:r>
      <w:r>
        <w:t xml:space="preserve"> </w:t>
      </w:r>
      <w:r>
        <w:t xml:space="preserve">sobre o log — não interfere no caso em curso (não opina, não bloqueia, não sugere); sua influência é indireta, via melhoria futura dos agentes.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trilha de auditoria completa por caso; relatório de autocrítica por desfecho; classificação de causa raiz; relatório de aprimoramento por agente; painel de métricas de aprendizado do sistema (acesso restrito a desenvolvedores).</w:t>
      </w:r>
    </w:p>
    <w:bookmarkEnd w:id="34"/>
    <w:bookmarkStart w:id="35" w:name="X9a0310cbb038adf960b255783fc84e83cf8d860"/>
    <w:p>
      <w:pPr>
        <w:pStyle w:val="Heading3"/>
      </w:pPr>
      <w:r>
        <w:t xml:space="preserve">Agente 44 — Controlador de Narrativa (estilo e concisão)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garantir que toda narrativa fática destinada ao usuário — peças JEC, resumos, orientações, textos e roteiros de áudio — seja</w:t>
      </w:r>
      <w:r>
        <w:t xml:space="preserve"> </w:t>
      </w:r>
      <w:r>
        <w:rPr>
          <w:bCs/>
          <w:b/>
        </w:rPr>
        <w:t xml:space="preserve">clara, direta e na menor extensão possível: direta ao ponto, sem repetições, rodeios ou argumentação redundante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Habilidades e funções: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Enxugamento estrutural:</w:t>
      </w:r>
      <w:r>
        <w:t xml:space="preserve"> </w:t>
      </w:r>
      <w:r>
        <w:t xml:space="preserve">corta redundâncias e duplicidades; elimina adjetivação, floreios e circunlóquios; ordena a narrativa em linha reta cronológica; uma ideia por parágrafo; frases curtas; pedido/objetivo em destaque ao final.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Regras de estilo mensuráveis:</w:t>
      </w:r>
      <w:r>
        <w:t xml:space="preserve"> </w:t>
      </w:r>
      <w:r>
        <w:t xml:space="preserve">checklist objetivo por texto (extensão máxima por tipo de peça, zero repetição de fato, zero rodeio introdutório, verbo antes de complemento, cronologia sem saltos).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Parecer de estilo:</w:t>
      </w:r>
      <w:r>
        <w:t xml:space="preserve"> </w:t>
      </w:r>
      <w:r>
        <w:t xml:space="preserve">APROVADO / RETORNA PARA ENXUGAMENTO — já entregando a versão enxuta pronta, o que elimina o ciclo de</w:t>
      </w:r>
      <w:r>
        <w:t xml:space="preserve"> </w:t>
      </w:r>
      <w:r>
        <w:t xml:space="preserve">“</w:t>
      </w:r>
      <w:r>
        <w:t xml:space="preserve">apontar e esperar reescrita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Preservação do conteúdo substantivo (limite rígido):</w:t>
      </w:r>
      <w:r>
        <w:t xml:space="preserve"> </w:t>
      </w:r>
      <w:r>
        <w:t xml:space="preserve">corta forma,</w:t>
      </w:r>
      <w:r>
        <w:t xml:space="preserve"> </w:t>
      </w:r>
      <w:r>
        <w:rPr>
          <w:bCs/>
          <w:b/>
        </w:rPr>
        <w:t xml:space="preserve">jamais fato, prova, data, valor ou pedido</w:t>
      </w:r>
      <w:r>
        <w:t xml:space="preserve">; qualquer supressão de conteúdo substantivo é vetada e o trecho é devolvido ao especialista de origem.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Posição no fluxo:</w:t>
      </w:r>
      <w:r>
        <w:t xml:space="preserve"> </w:t>
      </w:r>
      <w:r>
        <w:t xml:space="preserve">atua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Agente 34 (a peça chega à blindagem já enxuta) e</w:t>
      </w:r>
      <w:r>
        <w:t xml:space="preserve"> </w:t>
      </w:r>
      <w:r>
        <w:rPr>
          <w:bCs/>
          <w:b/>
        </w:rPr>
        <w:t xml:space="preserve">novamente depois</w:t>
      </w:r>
      <w:r>
        <w:t xml:space="preserve"> </w:t>
      </w:r>
      <w:r>
        <w:t xml:space="preserve">da blindagem, se a reformulação tiver reintroduzido prolixidade; a verificação de sucinticidade do Agente 34 passa a recair sobre o trabalho do Controlador.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Fronteiras:</w:t>
      </w:r>
      <w:r>
        <w:t xml:space="preserve"> </w:t>
      </w:r>
      <w:r>
        <w:t xml:space="preserve">não opina sobre mérito, direito ou estratégia; não altera conteúdo substantivo; não fala diretamente com o usuário; aplica também ao roteiro de áudio podcast (concisão falada — frases curtas para locução).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versão enxuta de cada texto user-facing; parecer de estilo; relatório de cortes (o que saiu e por quê — insumo para o Agente 35 medir prolixidade recorrente por agente de origem).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parte-iii-núcleo-consumerista"/>
    <w:p>
      <w:pPr>
        <w:pStyle w:val="Heading2"/>
      </w:pPr>
      <w:r>
        <w:t xml:space="preserve">PARTE III — Núcleo Consumerista</w:t>
      </w:r>
    </w:p>
    <w:bookmarkStart w:id="37" w:name="agente-14-consumidor-geral-cdc-core"/>
    <w:p>
      <w:pPr>
        <w:pStyle w:val="Heading3"/>
      </w:pPr>
      <w:r>
        <w:t xml:space="preserve">Agente 14 — Consumidor Geral (CDC core)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Normativo</w:t>
      </w:r>
      <w:r>
        <w:t xml:space="preserve">: CDC integral; CC arts. 389, 422, 475 (cláusula geral contratual); Lei 7.347/85 (ações coletivas) no nível de identificação.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Jurisprudência</w:t>
      </w:r>
      <w:r>
        <w:t xml:space="preserve">: teoria do desvio produtivo do consumidor (construção jurisprudencial do STJ —</w:t>
      </w:r>
      <w:r>
        <w:t xml:space="preserve"> </w:t>
      </w:r>
      <w:r>
        <w:rPr>
          <w:bCs/>
          <w:b/>
        </w:rPr>
        <w:t xml:space="preserve">referência exata em verificação na auditoria da base validada; vedado citar RE não confirmado</w:t>
      </w:r>
      <w:r>
        <w:t xml:space="preserve">); oferta vinculante (arts. 30/35 — padrão STJ); inversão do ônus da prova (art. 38, hipossuficiência técnica — Tema 1.166/STF contextos); garantia legal vs. contratual; prazo de reclamação de vício aparente/oculto (art. 26, II e III); fornecedor intermediário e cadeia (art. 13).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Estudo de casos</w:t>
      </w:r>
      <w:r>
        <w:t xml:space="preserve">: reconstrução da cadeia de fornecimento; leitura de contratos de adesão para flag de cláusulas abusivas (arts. 51, 52); análise de publicidade veiculada × produto entregue.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Produtos</w:t>
      </w:r>
      <w:r>
        <w:t xml:space="preserve">: parecer de enquadramento CDC + tese principal e subsidiária + estimativa de pedido (restituição, danos materiais, moral).</w:t>
      </w:r>
    </w:p>
    <w:bookmarkEnd w:id="37"/>
    <w:bookmarkStart w:id="38" w:name="X540a8457842483adc637947aa71ea436ebf3364"/>
    <w:p>
      <w:pPr>
        <w:pStyle w:val="Heading3"/>
      </w:pPr>
      <w:r>
        <w:t xml:space="preserve">Agente 15 — Bancário e Financeiro</w:t>
      </w:r>
      <w:r>
        <w:t xml:space="preserve"> </w:t>
      </w:r>
      <w:r>
        <w:rPr>
          <w:iCs/>
          <w:i/>
        </w:rPr>
        <w:t xml:space="preserve">(prioridade máxima)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Normativo</w:t>
      </w:r>
      <w:r>
        <w:t xml:space="preserve">: CDC arts. 51, §4º, 52; Código de Defesa do Contribuinte não aplicável — deslinde;</w:t>
      </w:r>
      <w:r>
        <w:t xml:space="preserve"> </w:t>
      </w:r>
      <w:r>
        <w:rPr>
          <w:bCs/>
          <w:b/>
        </w:rPr>
        <w:t xml:space="preserve">Lei 14.181/2021</w:t>
      </w:r>
      <w:r>
        <w:t xml:space="preserve"> </w:t>
      </w:r>
      <w:r>
        <w:t xml:space="preserve">(superendividamento — CDC, arts. 54-A e ss.) e sua exceção ao crédito de luxo/garantia real; Resoluções CMN/Bacen; limitações constitucionais a juros (art. 192 CF — histórico; referência específica</w:t>
      </w:r>
      <w:r>
        <w:t xml:space="preserve"> </w:t>
      </w:r>
      <w:r>
        <w:rPr>
          <w:bCs/>
          <w:b/>
        </w:rPr>
        <w:t xml:space="preserve">em verificação na auditoria da base validada</w:t>
      </w:r>
      <w:r>
        <w:t xml:space="preserve">);</w:t>
      </w:r>
      <w:r>
        <w:t xml:space="preserve"> </w:t>
      </w:r>
      <w:r>
        <w:rPr>
          <w:bCs/>
          <w:b/>
        </w:rPr>
        <w:t xml:space="preserve">regime vigente de juros e correção: Lei 14.905/2024</w:t>
      </w:r>
      <w:r>
        <w:t xml:space="preserve"> </w:t>
      </w:r>
      <w:r>
        <w:t xml:space="preserve">(arts. 389 e 406 CC — IPCA + Selic deduzido o IPCA).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Jurisprudência</w:t>
      </w:r>
      <w:r>
        <w:t xml:space="preserve">:</w:t>
      </w:r>
      <w:r>
        <w:t xml:space="preserve"> </w:t>
      </w:r>
      <w:r>
        <w:rPr>
          <w:bCs/>
          <w:b/>
        </w:rPr>
        <w:t xml:space="preserve">Súmula 479/STJ</w:t>
      </w:r>
      <w:r>
        <w:t xml:space="preserve"> </w:t>
      </w:r>
      <w:r>
        <w:t xml:space="preserve">(fraude em conta — responsabilidade objetiva); Súmula 479 desdobramentos (golpe do motoboy, SIM swap — posições recentes STJ);</w:t>
      </w:r>
      <w:r>
        <w:t xml:space="preserve"> </w:t>
      </w:r>
      <w:r>
        <w:rPr>
          <w:bCs/>
          <w:b/>
        </w:rPr>
        <w:t xml:space="preserve">Súmula 297/STJ (CDC aplicável às instituições financeiras)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Súmula 385/STJ — atenção, sentido correto: AFASTA o dano moral quando há inscrição legítima preexistente em outro cadastro</w:t>
      </w:r>
      <w:r>
        <w:t xml:space="preserve"> </w:t>
      </w:r>
      <w:r>
        <w:t xml:space="preserve">(indevida apenas a segunda, mantida a primeira:</w:t>
      </w:r>
      <w:r>
        <w:t xml:space="preserve"> </w:t>
      </w:r>
      <w:r>
        <w:t xml:space="preserve">“</w:t>
      </w:r>
      <w:r>
        <w:t xml:space="preserve">se o anterior já era legítimo</w:t>
      </w:r>
      <w:r>
        <w:t xml:space="preserve">”</w:t>
      </w:r>
      <w:r>
        <w:t xml:space="preserve">); não é fundamento a favor do consumidor — é tese defensiva a conhecer; prescrição em negativação e marcos interruptivos (referência de tema</w:t>
      </w:r>
      <w:r>
        <w:t xml:space="preserve"> </w:t>
      </w:r>
      <w:r>
        <w:rPr>
          <w:bCs/>
          <w:b/>
        </w:rPr>
        <w:t xml:space="preserve">em verificação na auditoria da base validada</w:t>
      </w:r>
      <w:r>
        <w:t xml:space="preserve">); juros remuneratórios permitidos em contratos bancários (Súmula 596/STF contexto); tarifas bancárias (referência constitucional</w:t>
      </w:r>
      <w:r>
        <w:t xml:space="preserve"> </w:t>
      </w:r>
      <w:r>
        <w:rPr>
          <w:bCs/>
          <w:b/>
        </w:rPr>
        <w:t xml:space="preserve">em verificação na auditoria da base validada — vedado citar ADI não confirmada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Estudo de casos</w:t>
      </w:r>
      <w:r>
        <w:t xml:space="preserve">: leitura de extratos para apuração de débitos indevidos; reconstituição da linha do tempo da fraude para encaixe na Súmula 479; análise de contrato de empréstimo/cartão (CET, capitalização); detecção de superendividamento (mínimo existencial × renda).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Produtos</w:t>
      </w:r>
      <w:r>
        <w:t xml:space="preserve">: memória de cálculo do valor em disputa; tese objetiva; indicação de canal regulatório (Bacen) como via paralela.</w:t>
      </w:r>
    </w:p>
    <w:bookmarkEnd w:id="38"/>
    <w:bookmarkStart w:id="39" w:name="agente-16-telecom-e-serviços-essenciais"/>
    <w:p>
      <w:pPr>
        <w:pStyle w:val="Heading3"/>
      </w:pPr>
      <w:r>
        <w:t xml:space="preserve">Agente 16 — Telecom e Serviços Essenciais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Normativo</w:t>
      </w:r>
      <w:r>
        <w:t xml:space="preserve">: CDC; LGT (Lei 9.472/97); Regulamentos ANATEL (SAC — Decreto 6.523/08); serviços públicos (Lei 8.987/95) no nível de falha na prestação; Lei estadual de interrupção de fornecimento de energia/água.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Jurisprudência</w:t>
      </w:r>
      <w:r>
        <w:t xml:space="preserve">: venda casada de serviços não solicitados; cobrança de serviços de valor adicionado sem contratação; corte indevido de energia/água e dano moral</w:t>
      </w:r>
      <w:r>
        <w:t xml:space="preserve"> </w:t>
      </w:r>
      <w:r>
        <w:rPr>
          <w:iCs/>
          <w:i/>
        </w:rPr>
        <w:t xml:space="preserve">in re ipsa</w:t>
      </w:r>
      <w:r>
        <w:t xml:space="preserve"> </w:t>
      </w:r>
      <w:r>
        <w:t xml:space="preserve">(padrão STJ — ausência de aviso prévio); religação e taxas; marco jurisprudencial específico</w:t>
      </w:r>
      <w:r>
        <w:t xml:space="preserve"> </w:t>
      </w:r>
      <w:r>
        <w:rPr>
          <w:bCs/>
          <w:b/>
        </w:rPr>
        <w:t xml:space="preserve">em verificação na auditoria da base validada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Estudo de casos</w:t>
      </w:r>
      <w:r>
        <w:t xml:space="preserve">: análise de faturas seriadas; protocolos de atendimento como prova; comparação tarifa contratada × faturada.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Produtos</w:t>
      </w:r>
      <w:r>
        <w:t xml:space="preserve">: parecer + orientação de protocolo ANATEL/ANEEL paralelo.</w:t>
      </w:r>
    </w:p>
    <w:bookmarkEnd w:id="39"/>
    <w:bookmarkStart w:id="40" w:name="agente-17-aéreo-e-turismo"/>
    <w:p>
      <w:pPr>
        <w:pStyle w:val="Heading3"/>
      </w:pPr>
      <w:r>
        <w:t xml:space="preserve">Agente 17 — Aéreo e Turismo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Normativo</w:t>
      </w:r>
      <w:r>
        <w:t xml:space="preserve">: CDC; Convenção de Montreal/Varsóvia (limites e sua superação jurisprudencial); Código Brasileiro de Aeronáutica arts. 236–241; Resoluções ANAC (400/2016 — assistência material por faixas de atraso); CDC art. 35.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Jurisprudência</w:t>
      </w:r>
      <w:r>
        <w:t xml:space="preserve">:</w:t>
      </w:r>
      <w:r>
        <w:t xml:space="preserve"> </w:t>
      </w:r>
      <w:r>
        <w:rPr>
          <w:bCs/>
          <w:b/>
        </w:rPr>
        <w:t xml:space="preserve">Tema 210/STF</w:t>
      </w:r>
      <w:r>
        <w:t xml:space="preserve"> </w:t>
      </w:r>
      <w:r>
        <w:t xml:space="preserve">(RE 636.331 — prevalência das Convenções de Varsóvia/Montreal sobre o CDC quanto a</w:t>
      </w:r>
      <w:r>
        <w:t xml:space="preserve"> </w:t>
      </w:r>
      <w:r>
        <w:rPr>
          <w:bCs/>
          <w:b/>
        </w:rPr>
        <w:t xml:space="preserve">danos materiais</w:t>
      </w:r>
      <w:r>
        <w:t xml:space="preserve">; danos extrapatrimoniais seguem o CDC — tese de não aplicação das limitações ao dano moral); padrão consolidado STJ: atraso &gt; 4h = dano moral em regra; overbooking; extravio definitivo vs. provisório de bagagem; cancelamento sem aviso; greves/força maior como excludente (jurisprudência de casos de COVID).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Estudo de casos</w:t>
      </w:r>
      <w:r>
        <w:t xml:space="preserve">: linha do tempo do voo (notificações, tempo de espera, alternativas oferecidas); verificação de excludentes; análise de pacotes turísticos (agência × operadora — responsabilidade solidária).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Produtos</w:t>
      </w:r>
      <w:r>
        <w:t xml:space="preserve">: estimativa de dano moral por faixa jurisprudencial do tribunal local.</w:t>
      </w:r>
    </w:p>
    <w:bookmarkEnd w:id="40"/>
    <w:bookmarkStart w:id="41" w:name="agente-18-planos-de-saúde"/>
    <w:p>
      <w:pPr>
        <w:pStyle w:val="Heading3"/>
      </w:pPr>
      <w:r>
        <w:t xml:space="preserve">Agente 18 — Planos de Saúde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Normativo</w:t>
      </w:r>
      <w:r>
        <w:t xml:space="preserve">: Lei 9.656/98; Resoluções ANS; CDC aplicável aos planos de saúde, salvo autogestão (</w:t>
      </w:r>
      <w:r>
        <w:rPr>
          <w:bCs/>
          <w:b/>
        </w:rPr>
        <w:t xml:space="preserve">Súmula 608/STJ — sentido correto: aplicação do CDC, exceto entidades de autogestão</w:t>
      </w:r>
      <w:r>
        <w:t xml:space="preserve">); reajuste por faixa etária:</w:t>
      </w:r>
      <w:r>
        <w:t xml:space="preserve"> </w:t>
      </w:r>
      <w:r>
        <w:rPr>
          <w:bCs/>
          <w:b/>
        </w:rPr>
        <w:t xml:space="preserve">Tema 952/STJ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Jurisprudência</w:t>
      </w:r>
      <w:r>
        <w:t xml:space="preserve">:</w:t>
      </w:r>
      <w:r>
        <w:t xml:space="preserve"> </w:t>
      </w:r>
      <w:r>
        <w:rPr>
          <w:bCs/>
          <w:b/>
        </w:rPr>
        <w:t xml:space="preserve">Rol da ANS — taxatividade mitigada: EREsp 1.886.929 e 1.887.704/STJ (2022) e Lei 14.454/2022</w:t>
      </w:r>
      <w:r>
        <w:t xml:space="preserve"> </w:t>
      </w:r>
      <w:r>
        <w:t xml:space="preserve">(rol passou a ser referência, admitidas coberturas fora dele);</w:t>
      </w:r>
      <w:r>
        <w:t xml:space="preserve"> </w:t>
      </w:r>
      <w:r>
        <w:rPr>
          <w:bCs/>
          <w:b/>
        </w:rPr>
        <w:t xml:space="preserve">Tema 1.061/STJ</w:t>
      </w:r>
      <w:r>
        <w:t xml:space="preserve"> </w:t>
      </w:r>
      <w:r>
        <w:t xml:space="preserve">(cobertura de medicamento não rolado — pressupostos cumulativos); Súmula 102/TJSP e padrões locais de reajuste abusivo (faixa etária — art. 15, §1º); cobertura de tratamento domiciliar; doença preexistente (CPT — Súmula 609/STJ); tutelas de urgência em saúde (probabilidade + perigo — jurisprudência de urgência).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Estudo de casos</w:t>
      </w:r>
      <w:r>
        <w:t xml:space="preserve">: leitura de negativa administrativa (razão técnica × rol); contrato e carências; verificação de urgência clínica para recomendação de liminar (sempre com escalonamento humano); análise de reajuste histórico da mensalidade.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Produtos</w:t>
      </w:r>
      <w:r>
        <w:t xml:space="preserve">: parecer com matriz de risco (alta complexidade → handoff), linha do tempo clínico-administrativa.</w:t>
      </w:r>
    </w:p>
    <w:bookmarkEnd w:id="41"/>
    <w:bookmarkStart w:id="42" w:name="agente-19-e-commerce-e-compras-online"/>
    <w:p>
      <w:pPr>
        <w:pStyle w:val="Heading3"/>
      </w:pPr>
      <w:r>
        <w:t xml:space="preserve">Agente 19 — E-commerce e Compras Online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Normativo</w:t>
      </w:r>
      <w:r>
        <w:t xml:space="preserve">: CDC art. 49 (arrependimento 7 dias); Decreto 7.962/2013 (e-commerce); Lei 14.870/2024 (responsabilidade de marketplaces); Marco Civil da Internet arts. 18–19 no nível de responsabilidade de plataforma.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Jurisprudência</w:t>
      </w:r>
      <w:r>
        <w:t xml:space="preserve">: responsabilidade do marketplace por vendedor terceiro (padrão STJ recente); estorno/chargeback; não entrega (dano moral por quebra de confiança — padrões por tribunal); golpes em plataformas (falso anúncio — nexo com plataforma); negativação por dívida de terceiro/conta fraudada: dano moral conforme jurisprudência (Súmula 385/STJ</w:t>
      </w:r>
      <w:r>
        <w:t xml:space="preserve"> </w:t>
      </w:r>
      <w:r>
        <w:rPr>
          <w:bCs/>
          <w:b/>
        </w:rPr>
        <w:t xml:space="preserve">não se aplica</w:t>
      </w:r>
      <w:r>
        <w:t xml:space="preserve"> </w:t>
      </w:r>
      <w:r>
        <w:t xml:space="preserve">quando não há inscrição legítima preexistente — ver sentido correto da súmula no Agente 15).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Estudo de casos</w:t>
      </w:r>
      <w:r>
        <w:t xml:space="preserve">: reconstrução do funil de compra (anúncio, pagamento, rastreio, tentativas de contato); identificação do polo correto (loja, marketplace, transportadora, gateway de pagamento).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Produtos</w:t>
      </w:r>
      <w:r>
        <w:t xml:space="preserve">: mapa de polos demandados + tese de responsabilidade por polo.</w:t>
      </w:r>
    </w:p>
    <w:bookmarkEnd w:id="42"/>
    <w:bookmarkStart w:id="43" w:name="agente-20-imobiliário-do-consumidor"/>
    <w:p>
      <w:pPr>
        <w:pStyle w:val="Heading3"/>
      </w:pPr>
      <w:r>
        <w:t xml:space="preserve">Agente 20 — Imobiliário do Consumidor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Normativo</w:t>
      </w:r>
      <w:r>
        <w:t xml:space="preserve">: Lei 4.591/64 (incorporação); Lei 13.786/2018 (distrato — multa e devolução); CDC aplicável à construção/incorporação (jurisprudência consolidada; referência de súmula</w:t>
      </w:r>
      <w:r>
        <w:t xml:space="preserve"> </w:t>
      </w:r>
      <w:r>
        <w:rPr>
          <w:bCs/>
          <w:b/>
        </w:rPr>
        <w:t xml:space="preserve">em verificação na auditoria da base validada</w:t>
      </w:r>
      <w:r>
        <w:t xml:space="preserve">); CC arts. 1.245, 618 (garantia quinquenal da solidez/segurança).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Jurisprudência</w:t>
      </w:r>
      <w:r>
        <w:t xml:space="preserve">:</w:t>
      </w:r>
      <w:r>
        <w:t xml:space="preserve"> </w:t>
      </w:r>
      <w:r>
        <w:rPr>
          <w:bCs/>
          <w:b/>
        </w:rPr>
        <w:t xml:space="preserve">Tema 971/STJ</w:t>
      </w:r>
      <w:r>
        <w:t xml:space="preserve"> </w:t>
      </w:r>
      <w:r>
        <w:t xml:space="preserve">(devolução em caso de distrato — percentuais por fase da obra); atraso de entrega — dano moral por frustração de expectativa (padrão STJ); aluguel presumido durante atraso; garantia decenal/quinquenal de vícios estruturais (art. 618 CC); taxa de corretagem e comissão (</w:t>
      </w:r>
      <w:r>
        <w:rPr>
          <w:bCs/>
          <w:b/>
        </w:rPr>
        <w:t xml:space="preserve">Tema 938/STJ</w:t>
      </w:r>
      <w:r>
        <w:t xml:space="preserve"> </w:t>
      </w:r>
      <w:r>
        <w:t xml:space="preserve">— transferência válida se preço total informado com corretagem destacada; taxa SATI abusiva; prescrição trienal) e prescrição decadencial do distrato (</w:t>
      </w:r>
      <w:r>
        <w:rPr>
          <w:bCs/>
          <w:b/>
        </w:rPr>
        <w:t xml:space="preserve">Tema 1.099/STJ</w:t>
      </w:r>
      <w:r>
        <w:t xml:space="preserve"> </w:t>
      </w:r>
      <w:r>
        <w:t xml:space="preserve">— dez anos contra construtora por resolução por culpa).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Estudo de casos</w:t>
      </w:r>
      <w:r>
        <w:t xml:space="preserve">: leitura de memorial de incorporação e contrato de promessa; apuração do cronograma de obra; confronto promessa × entrega (áreas, acabamentos).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Produtos</w:t>
      </w:r>
      <w:r>
        <w:t xml:space="preserve">: cálculo de valores devolvidos conforme Tema 971 + tese.</w:t>
      </w:r>
    </w:p>
    <w:bookmarkEnd w:id="43"/>
    <w:bookmarkStart w:id="44" w:name="agente-21-veículos"/>
    <w:p>
      <w:pPr>
        <w:pStyle w:val="Heading3"/>
      </w:pPr>
      <w:r>
        <w:t xml:space="preserve">Agente 21 — Veículos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Normativo</w:t>
      </w:r>
      <w:r>
        <w:t xml:space="preserve">: CDC (vício oculto; prazo decadencial — art. 26, II); CTB (transferência — arts. 123, 134); recall (CDC art. 10; regulamentação específica</w:t>
      </w:r>
      <w:r>
        <w:t xml:space="preserve"> </w:t>
      </w:r>
      <w:r>
        <w:rPr>
          <w:bCs/>
          <w:b/>
        </w:rPr>
        <w:t xml:space="preserve">em verificação na auditoria da base validada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Jurisprudência</w:t>
      </w:r>
      <w:r>
        <w:t xml:space="preserve">: vício oculto em seminovo (presunção — jurisprudência STJ e TJs); prazo decadencial contado da evidenciação do vício (jurisprudência consolidada; referência de súmula</w:t>
      </w:r>
      <w:r>
        <w:t xml:space="preserve"> </w:t>
      </w:r>
      <w:r>
        <w:rPr>
          <w:bCs/>
          <w:b/>
        </w:rPr>
        <w:t xml:space="preserve">em verificação na auditoria da base validada</w:t>
      </w:r>
      <w:r>
        <w:t xml:space="preserve">); venda sem transferência — responsabilidade do ex-proprietário por multas (registro como requisito); concessionária × montadora (cadeia — art. 13 CDC).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Estudo de casos</w:t>
      </w:r>
      <w:r>
        <w:t xml:space="preserve">: laudo mecânico (leitura e flag de necessidade de perícia); histórico de revisões; comunicação ao DETRAN e prova de entrega de documentos.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Produtos</w:t>
      </w:r>
      <w:r>
        <w:t xml:space="preserve">: parecer + flag de necessidade pericial (→ handoff).</w:t>
      </w:r>
    </w:p>
    <w:bookmarkEnd w:id="44"/>
    <w:bookmarkStart w:id="45" w:name="agente-22-educação"/>
    <w:p>
      <w:pPr>
        <w:pStyle w:val="Heading3"/>
      </w:pPr>
      <w:r>
        <w:t xml:space="preserve">Agente 22 — Educação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Normativo</w:t>
      </w:r>
      <w:r>
        <w:t xml:space="preserve">: CDC; LDB no nível de contrato educacional; art. 44 CDC (práticas comerciais); normas MEC sobre cancelamento de matrícula.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Jurisprudência</w:t>
      </w:r>
      <w:r>
        <w:t xml:space="preserve">: multa de cancelamento de matrícula (patamares razoáveis — padrão TJSP/STJ); cobrança de semestre inteiro após trancamento; propaganda enganosa (mercado de trabalho prometido); negativa de certificado por inadimplemento (vedada retenção — diploma pode ser retido? Jurisprudência contrária à retenção); rematrícula condicionada a quitação (prática abusiva — jurisprudência consolidada; referência de súmula</w:t>
      </w:r>
      <w:r>
        <w:t xml:space="preserve"> </w:t>
      </w:r>
      <w:r>
        <w:rPr>
          <w:bCs/>
          <w:b/>
        </w:rPr>
        <w:t xml:space="preserve">em verificação na auditoria da base validada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Estudo de casos</w:t>
      </w:r>
      <w:r>
        <w:t xml:space="preserve">: contrato de prestação de serviço educacional; comprovação de aviso de desistência; cálculo de proporcionalidade.</w:t>
      </w:r>
    </w:p>
    <w:bookmarkEnd w:id="45"/>
    <w:bookmarkStart w:id="46" w:name="Xe1abd81557a442d010969896742c4455b27384a"/>
    <w:p>
      <w:pPr>
        <w:pStyle w:val="Heading3"/>
      </w:pPr>
      <w:r>
        <w:t xml:space="preserve">Agente 23 — Dano Moral Consumerista (Cálculo)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Habilidade central</w:t>
      </w:r>
      <w:r>
        <w:t xml:space="preserve">:</w:t>
      </w:r>
      <w:r>
        <w:t xml:space="preserve"> </w:t>
      </w:r>
      <w:r>
        <w:rPr>
          <w:bCs/>
          <w:b/>
        </w:rPr>
        <w:t xml:space="preserve">banco de parâmetros jurisprudenciais quantificados</w:t>
      </w:r>
      <w:r>
        <w:t xml:space="preserve"> </w:t>
      </w:r>
      <w:r>
        <w:t xml:space="preserve">— por tribunal (STJ, TJSP e demais TJs), por tipo de evento (negativação, voo, corte de serviço essencial, fraude bancária, vazamento de dados), com faixa de valores usual, data de atualização e precedente-âncora (REsp com valor fixado).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Critérios</w:t>
      </w:r>
      <w:r>
        <w:t xml:space="preserve">: razoabilidade/proporcionalidade; efeito pedagógico sem enriquecimento sem causa; porte econômico do réu como modulador; dano moral in re ipsa (jurisprudência STJ por hipótese: corte indevido de serviço essencial, negativação indevida —</w:t>
      </w:r>
      <w:r>
        <w:t xml:space="preserve"> </w:t>
      </w:r>
      <w:r>
        <w:rPr>
          <w:bCs/>
          <w:b/>
        </w:rPr>
        <w:t xml:space="preserve">atenção: Súmula 302/STJ trata de plano de saúde/internação e Súmula 385/STJ AFASTA dano moral com inscrição preexistente legítima — não usar como fundamento; referências corretas definidas na auditoria da base validada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Estudo de casos</w:t>
      </w:r>
      <w:r>
        <w:t xml:space="preserve">: busca comparativa de casos paradigmas com fatos análogos no tribunal competente; ajuste por circunstâncias agravantes/atenuantes.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Produto</w:t>
      </w:r>
      <w:r>
        <w:t xml:space="preserve">: parecer quantificador com faixa mínima/máxima e fundamentação em precedentes verificáveis.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parte-iv-áreas-cíveis-e-conexas"/>
    <w:p>
      <w:pPr>
        <w:pStyle w:val="Heading2"/>
      </w:pPr>
      <w:r>
        <w:t xml:space="preserve">PARTE IV — Áreas Cíveis e Conexas</w:t>
      </w:r>
    </w:p>
    <w:bookmarkStart w:id="48" w:name="agente-24-civil-geral-e-contratos"/>
    <w:p>
      <w:pPr>
        <w:pStyle w:val="Heading3"/>
      </w:pPr>
      <w:r>
        <w:t xml:space="preserve">Agente 24 — Civil Geral e Contratos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Normativo</w:t>
      </w:r>
      <w:r>
        <w:t xml:space="preserve">: CC/2002 (obrigações, contratos, responsabilidade civil arts. 186, 927); teoria da imprevisão (art. 317); enriquecimento sem causa.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Jurisprudência</w:t>
      </w:r>
      <w:r>
        <w:t xml:space="preserve">: boa-fé objetiva e função social do contrato (arts. 421, 422); deveres anexos; resolução por inadimplemento (art. 475); cláusula geral de indenização; teoria dos atos próprios (</w:t>
      </w:r>
      <w:r>
        <w:rPr>
          <w:iCs/>
          <w:i/>
        </w:rPr>
        <w:t xml:space="preserve">venire contra factum proprium</w:t>
      </w:r>
      <w:r>
        <w:t xml:space="preserve"> </w:t>
      </w:r>
      <w:r>
        <w:t xml:space="preserve">— construção doutrinária/jurisprudencial; referência de RE</w:t>
      </w:r>
      <w:r>
        <w:t xml:space="preserve"> </w:t>
      </w:r>
      <w:r>
        <w:rPr>
          <w:bCs/>
          <w:b/>
        </w:rPr>
        <w:t xml:space="preserve">em verificação na auditoria da base validada</w:t>
      </w:r>
      <w:r>
        <w:t xml:space="preserve">); distinção negócio inexistente × anulável × nulo (incluindo regime do CC/1916 para fatos pretéritos).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Estudo de casos</w:t>
      </w:r>
      <w:r>
        <w:t xml:space="preserve">: leitura estrutural de contrato (partes, objeto, obrigações, cláusulas resolutivas); reconstrução do inadimplemento; apuração de danos emergentes e lucros cessantes.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Produtos</w:t>
      </w:r>
      <w:r>
        <w:t xml:space="preserve">: parecer de viabilidade + tese contratual principal/subsidiária.</w:t>
      </w:r>
    </w:p>
    <w:bookmarkEnd w:id="48"/>
    <w:bookmarkStart w:id="49" w:name="X2429fb5fbe293aceab2e59eb892a8ff783f8134"/>
    <w:p>
      <w:pPr>
        <w:pStyle w:val="Heading3"/>
      </w:pPr>
      <w:r>
        <w:t xml:space="preserve">Agente 50 — Direito Condominial e Convivência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atender questões de convivência condominial — com foco em</w:t>
      </w:r>
      <w:r>
        <w:t xml:space="preserve"> </w:t>
      </w:r>
      <w:r>
        <w:rPr>
          <w:bCs/>
          <w:b/>
        </w:rPr>
        <w:t xml:space="preserve">barulho, incômodos e perturbação do sossego</w:t>
      </w:r>
      <w:r>
        <w:t xml:space="preserve"> </w:t>
      </w:r>
      <w:r>
        <w:t xml:space="preserve">— e orientar sobre</w:t>
      </w:r>
      <w:r>
        <w:t xml:space="preserve"> </w:t>
      </w:r>
      <w:r>
        <w:rPr>
          <w:bCs/>
          <w:b/>
        </w:rPr>
        <w:t xml:space="preserve">direitos e deveres dos condôminos e a forma prática de exercê-los</w:t>
      </w:r>
      <w:r>
        <w:t xml:space="preserve">, do registro da ocorrência à via judicial.</w:t>
      </w:r>
    </w:p>
    <w:p>
      <w:pPr>
        <w:pStyle w:val="BodyText"/>
      </w:pPr>
      <w:r>
        <w:rPr>
          <w:bCs/>
          <w:b/>
        </w:rPr>
        <w:t xml:space="preserve">Habilidades jurídicas: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Normativo:</w:t>
      </w:r>
      <w:r>
        <w:t xml:space="preserve"> </w:t>
      </w:r>
      <w:r>
        <w:t xml:space="preserve">CC arts. 1.277 (perturbação do sossego — direito de vizinhança), 1.331–1.358 (condomínio: deveres do condômino, arts. 1.332–1.336 — advertência, multa, multa até 10x para reiteração); convenção e regimento interno do condomínio; NBR 10.151/10.152 (níveis de ruído) como parâmetro técnico; legislação municipal de ruído quando aplicável.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Jurisprudência:</w:t>
      </w:r>
      <w:r>
        <w:t xml:space="preserve"> </w:t>
      </w:r>
      <w:r>
        <w:t xml:space="preserve">dano moral por perturbação reiterada do sossego (padrão dos TJs — exigência de prova da reiteração/intensidade); dever do condomínio de fiscalizar e aplicar sanções (responsabilidade por omissão); infiltrações entre unidades (presunção de origem e dever de reparo); validade de multas condominiais (previsão em convenção/regimento + devido processo condominial: notificação prévia e direito de defesa — jurisprudência de anulação de multas irregulares).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Direitos do condômino e forma de exercê-los (núcleo prático):</w:t>
      </w:r>
      <w:r>
        <w:t xml:space="preserve"> </w:t>
      </w:r>
      <w:r>
        <w:t xml:space="preserve">acesso a atas, prestações de contas e documentos (como requerer formalmente); convocação de assembleia (quóruns de 1/4 dos condôminos — art. 1.350, parágrafo único); participação e voto; impugnação de decisões assembleares abusivas; uso das áreas comuns; defesa contra advertência/multa (notificação, prazo de defesa, recurso à assembleia).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Roteiro escalonado de atuação (produto central):</w:t>
      </w:r>
      <w:r>
        <w:t xml:space="preserve"> </w:t>
      </w:r>
      <w:r>
        <w:t xml:space="preserve">o agente conduz o usuário pela escada de solução, gerando o documento de cada etapa e indicando quando escalar: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Registro da ocorrência</w:t>
      </w:r>
      <w:r>
        <w:t xml:space="preserve"> </w:t>
      </w:r>
      <w:r>
        <w:t xml:space="preserve">— como documentar com segurança jurídica: data, horário, duração, gravações de áudio/vídeo (orientação sobre limites legais — gravação de conversa da qual se é parte/interlocutor ambiental), testemunhas, decibelímetro/apps como indício, boletins de ocorrência quando cabível;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Notificação amigável</w:t>
      </w:r>
      <w:r>
        <w:t xml:space="preserve"> </w:t>
      </w:r>
      <w:r>
        <w:t xml:space="preserve">ao vizinho (minuta gerada, sem citações, linguagem simples);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Reclamação formal ao síndico/administradora</w:t>
      </w:r>
      <w:r>
        <w:t xml:space="preserve"> </w:t>
      </w:r>
      <w:r>
        <w:t xml:space="preserve">com protocolo e pedido de providências (minuta);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Requerimento de advertência/multa condominial</w:t>
      </w:r>
      <w:r>
        <w:t xml:space="preserve"> </w:t>
      </w:r>
      <w:r>
        <w:t xml:space="preserve">e, se necessário,</w:t>
      </w:r>
      <w:r>
        <w:t xml:space="preserve"> </w:t>
      </w:r>
      <w:r>
        <w:rPr>
          <w:bCs/>
          <w:b/>
        </w:rPr>
        <w:t xml:space="preserve">pedido de assembleia</w:t>
      </w:r>
      <w:r>
        <w:t xml:space="preserve"> </w:t>
      </w:r>
      <w:r>
        <w:t xml:space="preserve">(minuta com quórum);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Defesa do condômino notificado</w:t>
      </w:r>
      <w:r>
        <w:t xml:space="preserve"> </w:t>
      </w:r>
      <w:r>
        <w:t xml:space="preserve">(lado passivo): resposta à advertência, recurso à assembleia, contestação de multa irregular (ausência de previsão, falta de defesa prévia);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Via judicial (JEC):</w:t>
      </w:r>
      <w:r>
        <w:t xml:space="preserve"> </w:t>
      </w:r>
      <w:r>
        <w:t xml:space="preserve">ação de obrigação de fazer/não fazer (cessar o barulho) + danos morais, com o Copiloto 32 — matriz fato × prova construída nas etapas anteriores vira a base probatória.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Estudo de casos:</w:t>
      </w:r>
      <w:r>
        <w:t xml:space="preserve"> </w:t>
      </w:r>
      <w:r>
        <w:t xml:space="preserve">reconstrução da cronologia de ocorrências; avaliação da suficiência probatória para dano moral (reiteração × incidente isolado); análise da convenção e do regimento interno enviados (cláusulas de conduta, horários de obra/silêncio, multas previstas).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Fronteiras:</w:t>
      </w:r>
      <w:r>
        <w:t xml:space="preserve"> </w:t>
      </w:r>
      <w:r>
        <w:t xml:space="preserve">conflitos com cobrança de taxas/assembleias patrimoniais → Agente 25; disputa locatícia → 25; contrato de administradora → 46. Não fala com o vizinho ou síndico — orienta apenas o usuário.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plano escalonado personalizado; minutas de notificação, reclamação ao síndico, requerimento de assembleia, defesa contra multa; dossiê probatório organizado para eventual JEC; orientações em texto simples + áudio podcast.</w:t>
      </w:r>
    </w:p>
    <w:bookmarkEnd w:id="49"/>
    <w:bookmarkStart w:id="50" w:name="agente-25-locações-e-condomínio"/>
    <w:p>
      <w:pPr>
        <w:pStyle w:val="Heading3"/>
      </w:pPr>
      <w:r>
        <w:t xml:space="preserve">Agente 25 — Locações e Condomínio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Normativo</w:t>
      </w:r>
      <w:r>
        <w:t xml:space="preserve">: Lei 8.245/91 (locações); CC arts. 1.331–1.358 (condomínio).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Jurisprudência</w:t>
      </w:r>
      <w:r>
        <w:t xml:space="preserve">: despejo por falta de pagamento e purgação (art. 62, II); revisão de aluguel; garantias (caução, fiador); devolução de caução; vícios no imóvel (dever do locador); multas condominiais abusivas e defesa em assembleia; quóruns.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Estudo de casos</w:t>
      </w:r>
      <w:r>
        <w:t xml:space="preserve">: contrato de locação + comprovantes; ata de assembleia e convenção condominial; cálculo de débito locatício.</w:t>
      </w:r>
    </w:p>
    <w:bookmarkEnd w:id="50"/>
    <w:bookmarkStart w:id="51" w:name="agente-26-trabalhista-empregado"/>
    <w:p>
      <w:pPr>
        <w:pStyle w:val="Heading3"/>
      </w:pPr>
      <w:r>
        <w:t xml:space="preserve">Agente 26 — Trabalhista (empregado)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Normativo</w:t>
      </w:r>
      <w:r>
        <w:t xml:space="preserve">: CLT; Reforma trabalhista (Lei 13.467/17) com controle temporal; Súmulas e OJs do TST.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Jurisprudência</w:t>
      </w:r>
      <w:r>
        <w:t xml:space="preserve">: vínculo empregatício (requisitos art. 3º); horas extras (Súmula 338/TST — jornada); assédio moral (caracterização); equiparação; adicionais de insalubridade/periculosidade (flag pericial); prescrição quinquenal e decadência bienal; justa causa invertida.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Estudo de casos</w:t>
      </w:r>
      <w:r>
        <w:t xml:space="preserve">: carteira de trabalho, contracheques, cartões de ponto; reconstrução de jornada; cálculo de verbas rescisórias.</w:t>
      </w:r>
    </w:p>
    <w:bookmarkEnd w:id="51"/>
    <w:bookmarkStart w:id="52" w:name="agente-27-previdenciário"/>
    <w:p>
      <w:pPr>
        <w:pStyle w:val="Heading3"/>
      </w:pPr>
      <w:r>
        <w:t xml:space="preserve">Agente 27 — Previdenciário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Normativo</w:t>
      </w:r>
      <w:r>
        <w:t xml:space="preserve">: Lei 8.213/91, Lei 8.742/93 (BPC), EC 103/2019 (reforma — regras de transição), regulamentos INSS.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Jurisprudência</w:t>
      </w:r>
      <w:r>
        <w:t xml:space="preserve">:</w:t>
      </w:r>
      <w:r>
        <w:t xml:space="preserve"> </w:t>
      </w:r>
      <w:r>
        <w:rPr>
          <w:bCs/>
          <w:b/>
        </w:rPr>
        <w:t xml:space="preserve">Repetitivos previdenciários (referências atualizadas na auditoria da base validada)</w:t>
      </w:r>
      <w:r>
        <w:t xml:space="preserve"> </w:t>
      </w:r>
      <w:r>
        <w:t xml:space="preserve">— revisão da vida toda: tese</w:t>
      </w:r>
      <w:r>
        <w:t xml:space="preserve"> </w:t>
      </w:r>
      <w:r>
        <w:rPr>
          <w:bCs/>
          <w:b/>
        </w:rPr>
        <w:t xml:space="preserve">rejeitada pelo STF em 2024</w:t>
      </w:r>
      <w:r>
        <w:t xml:space="preserve"> </w:t>
      </w:r>
      <w:r>
        <w:t xml:space="preserve">(Tema 1.102/STF); Temas de BPC/miserabilidade; tempo especial (conversão); prova rural; carência e qualidade de segurado.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Estudo de casos</w:t>
      </w:r>
      <w:r>
        <w:t xml:space="preserve">: CNIS (leitura de extrato de contribuições), cartas de indeferimento, laudos médicos; simulação de regras de transição.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Produtos</w:t>
      </w:r>
      <w:r>
        <w:t xml:space="preserve">: parecer de elegibilidade + memória de tempo de contribuição.</w:t>
      </w:r>
    </w:p>
    <w:bookmarkEnd w:id="52"/>
    <w:bookmarkStart w:id="53" w:name="agente-28-tributário-do-cidadão"/>
    <w:p>
      <w:pPr>
        <w:pStyle w:val="Heading3"/>
      </w:pPr>
      <w:r>
        <w:t xml:space="preserve">Agente 28 — Tributário do Cidadão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Normativo</w:t>
      </w:r>
      <w:r>
        <w:t xml:space="preserve">: CTN; leis estaduais/municipais de IPTU/IPVA; legislação IR.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Jurisprudência</w:t>
      </w:r>
      <w:r>
        <w:t xml:space="preserve">: isenção IPTU aposentado (requisitos de renda e imóvel único — legislação municipal); IPVA PCD (isenções estaduais); prescrição e decadência tributária (arts. 168, 173, 174 CTN); repetição de indébito.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Estudo de casos</w:t>
      </w:r>
      <w:r>
        <w:t xml:space="preserve">: carnês, certidões de débito, notificações de lançamento; verificação de requisitos de isenção.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Nota</w:t>
      </w:r>
      <w:r>
        <w:t xml:space="preserve">: complexidade alta → handoff humano como regra.</w:t>
      </w:r>
    </w:p>
    <w:bookmarkEnd w:id="53"/>
    <w:bookmarkStart w:id="54" w:name="agente-29-seguros"/>
    <w:p>
      <w:pPr>
        <w:pStyle w:val="Heading3"/>
      </w:pPr>
      <w:r>
        <w:t xml:space="preserve">Agente 29 — Seguros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Normativo</w:t>
      </w:r>
      <w:r>
        <w:t xml:space="preserve">: CC arts. 757–802 (contrato de seguro); SUSEP circulares; CDC aplicável.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Jurisprudência</w:t>
      </w:r>
      <w:r>
        <w:t xml:space="preserve">: doença preexistente/CPT (</w:t>
      </w:r>
      <w:r>
        <w:rPr>
          <w:bCs/>
          <w:b/>
        </w:rPr>
        <w:t xml:space="preserve">Súmula 609/STJ</w:t>
      </w:r>
      <w:r>
        <w:t xml:space="preserve"> </w:t>
      </w:r>
      <w:r>
        <w:t xml:space="preserve">— recusa ilícita sem exames prévios ou sem má-fé do segurado);</w:t>
      </w:r>
      <w:r>
        <w:t xml:space="preserve"> </w:t>
      </w:r>
      <w:r>
        <w:rPr>
          <w:bCs/>
          <w:b/>
        </w:rPr>
        <w:t xml:space="preserve">Súmula 616/STJ — sentido correto: seguradora não pode negar pagamento por mora no prêmio sem prévia interpelação</w:t>
      </w:r>
      <w:r>
        <w:t xml:space="preserve">;</w:t>
      </w:r>
      <w:r>
        <w:t xml:space="preserve"> </w:t>
      </w:r>
      <w:r>
        <w:rPr>
          <w:bCs/>
          <w:b/>
        </w:rPr>
        <w:t xml:space="preserve">Súmula 617/STJ</w:t>
      </w:r>
      <w:r>
        <w:t xml:space="preserve">; negativa de sinistro; agravamento de risco; cobertura e exclusões — interpretação favorável ao segurado (</w:t>
      </w:r>
      <w:r>
        <w:rPr>
          <w:iCs/>
          <w:i/>
        </w:rPr>
        <w:t xml:space="preserve">contra proferentem</w:t>
      </w:r>
      <w:r>
        <w:t xml:space="preserve">); DPVAT histórico e DPSAT.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Estudo de casos</w:t>
      </w:r>
      <w:r>
        <w:t xml:space="preserve">: apólice (coberturas × exclusões), carta de negativa de sinistro, boletim de ocorrência; linha do tempo do evento segurado.</w:t>
      </w:r>
    </w:p>
    <w:bookmarkEnd w:id="54"/>
    <w:bookmarkStart w:id="55" w:name="X613c05b5f18fa7925ed11bdfaafd48b67e46267"/>
    <w:p>
      <w:pPr>
        <w:pStyle w:val="Heading3"/>
      </w:pPr>
      <w:r>
        <w:t xml:space="preserve">Agente 30 — Responsabilidade Civil e Acidentes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Normativo</w:t>
      </w:r>
      <w:r>
        <w:t xml:space="preserve">: CC arts. 186, 927, 929–930, 932–934 (responsabilidade por fato de terceiro), 944 (quantificação).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Jurisprudência</w:t>
      </w:r>
      <w:r>
        <w:t xml:space="preserve">: responsabilidade objetiva por risco da atividade (estabelecimentos comerciais — queda em supermercado); responsabilidade de escolas (dever de vigilância — jurisprudência consolidada); acidentes de trânsito (culpa recíproca — mitigação); dano moral em lesão corporal e estética.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Estudo de casos</w:t>
      </w:r>
      <w:r>
        <w:t xml:space="preserve">: boletins, laudos, imagens; nexo causal; apuração de dano emergente (despesas médicas) e lucro cessante (afastamento do trabalho).</w:t>
      </w:r>
    </w:p>
    <w:bookmarkEnd w:id="55"/>
    <w:bookmarkStart w:id="56" w:name="Xd6e9739fd38e3e42c034cd216d5392cfa33d74e"/>
    <w:p>
      <w:pPr>
        <w:pStyle w:val="Heading3"/>
      </w:pPr>
      <w:r>
        <w:t xml:space="preserve">Agente 31 — Proteção de Dados e Digital (LGPD)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Normativo</w:t>
      </w:r>
      <w:r>
        <w:t xml:space="preserve">: LGPD integral; Marco Civil da Internet; CDC digital; regulações ANPD.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Jurisprudência</w:t>
      </w:r>
      <w:r>
        <w:t xml:space="preserve">:</w:t>
      </w:r>
      <w:r>
        <w:t xml:space="preserve"> </w:t>
      </w:r>
      <w:r>
        <w:rPr>
          <w:bCs/>
          <w:b/>
        </w:rPr>
        <w:t xml:space="preserve">vazamento de dados — estado atual da jurisprudência STJ: vazamento de dados COMUNS não gera, por si só, dano moral presumido (ex.: AREsp 2.130.619/SP); vazamento de dados SENSÍVEIS gera dano moral in re ipsa (ex.: REsp 2.121.904/SP)</w:t>
      </w:r>
      <w:r>
        <w:t xml:space="preserve"> </w:t>
      </w:r>
      <w:r>
        <w:t xml:space="preserve">— tese defensiva e ofensiva devem partir dessa distinção; jurisprudência de uso indevido de imagem (CC art. 20); exclusão de contas e direito ao esquecimento; golpes digitais e responsabilidade de plataformas.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Estudo de casos</w:t>
      </w:r>
      <w:r>
        <w:t xml:space="preserve">: mapeamento do fluxo de dados no incidente; prova do vazamento (notificações, bases expostas); identificação do controlador/operador.</w:t>
      </w:r>
    </w:p>
    <w:bookmarkEnd w:id="56"/>
    <w:bookmarkStart w:id="57" w:name="X8a33b1a921e88643349947077971950721f26cf"/>
    <w:p>
      <w:pPr>
        <w:pStyle w:val="Heading3"/>
      </w:pPr>
      <w:r>
        <w:t xml:space="preserve">Agente 32 — Copiloto JEC (ação pela própria parte, acompanhada pela ferramenta)</w:t>
      </w:r>
    </w:p>
    <w:p>
      <w:pPr>
        <w:pStyle w:val="FirstParagraph"/>
      </w:pPr>
      <w:r>
        <w:rPr>
          <w:bCs/>
          <w:b/>
        </w:rPr>
        <w:t xml:space="preserve">Premissa estrutural:</w:t>
      </w:r>
      <w:r>
        <w:t xml:space="preserve"> </w:t>
      </w:r>
      <w:r>
        <w:t xml:space="preserve">no Juizado Especial, o usuário é o</w:t>
      </w:r>
      <w:r>
        <w:t xml:space="preserve"> </w:t>
      </w:r>
      <w:r>
        <w:rPr>
          <w:bCs/>
          <w:b/>
        </w:rPr>
        <w:t xml:space="preserve">autor em nome próprio</w:t>
      </w:r>
      <w:r>
        <w:t xml:space="preserve"> </w:t>
      </w:r>
      <w:r>
        <w:t xml:space="preserve">(art. 9º, Lei 9.099/95 — causas até 20 SM dispensam advogado). A ferramenta atua como</w:t>
      </w:r>
      <w:r>
        <w:t xml:space="preserve"> </w:t>
      </w:r>
      <w:r>
        <w:rPr>
          <w:bCs/>
          <w:b/>
        </w:rPr>
        <w:t xml:space="preserve">copiloto</w:t>
      </w:r>
      <w:r>
        <w:t xml:space="preserve">: prepara, guia e acompanha, mas a parte executa pessoalmente cada ato (protocolo, audiência, juntada).</w:t>
      </w:r>
    </w:p>
    <w:p>
      <w:pPr>
        <w:pStyle w:val="BodyText"/>
      </w:pPr>
      <w:r>
        <w:rPr>
          <w:bCs/>
          <w:b/>
        </w:rPr>
        <w:t xml:space="preserve">Habilidades jurídicas: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Normativo</w:t>
      </w:r>
      <w:r>
        <w:t xml:space="preserve">: Lei 9.099/95 integral (arts. 9º — dispensa de advogado; 18 — pedido inicial; 20 — requisitos; 22–23 — conciliação; 41 — recurso inominado com advogado obrigatório; 55 — isenção de custas em 1º grau); CPC correlatos; Resoluções CNJ sobre JEC; regras do tribunal local (pJe/JEC digital do estado do usuário).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Jurisprudência</w:t>
      </w:r>
      <w:r>
        <w:t xml:space="preserve">: limites materiais (causas excluídas do JEC); teto de 20 SM e contagem do valor da causa; vedada assistência de advogado em nome próprio × procuração; padrão das turmas recursais locais (para prognóstico realista, ainda que o recurso exija advogado).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Estudo de casos e acompanhamento processual assistido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Triagem de elegibilidade</w:t>
      </w:r>
      <w:r>
        <w:t xml:space="preserve">: matéria, valor, pessoa física, foro competente (domicílio do usuário — art. 101, I, CDC).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Geração assistida do pedido inicial</w:t>
      </w:r>
      <w:r>
        <w:t xml:space="preserve">: rascunho de petição em linguagem adequada ao JEC, com causa de pedir e pedidos extraídos do parecer do especialista — o usuário</w:t>
      </w:r>
      <w:r>
        <w:t xml:space="preserve"> </w:t>
      </w:r>
      <w:r>
        <w:rPr>
          <w:bCs/>
          <w:b/>
        </w:rPr>
        <w:t xml:space="preserve">revisa, aprova e protocola em nome próprio</w:t>
      </w:r>
      <w:r>
        <w:t xml:space="preserve"> </w:t>
      </w:r>
      <w:r>
        <w:t xml:space="preserve">(protocolo digital ou presencial, com passo a passo de como fazê-lo).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Checklist documental dinâmico</w:t>
      </w:r>
      <w:r>
        <w:t xml:space="preserve">: lista de provas exigidas com validação de cada item enviado e instrução de organização (ordem, nomeação de arquivos).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Treinamento para audiência de conciliação</w:t>
      </w:r>
      <w:r>
        <w:t xml:space="preserve">: roteiro de fala, simulação de perguntas do conciliador e da parte contrária, definição prévia de</w:t>
      </w:r>
      <w:r>
        <w:t xml:space="preserve"> </w:t>
      </w:r>
      <w:r>
        <w:rPr>
          <w:bCs/>
          <w:b/>
        </w:rPr>
        <w:t xml:space="preserve">piso e teto de acordo</w:t>
      </w:r>
      <w:r>
        <w:t xml:space="preserve"> </w:t>
      </w:r>
      <w:r>
        <w:t xml:space="preserve">aprovados pelo usuário, orientações de conduta (pontualidade, documentos a levar, o que não dizer).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Preparação para instrução</w:t>
      </w:r>
      <w:r>
        <w:t xml:space="preserve">: organização de provas, preparação de depoimento pessoal, rol de testemunhas.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Tradução de andamento</w:t>
      </w:r>
      <w:r>
        <w:t xml:space="preserve">: usuário encaminha intimações/publicações; o Copiloto lê, explica em linguagem simples e indica o próximo passo e o prazo.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Gestão de prazos do usuário</w:t>
      </w:r>
      <w:r>
        <w:t xml:space="preserve">: alertas de audiências e de atos que só ele pode praticar.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Padrão de redação JEC — peças sem citações e sempre sucintas (regra de padronização):</w:t>
      </w:r>
      <w:r>
        <w:t xml:space="preserve"> </w:t>
      </w:r>
      <w:r>
        <w:t xml:space="preserve">todas as peças entregues ao usuário no JEC seguem o padrão informal do rito:</w:t>
      </w:r>
      <w:r>
        <w:t xml:space="preserve"> </w:t>
      </w:r>
      <w:r>
        <w:rPr>
          <w:bCs/>
          <w:b/>
        </w:rPr>
        <w:t xml:space="preserve">narrativa fática clara, direta e sempre sucinta</w:t>
      </w:r>
      <w:r>
        <w:t xml:space="preserve"> </w:t>
      </w:r>
      <w:r>
        <w:t xml:space="preserve">— menor extensão possível, direta ao ponto, sem repetições ou argumentação redundante —</w:t>
      </w:r>
      <w:r>
        <w:t xml:space="preserve"> </w:t>
      </w:r>
      <w:r>
        <w:rPr>
          <w:bCs/>
          <w:b/>
        </w:rPr>
        <w:t xml:space="preserve">e sem citação de jurisprudência ou legislação</w:t>
      </w:r>
      <w:r>
        <w:t xml:space="preserve">. O fundamento jurídico fica</w:t>
      </w:r>
      <w:r>
        <w:t xml:space="preserve"> </w:t>
      </w:r>
      <w:r>
        <w:rPr>
          <w:bCs/>
          <w:b/>
        </w:rPr>
        <w:t xml:space="preserve">interno</w:t>
      </w:r>
      <w:r>
        <w:t xml:space="preserve"> </w:t>
      </w:r>
      <w:r>
        <w:t xml:space="preserve">(especialistas e Agente 34 o usam para construir e blindar a estratégia), mas não consta da peça. Justificativas: coerência com o rito informal (Lei 9.099/95); peça com erudição forense desmente a atuação em nome próprio perante o juízo; elimina o risco de citação incorreta assinada por leigo; concisão favorece a leitura pelo juiz e a atuação da parte leiga.</w:t>
      </w:r>
      <w:r>
        <w:t xml:space="preserve"> </w:t>
      </w:r>
      <w:r>
        <w:rPr>
          <w:bCs/>
          <w:b/>
        </w:rPr>
        <w:t xml:space="preserve">Controle de qualidade:</w:t>
      </w:r>
      <w:r>
        <w:t xml:space="preserve"> </w:t>
      </w:r>
      <w:r>
        <w:t xml:space="preserve">o Agente 34 verifica a sucinticidade na revisão — peça prolixa retorna para enxugamento antes da liberação.</w:t>
      </w:r>
      <w:r>
        <w:t xml:space="preserve"> </w:t>
      </w:r>
      <w:r>
        <w:rPr>
          <w:bCs/>
          <w:b/>
        </w:rPr>
        <w:t xml:space="preserve">Exceção única (à vedação de citações):</w:t>
      </w:r>
      <w:r>
        <w:t xml:space="preserve"> </w:t>
      </w:r>
      <w:r>
        <w:t xml:space="preserve">determinação judicial expressa de fundamentação — aí a peça é gerada com citações 100% verificadas deterministicamente, mantendo-se sucinta, e o desvio é registrado no case file.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Geração de peças processuais em todo o ciclo do JEC</w:t>
      </w:r>
      <w:r>
        <w:t xml:space="preserve"> </w:t>
      </w:r>
      <w:r>
        <w:t xml:space="preserve">(novo): além da inicial, o Copiloto gera — sempre para revisão e aprovação expressa do usuário, que protocola em nome próprio — manifestações sobre decisões saneadoras, respostas a intimações, pedidos de cumprimento de sentença, impugnações a cálculos e demais peças simplificadas admitidas no rito,</w:t>
      </w:r>
      <w:r>
        <w:t xml:space="preserve"> </w:t>
      </w:r>
      <w:r>
        <w:rPr>
          <w:bCs/>
          <w:b/>
        </w:rPr>
        <w:t xml:space="preserve">todas no padrão sem citações acima</w:t>
      </w:r>
      <w:r>
        <w:t xml:space="preserve">.</w:t>
      </w:r>
      <w:r>
        <w:t xml:space="preserve"> </w:t>
      </w:r>
      <w:r>
        <w:rPr>
          <w:bCs/>
          <w:b/>
        </w:rPr>
        <w:t xml:space="preserve">Recursos exigem advogado — bloqueio duro + handoff obrigatório</w:t>
      </w:r>
      <w:r>
        <w:t xml:space="preserve"> </w:t>
      </w:r>
      <w:r>
        <w:t xml:space="preserve">(art. 41, Lei 9.099/95).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Fronteiras rígidas (guardrails)</w:t>
      </w:r>
      <w:r>
        <w:t xml:space="preserve">: não protocola, não assina, não comparece a audiência, não pratica ato em nome do usuário; causas &gt; 20 SM e recurso inominado (advogado obrigatório — art. 41) são informadas com clareza, cabendo ao usuário prosseguir sozinho onde couber ou aceitar o</w:t>
      </w:r>
      <w:r>
        <w:t xml:space="preserve"> </w:t>
      </w:r>
      <w:r>
        <w:rPr>
          <w:bCs/>
          <w:b/>
        </w:rPr>
        <w:t xml:space="preserve">handoff opcional</w:t>
      </w:r>
      <w:r>
        <w:t xml:space="preserve"> </w:t>
      </w:r>
      <w:r>
        <w:t xml:space="preserve">(Agente 11); toda orientação registra que a decisão final é do usuário (autonomia assistida, nunca representação).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Produtos</w:t>
      </w:r>
      <w:r>
        <w:t xml:space="preserve">: petição inicial JEC e peças subsequentes aprováveis pelo usuário; checklist documental; roteiro de audiência (conciliação e instrução); painel de acompanhamento (integrado ao Agente 33) com tradução de cada ato processual; alertas de prazo; termo de autonomia (ciência de que a parte atua em nome próprio).</w:t>
      </w:r>
    </w:p>
    <w:bookmarkEnd w:id="57"/>
    <w:bookmarkStart w:id="58" w:name="X38d63feb7d80a47b6b999f40ff89fe86d7f2d87"/>
    <w:p>
      <w:pPr>
        <w:pStyle w:val="Heading3"/>
      </w:pPr>
      <w:r>
        <w:t xml:space="preserve">Agente 33 — Monitor Processual (processos judiciais distribuídos)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monitoramento contínuo de todos os processos judiciais distribuídos com origem na plataforma (JEC ou vara cível), com</w:t>
      </w:r>
      <w:r>
        <w:t xml:space="preserve"> </w:t>
      </w:r>
      <w:r>
        <w:rPr>
          <w:bCs/>
          <w:b/>
        </w:rPr>
        <w:t xml:space="preserve">informação proativa de andamento aos usuários pré-determinados</w:t>
      </w:r>
      <w:r>
        <w:t xml:space="preserve"> </w:t>
      </w:r>
      <w:r>
        <w:t xml:space="preserve">cadastrados em cada processo.</w:t>
      </w:r>
    </w:p>
    <w:p>
      <w:pPr>
        <w:pStyle w:val="BodyText"/>
      </w:pPr>
      <w:r>
        <w:rPr>
          <w:bCs/>
          <w:b/>
        </w:rPr>
        <w:t xml:space="preserve">Habilidades jurídicas: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Leitura e classificação de andamentos processuais</w:t>
      </w:r>
      <w:r>
        <w:t xml:space="preserve">: interpreta movimentações dos tribunais (APIs pJe, DataJud/CNJ, consultas públicas dos TJs) e as classifica juridicamente: distribuição, citação, designação de audiência (tipo e finalidade), decisão interlocutória, saneamento, sentença (procedência/parcial/improcedência), recurso interposto pela contraparte, trânsito em julgado, cumprimento de sentença, extinção.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Repertório processual</w:t>
      </w:r>
      <w:r>
        <w:t xml:space="preserve">: CPC e Lei 9.099/95 aplicados à leitura do andamento — sabe o que cada movimentação significa juridicamente e qual é a reação cabível (e se ela exige peça → aciona o Copiloto JEC, Agente 32; ou análise de mérito → devolve ao especialista de origem).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Cálculo de prazos a partir de publicações</w:t>
      </w:r>
      <w:r>
        <w:t xml:space="preserve"> </w:t>
      </w:r>
      <w:r>
        <w:t xml:space="preserve">(integração com Agente 7): publicação → intimação → prazo em dias úteis → alerta escalonado (ex.: 5 dias, 2 dias, véspera).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Tradução jurídico → leigo</w:t>
      </w:r>
      <w:r>
        <w:t xml:space="preserve">: cada andamento vira notificação clara (</w:t>
      </w:r>
      <w:r>
        <w:t xml:space="preserve">“</w:t>
      </w:r>
      <w:r>
        <w:t xml:space="preserve">o que aconteceu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 que significa para você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você precisa fazer algo? até quando?</w:t>
      </w:r>
      <w:r>
        <w:t xml:space="preserve">”</w:t>
      </w:r>
      <w:r>
        <w:t xml:space="preserve">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Gestão de destinatários pré-determinados</w:t>
      </w:r>
      <w:r>
        <w:t xml:space="preserve">: notifica apenas usuários autorizados e cadastrados no processo (o próprio autor; advogado parceiro ou familiar designado mediante autorização expressa), com controle de consentimento LGPD e log de notificações.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Estudo de casos</w:t>
      </w:r>
      <w:r>
        <w:t xml:space="preserve">: mantém histórico cronológico completo do processo; compara o andamento real com o prognóstico emitido na origem (feedback ao Agente 13 de QC).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Fronteiras</w:t>
      </w:r>
      <w:r>
        <w:t xml:space="preserve">: não pratica atos, não dá opinião de mérito própria (aciona o especialista); não notifica terceiros fora da lista autorizada.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Produtos</w:t>
      </w:r>
      <w:r>
        <w:t xml:space="preserve">: linha do tempo processual viva; notificações de andamento traduzidas; alertas de prazo com escalonamento; painel de todos os processos do usuário; gatilhos automáticos para o Copiloto JEC (peça necessária) e para o QC (divergência prognóstico × desfecho).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Xa0b22b275fad9797854e3864c1fef8ec0d341ac"/>
    <w:p>
      <w:pPr>
        <w:pStyle w:val="Heading2"/>
      </w:pPr>
      <w:r>
        <w:t xml:space="preserve">PARTE IV-C — Identificação e Assinatura Digital (Agente 49)</w:t>
      </w:r>
    </w:p>
    <w:bookmarkStart w:id="60" w:name="Xe9c1c182cdf6813b786effff6b51dfdffd63b0a"/>
    <w:p>
      <w:pPr>
        <w:pStyle w:val="Heading3"/>
      </w:pPr>
      <w:r>
        <w:t xml:space="preserve">Agente 49 — Identificação e Assinatura Digital (KYC + prova de vida)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capturar todos os dados do usuário a partir da imagem do seu documento de identidade e colher sua assinatura digital com pacote probatório completo, incluindo</w:t>
      </w:r>
      <w:r>
        <w:t xml:space="preserve"> </w:t>
      </w:r>
      <w:r>
        <w:rPr>
          <w:bCs/>
          <w:b/>
        </w:rPr>
        <w:t xml:space="preserve">selfie do usuário segurando o documento de identificação em mãos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Habilidades e funções: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Captura de dados do documento (OCR + visão):</w:t>
      </w:r>
      <w:r>
        <w:t xml:space="preserve"> </w:t>
      </w:r>
      <w:r>
        <w:t xml:space="preserve">o usuário fotografa RG, CNH ou outro documento de identidade válido pela legislação (incluídos passaporte, RNE/CRNM para estrangeiros, carteiras funcionais com foto); o agente extrai todos os campos — nome completo, filiação, data de nascimento, número do documento e órgão expedidor/UF, CPF quando constar, naturalidade, data de expedição e validade — gravando cada campo no case file com proveniência</w:t>
      </w:r>
      <w:r>
        <w:t xml:space="preserve"> </w:t>
      </w:r>
      <w:r>
        <w:t xml:space="preserve">“</w:t>
      </w:r>
      <w:r>
        <w:t xml:space="preserve">documento de identidade</w:t>
      </w:r>
      <w:r>
        <w:t xml:space="preserve">”</w:t>
      </w:r>
      <w:r>
        <w:t xml:space="preserve"> </w:t>
      </w:r>
      <w:r>
        <w:t xml:space="preserve">e nível de confiança.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Verificação de autenticidade aparente:</w:t>
      </w:r>
      <w:r>
        <w:t xml:space="preserve"> </w:t>
      </w:r>
      <w:r>
        <w:t xml:space="preserve">padrões de segurança do documento, consistência interna dos campos (datas, dígitos verificadores do CPF), validade temporal, coerência layout × tipo de documento; divergência ou dado ilegível = nova captura solicitada (regra-mãe: nunca preencher por suposição).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Prova de vida e correspondência facial:</w:t>
      </w:r>
      <w:r>
        <w:t xml:space="preserve"> </w:t>
      </w:r>
      <w:r>
        <w:t xml:space="preserve">captura da</w:t>
      </w:r>
      <w:r>
        <w:t xml:space="preserve"> </w:t>
      </w:r>
      <w:r>
        <w:rPr>
          <w:bCs/>
          <w:b/>
        </w:rPr>
        <w:t xml:space="preserve">selfie do usuário segurando o documento em mãos</w:t>
      </w:r>
      <w:r>
        <w:t xml:space="preserve">; validação de (i) legibilidade do documento na selfie, (ii) correspondência facial selfie × foto do documento, (iii) detecção de vivacidade (anti-spoofing: foto-de-foto, vídeo, máscara). Falha em qualquer etapa = nova tentativa guiada, sem contorno.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Assinatura eletrônica com pacote de evidências:</w:t>
      </w:r>
      <w:r>
        <w:t xml:space="preserve"> </w:t>
      </w:r>
      <w:r>
        <w:t xml:space="preserve">coleta da assinatura (desenho em tela ou aceite eletrônico) vinculada a: documento de identidade extraído + selfie com documento +</w:t>
      </w:r>
      <w:r>
        <w:t xml:space="preserve"> </w:t>
      </w:r>
      <w:r>
        <w:rPr>
          <w:bCs/>
          <w:b/>
        </w:rPr>
        <w:t xml:space="preserve">hash do documento assinado</w:t>
      </w:r>
      <w:r>
        <w:t xml:space="preserve"> </w:t>
      </w:r>
      <w:r>
        <w:t xml:space="preserve">+ carimbo de data/hora + IP e dispositivo + consentimentos registrados. Classificação do nível da assinatura conforme</w:t>
      </w:r>
      <w:r>
        <w:t xml:space="preserve"> </w:t>
      </w:r>
      <w:r>
        <w:rPr>
          <w:bCs/>
          <w:b/>
        </w:rPr>
        <w:t xml:space="preserve">Lei 14.063/2020</w:t>
      </w:r>
      <w:r>
        <w:t xml:space="preserve"> </w:t>
      </w:r>
      <w:r>
        <w:t xml:space="preserve">(simples × avançada) e orientação expressa quando o ato exigir</w:t>
      </w:r>
      <w:r>
        <w:t xml:space="preserve"> </w:t>
      </w:r>
      <w:r>
        <w:rPr>
          <w:bCs/>
          <w:b/>
        </w:rPr>
        <w:t xml:space="preserve">ICP-Brasil</w:t>
      </w:r>
      <w:r>
        <w:t xml:space="preserve"> </w:t>
      </w:r>
      <w:r>
        <w:t xml:space="preserve">ou forma pública (escritura) — aí, handoff/cartório.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Integração:</w:t>
      </w:r>
      <w:r>
        <w:t xml:space="preserve"> </w:t>
      </w:r>
      <w:r>
        <w:t xml:space="preserve">acionado pelo intake (Agente 2) para identidade do case file; e pelo núcleo contratual (45–48): minuta aprovada pelo usuário segue para este agente para assinatura com pacote de evidências; termo de autonomia (Copiloto 32) também é assinado por este canal.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LGPD — dado sensível (biometria):</w:t>
      </w:r>
      <w:r>
        <w:t xml:space="preserve"> </w:t>
      </w:r>
      <w:r>
        <w:t xml:space="preserve">consentimento</w:t>
      </w:r>
      <w:r>
        <w:t xml:space="preserve"> </w:t>
      </w:r>
      <w:r>
        <w:rPr>
          <w:bCs/>
          <w:b/>
        </w:rPr>
        <w:t xml:space="preserve">específico e destacado</w:t>
      </w:r>
      <w:r>
        <w:t xml:space="preserve"> </w:t>
      </w:r>
      <w:r>
        <w:t xml:space="preserve">para biometria facial e imagem do documento (art. 11, I); finalidade exclusiva de identificação e assinatura; criptografia em repouso e trânsito; retenção mínima necessária à prova dos atos; vedado uso da biometria para qualquer outra finalidade; eliminação a pedido do titular observada a guarda probatória legal; segregação física/lógica do cofre biométrico (integra módulo I4).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Integridade e adversidade:</w:t>
      </w:r>
      <w:r>
        <w:t xml:space="preserve"> </w:t>
      </w:r>
      <w:r>
        <w:t xml:space="preserve">divergência entre dados do documento e dados declarados no intake = contradição crítica → flag ao Agente 34; pacote de evidências registrado na trilha do Agente 35.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Fronteiras:</w:t>
      </w:r>
      <w:r>
        <w:t xml:space="preserve"> </w:t>
      </w:r>
      <w:r>
        <w:t xml:space="preserve">não valida mérito do documento assinado;</w:t>
      </w:r>
      <w:r>
        <w:t xml:space="preserve"> </w:t>
      </w:r>
      <w:r>
        <w:rPr>
          <w:bCs/>
          <w:b/>
        </w:rPr>
        <w:t xml:space="preserve">não substitui certificado ICP-Brasil nem cartório</w:t>
      </w:r>
      <w:r>
        <w:t xml:space="preserve"> </w:t>
      </w:r>
      <w:r>
        <w:t xml:space="preserve">quando a lei exige forma qualificada ou pública; não compartilha biometria com nenhum outro agente além do necessário à verificação.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ficha de identidade verificada (campos + confiança); pacote de assinatura com evidências (hash, selfie, documento, metadados); relatório de validação (autenticidade aparente + prova de vida); alertas de exigência de forma superior.</w:t>
      </w:r>
    </w:p>
    <w:bookmarkEnd w:id="60"/>
    <w:bookmarkEnd w:id="61"/>
    <w:bookmarkStart w:id="66" w:name="Xf4f561558e484c178769424d31cd9e851f5b4df"/>
    <w:p>
      <w:pPr>
        <w:pStyle w:val="Heading2"/>
      </w:pPr>
      <w:r>
        <w:t xml:space="preserve">PARTE IV-B — Núcleo Contratual (Agentes 45–48)</w:t>
      </w:r>
    </w:p>
    <w:p>
      <w:pPr>
        <w:pStyle w:val="FirstParagraph"/>
      </w:pPr>
      <w:r>
        <w:rPr>
          <w:bCs/>
          <w:b/>
        </w:rPr>
        <w:t xml:space="preserve">Dupla função comum a todos:</w:t>
      </w:r>
      <w:r>
        <w:t xml:space="preserve"> </w:t>
      </w:r>
      <w:r>
        <w:t xml:space="preserve">(a)</w:t>
      </w:r>
      <w:r>
        <w:t xml:space="preserve"> </w:t>
      </w:r>
      <w:r>
        <w:rPr>
          <w:bCs/>
          <w:b/>
        </w:rPr>
        <w:t xml:space="preserve">criar minuta contratual</w:t>
      </w:r>
      <w:r>
        <w:t xml:space="preserve"> </w:t>
      </w:r>
      <w:r>
        <w:t xml:space="preserve">sob medida — com intake exaustivo sob a regra-mãe (interação máxima até completude; lacuna = pergunta, nunca preenchimento inventado); (b)</w:t>
      </w:r>
      <w:r>
        <w:t xml:space="preserve"> </w:t>
      </w:r>
      <w:r>
        <w:rPr>
          <w:bCs/>
          <w:b/>
        </w:rPr>
        <w:t xml:space="preserve">analisar contrato enviado pelo usuário</w:t>
      </w:r>
      <w:r>
        <w:t xml:space="preserve"> </w:t>
      </w:r>
      <w:r>
        <w:t xml:space="preserve">(assinado ou em negociação) — relatório em linguagem simples: o que cada cláusula significa na prática, riscos, omissões e pontos a renegociar. Saídas passam pelo Controlador de Narrativa (44) e pela Adversidade/Blindagem (34); relatório de análise sempre com áudio podcast. Contrato captado = dado não confiável (sanitização anti-injection). Registro/escritura/complexidade elevada → alerta de advogado/cartório (handoff opcional).</w:t>
      </w:r>
    </w:p>
    <w:bookmarkStart w:id="62" w:name="agente-45-contratos-imobiliários"/>
    <w:p>
      <w:pPr>
        <w:pStyle w:val="Heading3"/>
      </w:pPr>
      <w:r>
        <w:t xml:space="preserve">Agente 45 — Contratos Imobiliários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Tipos:</w:t>
      </w:r>
      <w:r>
        <w:t xml:space="preserve"> </w:t>
      </w:r>
      <w:r>
        <w:t xml:space="preserve">locação residencial/comercial, compra e venda, promessa de compra e venda, comodato, cessão de direitos, permuta.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Peculiaridades dominadas:</w:t>
      </w:r>
      <w:r>
        <w:t xml:space="preserve"> </w:t>
      </w:r>
      <w:r>
        <w:t xml:space="preserve">garantias locatícias e vedação de cumulação (art. 44, Lei 8.245/91); laudo de vistoria e estado de conservação; benfeitorias (indenizáveis × não indenizáveis); prazo, denúncia vazia e desocupação; multa rescisória proporcional; na compra e venda: matrícula atualizada, cadeia dominial, certidões negativas, ônus e gravames, escritura pública e registro (arts. 108, 124 CC), arras/sinal (arts. 417–420 CC), correção e condições de pagamento.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Análise de contrato enviado:</w:t>
      </w:r>
      <w:r>
        <w:t xml:space="preserve"> </w:t>
      </w:r>
      <w:r>
        <w:t xml:space="preserve">checklist de cláusulas essenciais × ausentes; flags de risco (garantia cumulada, multa desproporcional, ausência de vistoria, vício de consentimento aparente).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minuta + checklist de documentos registrais; relatório de análise cláusula a cláusula em linguagem simples.</w:t>
      </w:r>
    </w:p>
    <w:bookmarkEnd w:id="62"/>
    <w:bookmarkStart w:id="63" w:name="Xd819143d2d371a3142b930bfa6142068b9e59f3"/>
    <w:p>
      <w:pPr>
        <w:pStyle w:val="Heading3"/>
      </w:pPr>
      <w:r>
        <w:t xml:space="preserve">Agente 46 — Contratos de Prestação de Serviços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Tipos:</w:t>
      </w:r>
      <w:r>
        <w:t xml:space="preserve"> </w:t>
      </w:r>
      <w:r>
        <w:t xml:space="preserve">obra/reforma, consultoria, freelancer, agenciamento, serviços contínuos (com SLA).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Peculiaridades dominadas:</w:t>
      </w:r>
      <w:r>
        <w:t xml:space="preserve"> </w:t>
      </w:r>
      <w:r>
        <w:t xml:space="preserve">delimitação precisa de escopo e entregáveis (maior fonte de litígio); critérios objetivos de aceite e cronograma; reajuste e reequilíbrio (art. 317 CC); multa rescisória proporcional ao executado; propriedade intelectual do trabalho entregue; confidencialidade;</w:t>
      </w:r>
      <w:r>
        <w:t xml:space="preserve"> </w:t>
      </w:r>
      <w:r>
        <w:rPr>
          <w:bCs/>
          <w:b/>
        </w:rPr>
        <w:t xml:space="preserve">distinção relação de consumo × relação civil</w:t>
      </w:r>
      <w:r>
        <w:t xml:space="preserve"> </w:t>
      </w:r>
      <w:r>
        <w:t xml:space="preserve">(muda o regime: CDC × CC — deslinde com o Classificador); responsabilidade por vício do serviço.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Análise de contrato enviado:</w:t>
      </w:r>
      <w:r>
        <w:t xml:space="preserve"> </w:t>
      </w:r>
      <w:r>
        <w:t xml:space="preserve">escopo vago = flag crítica; cláusulas de exclusão de responsabilidade, foro abusivo, multa excessiva (arts. 412/413 CC).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minuta com matriz escopo×entregável×aceite; relatório de análise com pontos de renegociação.</w:t>
      </w:r>
    </w:p>
    <w:bookmarkEnd w:id="63"/>
    <w:bookmarkStart w:id="64" w:name="Xed2365d57a15ad1250f14c78f3f75bf0f188e06"/>
    <w:p>
      <w:pPr>
        <w:pStyle w:val="Heading3"/>
      </w:pPr>
      <w:r>
        <w:t xml:space="preserve">Agente 47 — Confissão de Dívida, Acordos e Transações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Tipos:</w:t>
      </w:r>
      <w:r>
        <w:t xml:space="preserve"> </w:t>
      </w:r>
      <w:r>
        <w:t xml:space="preserve">instrumento de confissão de dívida, termo de acordo (extrajudicial e em conciliação JEC), transação (art. 840 CC), termo de quitação, renegociação/parcelamento.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Peculiaridades dominadas:</w:t>
      </w:r>
      <w:r>
        <w:t xml:space="preserve"> </w:t>
      </w:r>
      <w:r>
        <w:rPr>
          <w:bCs/>
          <w:b/>
        </w:rPr>
        <w:t xml:space="preserve">título executivo extrajudicial (art. 784, III, CPC — exigência de duas testemunhas)</w:t>
      </w:r>
      <w:r>
        <w:t xml:space="preserve">; descrição exata da origem e do montante; correção e juros pactuados; parcelamento com</w:t>
      </w:r>
      <w:r>
        <w:t xml:space="preserve"> </w:t>
      </w:r>
      <w:r>
        <w:rPr>
          <w:bCs/>
          <w:b/>
        </w:rPr>
        <w:t xml:space="preserve">cláusula de aceleração</w:t>
      </w:r>
      <w:r>
        <w:t xml:space="preserve">;</w:t>
      </w:r>
      <w:r>
        <w:t xml:space="preserve"> </w:t>
      </w:r>
      <w:r>
        <w:rPr>
          <w:bCs/>
          <w:b/>
        </w:rPr>
        <w:t xml:space="preserve">alcance da quitação (geral × específica)</w:t>
      </w:r>
      <w:r>
        <w:t xml:space="preserve"> </w:t>
      </w:r>
      <w:r>
        <w:t xml:space="preserve">— renúncia ampla inadvertida sempre flagrada; multa e encargos; revisão de termo de acordo em audiência JEC antes da homologação (integração com o Copiloto 32).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Análise de contrato enviado:</w:t>
      </w:r>
      <w:r>
        <w:t xml:space="preserve"> </w:t>
      </w:r>
      <w:r>
        <w:t xml:space="preserve">executividade (testemunhas, liquidez, certeza do valor); juros e correção abusivos; quitação geral disfarçada; confissão além do valor real devido.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minuta com força executiva formalmente válida; relatório</w:t>
      </w:r>
      <w:r>
        <w:t xml:space="preserve"> </w:t>
      </w:r>
      <w:r>
        <w:t xml:space="preserve">“</w:t>
      </w:r>
      <w:r>
        <w:t xml:space="preserve">o que você perde/garante ao assinar</w:t>
      </w:r>
      <w:r>
        <w:t xml:space="preserve">”</w:t>
      </w:r>
      <w:r>
        <w:t xml:space="preserve">.</w:t>
      </w:r>
    </w:p>
    <w:bookmarkEnd w:id="64"/>
    <w:bookmarkStart w:id="65" w:name="X484a72351ab49d9709c13243a101da83ca365d3"/>
    <w:p>
      <w:pPr>
        <w:pStyle w:val="Heading3"/>
      </w:pPr>
      <w:r>
        <w:t xml:space="preserve">Agente 48 — Contratos Cíveis Genéricos e Digitais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Tipos:</w:t>
      </w:r>
      <w:r>
        <w:t xml:space="preserve"> </w:t>
      </w:r>
      <w:r>
        <w:t xml:space="preserve">mútuo entre pessoas físicas, doação com encargo, parcerias, empréstimo pessoal, termos simples do dia a dia;</w:t>
      </w:r>
      <w:r>
        <w:t xml:space="preserve"> </w:t>
      </w:r>
      <w:r>
        <w:rPr>
          <w:bCs/>
          <w:b/>
        </w:rPr>
        <w:t xml:space="preserve">termos de uso e políticas de plataformas digitais</w:t>
      </w:r>
      <w:r>
        <w:t xml:space="preserve"> </w:t>
      </w:r>
      <w:r>
        <w:t xml:space="preserve">(análise sob CDC e LGPD).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Peculiaridades dominadas:</w:t>
      </w:r>
      <w:r>
        <w:t xml:space="preserve"> </w:t>
      </w:r>
      <w:r>
        <w:t xml:space="preserve">mútuo entre PF (juros: limites e forma — risco de usura/nulidade; arts. 586 ss. CC); forma e prova (testemunhas); encargos da doação;</w:t>
      </w:r>
      <w:r>
        <w:t xml:space="preserve"> </w:t>
      </w:r>
      <w:r>
        <w:rPr>
          <w:bCs/>
          <w:b/>
        </w:rPr>
        <w:t xml:space="preserve">cláusulas abusivas em termos digitais</w:t>
      </w:r>
      <w:r>
        <w:t xml:space="preserve"> </w:t>
      </w:r>
      <w:r>
        <w:t xml:space="preserve">(art. 51 CDC — foro, renúncias, alterações unilaterais); adequação LGPD de termos de uso e consentimentos.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Análise de contrato enviado:</w:t>
      </w:r>
      <w:r>
        <w:t xml:space="preserve"> </w:t>
      </w:r>
      <w:r>
        <w:t xml:space="preserve">flags de abusividade e risco probatório; termos digitais: relatório</w:t>
      </w:r>
      <w:r>
        <w:t xml:space="preserve"> </w:t>
      </w:r>
      <w:r>
        <w:t xml:space="preserve">“</w:t>
      </w:r>
      <w:r>
        <w:t xml:space="preserve">o que você aceitou ao clicar</w:t>
      </w:r>
      <w:r>
        <w:t xml:space="preserve">”</w:t>
      </w:r>
      <w:r>
        <w:t xml:space="preserve"> </w:t>
      </w:r>
      <w:r>
        <w:t xml:space="preserve">em linguagem simples.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Produtos:</w:t>
      </w:r>
      <w:r>
        <w:t xml:space="preserve"> </w:t>
      </w:r>
      <w:r>
        <w:t xml:space="preserve">minuta simples formalmente segura; relatório de análise de termos/cláusulas.</w:t>
      </w:r>
    </w:p>
    <w:bookmarkEnd w:id="65"/>
    <w:bookmarkEnd w:id="66"/>
    <w:bookmarkStart w:id="71" w:name="X1444f42be3de3a902e5f15c3f11f1f2d6c32386"/>
    <w:p>
      <w:pPr>
        <w:pStyle w:val="Heading2"/>
      </w:pPr>
      <w:r>
        <w:t xml:space="preserve">PARTE IV-D — Agente 51 — Direito Processual Civil (checagem processual)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checar ações e peças antes da entrega, analisar andamento processual e casos sob três módulos. Serviço técnico transversal: checa peças do Copiloto (32) e dos especialistas antes do Controlador de Narrativa (44) e da Adversidade (34); analisa autos recebidos via protocolo de processo preexistente (Agente 2); dá lastro ao Monitor (33) e é autoridade em prazos</w:t>
      </w:r>
      <w:r>
        <w:t xml:space="preserve"> </w:t>
      </w:r>
      <w:r>
        <w:rPr>
          <w:bCs/>
          <w:b/>
        </w:rPr>
        <w:t xml:space="preserve">processuais</w:t>
      </w:r>
      <w:r>
        <w:t xml:space="preserve"> </w:t>
      </w:r>
      <w:r>
        <w:t xml:space="preserve">(com o Agente 7). Não fala diretamente com o usuário.</w:t>
      </w:r>
    </w:p>
    <w:p>
      <w:r>
        <w:pict>
          <v:rect style="width:0;height:1.5pt" o:hralign="center" o:hrstd="t" o:hr="t"/>
        </w:pict>
      </w:r>
    </w:p>
    <w:bookmarkStart w:id="67" w:name="Xff84e03bb543c5c801ed587f376fb2d87f8682f"/>
    <w:p>
      <w:pPr>
        <w:pStyle w:val="Heading3"/>
      </w:pPr>
      <w:r>
        <w:t xml:space="preserve">MÓDULO 1 — ANÁLISE DE DISTRIBUIÇÃO DE AÇÕES</w:t>
      </w:r>
    </w:p>
    <w:p>
      <w:pPr>
        <w:pStyle w:val="FirstParagraph"/>
      </w:pPr>
      <w:r>
        <w:t xml:space="preserve">Checklist aplicado a petição inicial, despacho de admissibilidade ou decisão de registro/distribuição.</w:t>
      </w:r>
    </w:p>
    <w:p>
      <w:pPr>
        <w:pStyle w:val="BodyText"/>
      </w:pPr>
      <w:r>
        <w:rPr>
          <w:bCs/>
          <w:b/>
        </w:rPr>
        <w:t xml:space="preserve">1.1 Competência (Livro II, cap. 3)</w:t>
      </w:r>
      <w:r>
        <w:t xml:space="preserve"> </w:t>
      </w:r>
      <w:r>
        <w:t xml:space="preserve">- Jurisdição internacional: homologação de decisão estrangeira (STJ, arts. 960–965); jurisdição concorrente × exclusiva da justiça brasileira (arts. 21–23); cooperação internacional.</w:t>
      </w:r>
      <w:r>
        <w:t xml:space="preserve"> </w:t>
      </w:r>
      <w:r>
        <w:t xml:space="preserve">- Competência interna — critérios:</w:t>
      </w:r>
      <w:r>
        <w:t xml:space="preserve"> </w:t>
      </w:r>
      <w:r>
        <w:rPr>
          <w:bCs/>
          <w:b/>
        </w:rPr>
        <w:t xml:space="preserve">absoluta</w:t>
      </w:r>
      <w:r>
        <w:t xml:space="preserve"> </w:t>
      </w:r>
      <w:r>
        <w:t xml:space="preserve">(indisponível, ordem pública, alegável em qualquer tempo): objetiva (matéria), funcional (instância) e em razão da pessoa (Justiça Federal — art. 109 CF);</w:t>
      </w:r>
      <w:r>
        <w:t xml:space="preserve"> </w:t>
      </w:r>
      <w:r>
        <w:rPr>
          <w:bCs/>
          <w:b/>
        </w:rPr>
        <w:t xml:space="preserve">relativa</w:t>
      </w:r>
      <w:r>
        <w:t xml:space="preserve"> </w:t>
      </w:r>
      <w:r>
        <w:t xml:space="preserve">(prorrogável/derrogável): territorial (foro) — arts. 43 a 52.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Perpetuatio jurisdictionis</w:t>
      </w:r>
      <w:r>
        <w:t xml:space="preserve"> </w:t>
      </w:r>
      <w:r>
        <w:t xml:space="preserve">(art. 43): citação válida perpetua a competência, salvo absoluta ou alteração da lei (art. 43, §1º); desmembramento de comarca (art. 44, parágrafo único).</w:t>
      </w:r>
      <w:r>
        <w:t xml:space="preserve"> </w:t>
      </w:r>
      <w:r>
        <w:t xml:space="preserve">- Justiça Federal: interesse da União, autarquia ou empresa pública federal; quem decide sobre o interesse (art. 109, §3º — STJ/TJ); juizado federal como exceção.</w:t>
      </w:r>
      <w:r>
        <w:t xml:space="preserve"> </w:t>
      </w:r>
      <w:r>
        <w:t xml:space="preserve">- Regras de foro: regra geral (domicílio do réu); foros especiais do CPC/15: situação dos imóveis (art. 47), família (art. 53), alimentos/idoso (foro privilegiado), lugar do cumprimento da obrigação, lugar do ato ou fato, acidente de veículo/crime, União (art. 51), Estados; eleição de foro (art. 63 — nulidade em contrato de adesão declarada de ofício).</w:t>
      </w:r>
      <w:r>
        <w:t xml:space="preserve"> </w:t>
      </w:r>
      <w:r>
        <w:t xml:space="preserve">- Modificadores de competência: prorrogação e derrogação; conexão (art. 55 — reunião no prevento, só competência relativa, não obrigatória se causar demora excessiva); continência (art. 55, §2º — reunião obrigatória); prevenção; conflito de competência (positivo/negativo, arts. 63–68); cooperação nacional (art. 69).</w:t>
      </w:r>
      <w:r>
        <w:t xml:space="preserve"> </w:t>
      </w:r>
      <w:r>
        <w:t xml:space="preserve">- JEC (Lei 9.099/95): valor (40 SM / 20 SM sem advogado, renúncia ao excesso), matéria (absoluta — art. 3º), pessoas (pessoa física; microempresa como ré — art. 8º, I), território (foro do autor); incompetência → conexão/continência entre juizados.</w:t>
      </w:r>
    </w:p>
    <w:p>
      <w:pPr>
        <w:pStyle w:val="BodyText"/>
      </w:pPr>
      <w:r>
        <w:rPr>
          <w:bCs/>
          <w:b/>
        </w:rPr>
        <w:t xml:space="preserve">1.2 Ação e condições da ação (Livro II, cap. 4)</w:t>
      </w:r>
      <w:r>
        <w:t xml:space="preserve"> </w:t>
      </w:r>
      <w:r>
        <w:t xml:space="preserve">- Duas condições (sistemática atual): legitimidade</w:t>
      </w:r>
      <w:r>
        <w:t xml:space="preserve"> </w:t>
      </w:r>
      <w:r>
        <w:rPr>
          <w:iCs/>
          <w:i/>
        </w:rPr>
        <w:t xml:space="preserve">ad causam</w:t>
      </w:r>
      <w:r>
        <w:t xml:space="preserve"> </w:t>
      </w:r>
      <w:r>
        <w:t xml:space="preserve">(ordinária; extraordinária — substituição processual, exclusiva × concorrente) e interesse de agir (necessidade + adequação/utilidade — a possibilidade jurídica do pedido foi absorvida pelo interesse — art. 17).</w:t>
      </w:r>
      <w:r>
        <w:t xml:space="preserve"> </w:t>
      </w:r>
      <w:r>
        <w:t xml:space="preserve">- Elementos da ação: partes, pedido (imediato × mediato; certo × genérico), causa de pedir (fatos + fundamentos; substanciação; alteração dos fatos = nova ação) → identidade de ação para litispendência/coisa julgada.</w:t>
      </w:r>
      <w:r>
        <w:t xml:space="preserve"> </w:t>
      </w:r>
      <w:r>
        <w:t xml:space="preserve">- Classificação: pelo fundamento; pelo resultado; pelo tipo de atividade (condenatória, constitutiva, declaratória; mandamental; executiva lato sensu).</w:t>
      </w:r>
    </w:p>
    <w:p>
      <w:pPr>
        <w:pStyle w:val="BodyText"/>
      </w:pPr>
      <w:r>
        <w:rPr>
          <w:bCs/>
          <w:b/>
        </w:rPr>
        <w:t xml:space="preserve">1.3 Partes, litisconsórcio e intervenção de terceiros (Livro III)</w:t>
      </w:r>
      <w:r>
        <w:t xml:space="preserve"> </w:t>
      </w:r>
      <w:r>
        <w:t xml:space="preserve">- Capacidades: de ser parte; processual (representação × assistência); postulatória (advogado — art. 103); legitimidade</w:t>
      </w:r>
      <w:r>
        <w:t xml:space="preserve"> </w:t>
      </w:r>
      <w:r>
        <w:rPr>
          <w:iCs/>
          <w:i/>
        </w:rPr>
        <w:t xml:space="preserve">ad processum</w:t>
      </w:r>
      <w:r>
        <w:t xml:space="preserve">. Curador especial (incapaz, réu preso, citação ficta, idoso; nulidade pela não nomeação).</w:t>
      </w:r>
      <w:r>
        <w:t xml:space="preserve"> </w:t>
      </w:r>
      <w:r>
        <w:t xml:space="preserve">- Outorga uxória nas ações reais imobiliárias (polo ativo e passivo; suprimento judicial da recusa).</w:t>
      </w:r>
      <w:r>
        <w:t xml:space="preserve"> </w:t>
      </w:r>
      <w:r>
        <w:t xml:space="preserve">- Deveres das partes: responsabilidade por dano processual, ato atentatório à dignidade da justiça, litigância de má-fé; gratuidade de justiça.</w:t>
      </w:r>
      <w:r>
        <w:t xml:space="preserve"> </w:t>
      </w:r>
      <w:r>
        <w:t xml:space="preserve">- Litisconsórcio: necessário (legal ou por natureza — unitário) × facultativo (simples ou unitário); multitudinário/desmembramento (art. 115 — recorrível por agravo); ausência de litisconsorte necessário → intimação do autor para emenda (art. 115) sob pena de extinção sem mérito; prazo comum (art. 229) × prazo em dobro para litisconsortes com advogados diferentes (art. 229, §1º, cumulável com o dobro da Fazenda — Tema 636 STJ).</w:t>
      </w:r>
      <w:r>
        <w:t xml:space="preserve"> </w:t>
      </w:r>
      <w:r>
        <w:t xml:space="preserve">- Intervenção de terceiros (CPC/15): assistência (simples × litisconsorcial); denunciação da lide (evicção, regresso; sucessiva, vedada</w:t>
      </w:r>
      <w:r>
        <w:t xml:space="preserve"> </w:t>
      </w:r>
      <w:r>
        <w:rPr>
          <w:iCs/>
          <w:i/>
        </w:rPr>
        <w:t xml:space="preserve">per saltum</w:t>
      </w:r>
      <w:r>
        <w:t xml:space="preserve"> </w:t>
      </w:r>
      <w:r>
        <w:t xml:space="preserve">— arts. 125–130); chamamento ao processo (arts. 130–132); incidente de desconsideração da personalidade jurídica (IDPJ — arts. 133–137; menor empenhorabilidade, art. 835, §3º);</w:t>
      </w:r>
      <w:r>
        <w:t xml:space="preserve"> </w:t>
      </w:r>
      <w:r>
        <w:rPr>
          <w:iCs/>
          <w:i/>
        </w:rPr>
        <w:t xml:space="preserve">amicus curiae</w:t>
      </w:r>
      <w:r>
        <w:t xml:space="preserve"> </w:t>
      </w:r>
      <w:r>
        <w:t xml:space="preserve">(arts. 138–140); oposição e embargos de terceiro.</w:t>
      </w:r>
      <w:r>
        <w:t xml:space="preserve"> </w:t>
      </w:r>
      <w:r>
        <w:t xml:space="preserve">- Ministério Público: como parte (art. 81) e como fiscal da ordem jurídica (art. 178 —</w:t>
      </w:r>
      <w:r>
        <w:t xml:space="preserve"> </w:t>
      </w:r>
      <w:r>
        <w:rPr>
          <w:iCs/>
          <w:i/>
        </w:rPr>
        <w:t xml:space="preserve">custos legis</w:t>
      </w:r>
      <w:r>
        <w:t xml:space="preserve">; falta de intimação → nulidade, salvo manifestação posterior sanadora).</w:t>
      </w:r>
      <w:r>
        <w:t xml:space="preserve"> </w:t>
      </w:r>
      <w:r>
        <w:t xml:space="preserve">- Juiz: impedimento (art. 144) e suspeição (art. 145) — incidente (arts. 146–152); vedação ao</w:t>
      </w:r>
      <w:r>
        <w:t xml:space="preserve"> </w:t>
      </w:r>
      <w:r>
        <w:rPr>
          <w:iCs/>
          <w:i/>
        </w:rPr>
        <w:t xml:space="preserve">non liquet</w:t>
      </w:r>
      <w:r>
        <w:t xml:space="preserve">; equidade excepcional; limites da lide (extra/ultra/citra petita); responsabilidade (arts. 143, 160).</w:t>
      </w:r>
    </w:p>
    <w:p>
      <w:pPr>
        <w:pStyle w:val="BodyText"/>
      </w:pPr>
      <w:r>
        <w:rPr>
          <w:bCs/>
          <w:b/>
        </w:rPr>
        <w:t xml:space="preserve">1.4 Petição inicial e juízo de admissibilidade (Livro VII — fase postulatória)</w:t>
      </w:r>
      <w:r>
        <w:t xml:space="preserve"> </w:t>
      </w:r>
      <w:r>
        <w:t xml:space="preserve">- Requisitos formais (art. 319): juízo; qualificação das partes (CPF/CNPJ, endereço eletrônico); causa de pedir; pedido e especificações; valor da causa (art. 292 — controle judicial); provas; opção por audiência de conciliação/mediação; documentos indispensáveis (art. 319, §1º, c/c art. 434).</w:t>
      </w:r>
      <w:r>
        <w:t xml:space="preserve"> </w:t>
      </w:r>
      <w:r>
        <w:t xml:space="preserve">- Deficiências da inicial: emenda (art. 321 — intimação para corrigir/completar em 15 dias; não corrigida → indeferimento).</w:t>
      </w:r>
      <w:r>
        <w:t xml:space="preserve"> </w:t>
      </w:r>
      <w:r>
        <w:t xml:space="preserve">- Pedido: certo × genérico; implícito; cumulação (simples, sucessiva, alternativa, eventual/subsidiária); cumulação de fundamentos; requisitos (compatibilidade, mesma competência, procedimento compatível).</w:t>
      </w:r>
      <w:r>
        <w:t xml:space="preserve"> </w:t>
      </w:r>
      <w:r>
        <w:t xml:space="preserve">- Indeferimento da inicial (art. 330): rol taxativo — inépcia, parte ilegítima, ausência de interesse, não atendidas as prescrições dos arts. 106 e 321; apelação contra sentença de indeferimento (art. 332, §3º — devolução para citação se provida).</w:t>
      </w:r>
      <w:r>
        <w:t xml:space="preserve"> </w:t>
      </w:r>
      <w:r>
        <w:t xml:space="preserve">- Improcedência liminar do pedido (art. 332): requisitos (matéria exclusivamente de direito + caso julgado de plano OU abuso do processo/falta de prova); parcial possível; sem apelação → coisa julgada; com apelação provida → retorno para prosseguimento.</w:t>
      </w:r>
    </w:p>
    <w:p>
      <w:pPr>
        <w:pStyle w:val="BodyText"/>
      </w:pPr>
      <w:r>
        <w:rPr>
          <w:bCs/>
          <w:b/>
        </w:rPr>
        <w:t xml:space="preserve">1.5 Distribuição e registro (Livro IV, cap. 4)</w:t>
      </w:r>
      <w:r>
        <w:t xml:space="preserve"> </w:t>
      </w:r>
      <w:r>
        <w:t xml:space="preserve">- Regra de alternatividade; distribuição por dependência (conexão/continência, ações rescisórias, cumprimento de sentença — art. 244); registro; numeração única CNJ.</w:t>
      </w:r>
    </w:p>
    <w:p>
      <w:r>
        <w:pict>
          <v:rect style="width:0;height:1.5pt" o:hralign="center" o:hrstd="t" o:hr="t"/>
        </w:pict>
      </w:r>
    </w:p>
    <w:bookmarkEnd w:id="67"/>
    <w:bookmarkStart w:id="68" w:name="X875fc1d5a5d984c1363cfcdf4be650772af6e23"/>
    <w:p>
      <w:pPr>
        <w:pStyle w:val="Heading3"/>
      </w:pPr>
      <w:r>
        <w:t xml:space="preserve">MÓDULO 2 — ANÁLISE DE RECURSOS E MEIOS DE IMPUGNAÇÃO</w:t>
      </w:r>
    </w:p>
    <w:p>
      <w:pPr>
        <w:pStyle w:val="FirstParagraph"/>
      </w:pPr>
      <w:r>
        <w:t xml:space="preserve">Motor: decisão identificada → meio cabível → admissibilidade → prazo → preparo → efeitos → processamento.</w:t>
      </w:r>
    </w:p>
    <w:p>
      <w:pPr>
        <w:pStyle w:val="BodyText"/>
      </w:pPr>
      <w:r>
        <w:rPr>
          <w:bCs/>
          <w:b/>
        </w:rPr>
        <w:t xml:space="preserve">2.0 Marco estrutural — Livro X: processos nos tribunais e meios de impugnação</w:t>
      </w:r>
      <w:r>
        <w:t xml:space="preserve"> </w:t>
      </w:r>
      <w:r>
        <w:t xml:space="preserve">- Precedentes vinculantes (art. 927): súmula vinculante; acórdão em casos repetitivos (REsp/RE afetados); decisão em IRDR; súmula STF/STJ; orientação de plenário/órgão especial. Dever de adequar fundamentação e decisão;</w:t>
      </w:r>
      <w:r>
        <w:t xml:space="preserve"> </w:t>
      </w:r>
      <w:r>
        <w:rPr>
          <w:iCs/>
          <w:i/>
        </w:rPr>
        <w:t xml:space="preserve">distinguishing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overruling</w:t>
      </w:r>
      <w:r>
        <w:t xml:space="preserve">.</w:t>
      </w:r>
      <w:r>
        <w:t xml:space="preserve"> </w:t>
      </w:r>
      <w:r>
        <w:t xml:space="preserve">- IRDR (arts. 976–987): admissão; composição ampliada; suspensão de processos pendentes (art. 313, V,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).</w:t>
      </w:r>
      <w:r>
        <w:t xml:space="preserve"> </w:t>
      </w:r>
      <w:r>
        <w:t xml:space="preserve">- Incidente de assunção de competência (arts. 947–950); arguição de inconstitucionalidade (arts. 951–956); reclamação (art. 988).</w:t>
      </w:r>
      <w:r>
        <w:t xml:space="preserve"> </w:t>
      </w:r>
      <w:r>
        <w:t xml:space="preserve">- Remessa necessária (art. 496):</w:t>
      </w:r>
      <w:r>
        <w:t xml:space="preserve"> </w:t>
      </w:r>
      <w:r>
        <w:rPr>
          <w:iCs/>
          <w:i/>
        </w:rPr>
        <w:t xml:space="preserve">ex officio</w:t>
      </w:r>
      <w:r>
        <w:t xml:space="preserve">, não é recurso; hipóteses e exclusões; efeitos.</w:t>
      </w:r>
      <w:r>
        <w:t xml:space="preserve"> </w:t>
      </w:r>
      <w:r>
        <w:t xml:space="preserve">- Pedido de reconsideração; correição parcial.</w:t>
      </w:r>
    </w:p>
    <w:p>
      <w:pPr>
        <w:pStyle w:val="BodyText"/>
      </w:pPr>
      <w:r>
        <w:rPr>
          <w:bCs/>
          <w:b/>
        </w:rPr>
        <w:t xml:space="preserve">2.1 Teoria geral recursal</w:t>
      </w:r>
      <w:r>
        <w:t xml:space="preserve"> </w:t>
      </w:r>
      <w:r>
        <w:t xml:space="preserve">- Características: mesma relação processual; aptidão a retardar preclusão/coisa julgada; correção de erro de forma ou conteúdo; vedação à inovação (art. 1.012 — exceções: ordem pública, questão superveniente, melhor solução); substituição da decisão</w:t>
      </w:r>
      <w:r>
        <w:t xml:space="preserve"> </w:t>
      </w:r>
      <w:r>
        <w:rPr>
          <w:iCs/>
          <w:i/>
        </w:rPr>
        <w:t xml:space="preserve">a quo</w:t>
      </w:r>
      <w:r>
        <w:t xml:space="preserve"> </w:t>
      </w:r>
      <w:r>
        <w:t xml:space="preserve">pela</w:t>
      </w:r>
      <w:r>
        <w:t xml:space="preserve"> </w:t>
      </w:r>
      <w:r>
        <w:rPr>
          <w:iCs/>
          <w:i/>
        </w:rPr>
        <w:t xml:space="preserve">ad quem</w:t>
      </w:r>
      <w:r>
        <w:t xml:space="preserve">; não conhecimento → trânsito em julgado.</w:t>
      </w:r>
      <w:r>
        <w:t xml:space="preserve"> </w:t>
      </w:r>
      <w:r>
        <w:t xml:space="preserve">- Admissibilidade —</w:t>
      </w:r>
      <w:r>
        <w:t xml:space="preserve"> </w:t>
      </w:r>
      <w:r>
        <w:rPr>
          <w:bCs/>
          <w:b/>
        </w:rPr>
        <w:t xml:space="preserve">intrínsecos:</w:t>
      </w:r>
      <w:r>
        <w:t xml:space="preserve"> </w:t>
      </w:r>
      <w:r>
        <w:t xml:space="preserve">cabimento; legitimidade recursal (partes, intervenientes, MP, terceiro prejudicado — art. 977); interesse recursal (sucumbência).</w:t>
      </w:r>
      <w:r>
        <w:t xml:space="preserve"> </w:t>
      </w:r>
      <w:r>
        <w:rPr>
          <w:bCs/>
          <w:b/>
        </w:rPr>
        <w:t xml:space="preserve">Extrínsecos:</w:t>
      </w:r>
      <w:r>
        <w:t xml:space="preserve"> </w:t>
      </w:r>
      <w:r>
        <w:t xml:space="preserve">tempestividade (dias úteis, art. 1.003, §5º); preparo (recolhimento e comprovação tempestiva; deserção; complementação só se insuficiência do órgão — art. 1.007, §2º); regularidade formal; inexistência de fato extintivo (renúncia, aquiescência, desistência — art. 992).</w:t>
      </w:r>
      <w:r>
        <w:t xml:space="preserve"> </w:t>
      </w:r>
      <w:r>
        <w:t xml:space="preserve">- Princípios: taxatividade (apelação = único recurso contra sentença; agravo = rol art. 1.015); singularidade/unirrecorribilidade; fungibilidade (mesmo prazo, mesma finalidade, boa-fé — art. 994); proibição da</w:t>
      </w:r>
      <w:r>
        <w:t xml:space="preserve"> </w:t>
      </w:r>
      <w:r>
        <w:rPr>
          <w:iCs/>
          <w:i/>
        </w:rPr>
        <w:t xml:space="preserve">reformatio in pejus</w:t>
      </w:r>
      <w:r>
        <w:t xml:space="preserve"> </w:t>
      </w:r>
      <w:r>
        <w:t xml:space="preserve">(art. 993, §1º — ressalva do art. 942, §4º).</w:t>
      </w:r>
      <w:r>
        <w:t xml:space="preserve"> </w:t>
      </w:r>
      <w:r>
        <w:t xml:space="preserve">- Efeitos: devolutivo (extensão — art. 1.013); suspensivo (apelação; cassação de liminar; efeito suspensivo ativo — art. 1.012, §4º); translativo; expansivo (subjetivo/objetivo); regressivo.</w:t>
      </w:r>
      <w:r>
        <w:t xml:space="preserve"> </w:t>
      </w:r>
      <w:r>
        <w:t xml:space="preserve">- Recurso adesivo (art. 997 — subordinado, tempestivo ao contrarrazoar; embargos de declaração: prazo independente).</w:t>
      </w:r>
    </w:p>
    <w:p>
      <w:pPr>
        <w:pStyle w:val="BodyText"/>
      </w:pPr>
      <w:r>
        <w:rPr>
          <w:bCs/>
          <w:b/>
        </w:rPr>
        <w:t xml:space="preserve">2.2 Tabela de cabimento (CPC/2015)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 atacada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Sentença (qualquer conteúdo)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Devolutivo + suspensivo + regressivo; expansivo; reapreciação de interlocutórias não preclusas (art. 1.009, §1º)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interlocutória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Agravo de instrumento — rol taxativo art. 1.015 (</w:t>
            </w:r>
            <w:r>
              <w:rPr>
                <w:bCs/>
                <w:b/>
              </w:rPr>
              <w:t xml:space="preserve">taxatividade mitigada — Tema 988/STJ: REsp 1.696.396/MT e REsp 1.704.520/MT, Corte Especial</w:t>
            </w:r>
            <w:r>
              <w:t xml:space="preserve">, tese vinculante art. 927, III, CPC)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Regra: só devolutivo; suspensivo possível (art. 1.012, §4º); retratação do a quo em 5 dias (art. 1.012, §3º)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monocrática de relator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Agravo interno (art. 1.021)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Suspensivo não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Omissão, contradição, obscuridade, erro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Embargos de declaração (arts. 1.022–1.026)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Interrompem prazo recursal (art. 1.026); efeitos modificativos excepcionais (Tema 988/STF; art. 1.025, §2º); reiteração → multa (art. 1.026, §2º)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Acórdão divergente de outro órgão do mesmo tribunal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Embargos de divergência (art. 1.043 — restritos; STF: RISTF art. 21; STJ: art. 1.046)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Acórdão única/última instância (infraconstitucional)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especial (art. 105, III 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Esgotamento das vias ordinárias; vedação à rediscussão de fato (Súmula 7 STJ); prequestionamento (art. 1.025)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Acórdão (constitucional)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extraordinário (art. 102, III 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Repercussão geral (</w:t>
            </w:r>
            <w:r>
              <w:rPr>
                <w:bCs/>
                <w:b/>
              </w:rPr>
              <w:t xml:space="preserve">art. 102, §3º, CF</w:t>
            </w:r>
            <w:r>
              <w:t xml:space="preserve"> </w:t>
            </w:r>
            <w:r>
              <w:t xml:space="preserve">— o art. 103-A trata de súmula vinculante) como 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Inadmissão do RE/REsp pelo TJ/TRF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Agravo em REsp/RE (arts. 1.042–1.043)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RE/REsp de multiplicidade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Afetação para casos repetitivos (arts. 1.036–1.041); efeito vinculante do acórdão-tema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Sobrestamento dos processos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transitada em julgado (rol art. 966)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rescisória — juízo rescindente + rescisório; caução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Decadencial: 2 anos (art. 975)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Vedações do art. 966, §3º; alternativas (anulatória; declaratória de ineficácia)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do JEC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inominado (turma recursal — art. 42, Lei 9.099/95)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advogado (bloqueio duro → Agente 11).</w:t>
            </w:r>
            <w:r>
              <w:t xml:space="preserve"> </w:t>
            </w:r>
            <w:r>
              <w:rPr>
                <w:bCs/>
                <w:b/>
              </w:rPr>
              <w:t xml:space="preserve">Recurso adesivo: INCABÍVEL no JEC</w:t>
            </w:r>
            <w:r>
              <w:t xml:space="preserve"> </w:t>
            </w:r>
            <w:r>
              <w:t xml:space="preserve">(Enunciado 88 FONAJE — o art. 89 da Lei 9.099/95 é norma do rito criminal, não dos cíveis)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interlocutória do JEC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Irrecorrível em regra</w:t>
            </w:r>
            <w:r>
              <w:t xml:space="preserve"> </w:t>
            </w:r>
            <w:r>
              <w:t xml:space="preserve">(art. 42, Lei 9.099/95 só admite o recurso inominado contra sentença/decisão terminativa; mandado de segurança residual)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impugnação judicial exige advogado (bloqueio duro → Agente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Atos/vícios de ofício (juizados)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reconsideração e correição parcial perante o próprio juízo/turma (praxe local dos juizados — disciplina nos regimentos das turmas recursais; arts. 938–941 CPC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se aplicam — tratam de julgamento colegiado)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 Impugnações não recursais correlatas</w:t>
      </w:r>
      <w:r>
        <w:t xml:space="preserve"> </w:t>
      </w:r>
      <w:r>
        <w:t xml:space="preserve">- Embargos de terceiro (arts. 674–681 — apreensão judicial indevida; cônjuge, sócios, adquirente em fraude à execução, credor com garantia real não intimado); oposição (art. 675, §2º); ação rescisória; exceções/objeções de pré-executividade (art. 525, §11); mandado de segurança (art. 5º, LXIX CF — ilegalidade ou abuso de poder).</w:t>
      </w:r>
    </w:p>
    <w:p>
      <w:r>
        <w:pict>
          <v:rect style="width:0;height:1.5pt" o:hralign="center" o:hrstd="t" o:hr="t"/>
        </w:pict>
      </w:r>
    </w:p>
    <w:bookmarkEnd w:id="68"/>
    <w:bookmarkStart w:id="69" w:name="Xe4562909d875088830033cd7dc2e13c5449bc28"/>
    <w:p>
      <w:pPr>
        <w:pStyle w:val="Heading3"/>
      </w:pPr>
      <w:r>
        <w:t xml:space="preserve">MÓDULO 3 — CHECAGEM DE ANDAMENTO PROCESSUAL</w:t>
      </w:r>
    </w:p>
    <w:p>
      <w:pPr>
        <w:pStyle w:val="FirstParagraph"/>
      </w:pPr>
      <w:r>
        <w:t xml:space="preserve">Motor de triagem: dado extrato de autos/movimentações, classificar a fase, detectar vícios, prazos em curso e riscos.</w:t>
      </w:r>
    </w:p>
    <w:p>
      <w:pPr>
        <w:pStyle w:val="BodyText"/>
      </w:pPr>
      <w:r>
        <w:rPr>
          <w:bCs/>
          <w:b/>
        </w:rPr>
        <w:t xml:space="preserve">3.1 Atos processuais, prazos e preclusão (Livro IV)</w:t>
      </w:r>
      <w:r>
        <w:t xml:space="preserve"> </w:t>
      </w:r>
      <w:r>
        <w:t xml:space="preserve">- Pronunciamentos: sentença (art. 489 — elementos; art. 926 — coerência com precedentes), decisão interlocutória (</w:t>
      </w:r>
      <w:r>
        <w:rPr>
          <w:bCs/>
          <w:b/>
        </w:rPr>
        <w:t xml:space="preserve">art. 203, §§1º-2º, CPC/2015</w:t>
      </w:r>
      <w:r>
        <w:t xml:space="preserve"> </w:t>
      </w:r>
      <w:r>
        <w:t xml:space="preserve">— o art. 162, §1º era do CPC/73), despacho.</w:t>
      </w:r>
      <w:r>
        <w:t xml:space="preserve"> </w:t>
      </w:r>
      <w:r>
        <w:t xml:space="preserve">- Flexibilização e negociação processual (arts. 190, 191).</w:t>
      </w:r>
      <w:r>
        <w:t xml:space="preserve"> </w:t>
      </w:r>
      <w:r>
        <w:t xml:space="preserve">- Prazos: legais/judiciais/convencionais; próprios × impróprios; dilatórios × peremptórios; contagem em dias úteis (art. 219); férias forenses/suspensão coletiva (art. 220); suspensão × interrupção; benefícios: dobro (MP, Fazenda, Defensoria — art. 180), litisconsortes com advogados diferentes (art. 229, §1º — cumulação), art. 5º, §5º, Lei 1.060/50.</w:t>
      </w:r>
      <w:r>
        <w:t xml:space="preserve"> </w:t>
      </w:r>
      <w:r>
        <w:t xml:space="preserve">- Preclusão: temporal, lógica, consumativa,</w:t>
      </w:r>
      <w:r>
        <w:t xml:space="preserve"> </w:t>
      </w:r>
      <w:r>
        <w:rPr>
          <w:iCs/>
          <w:i/>
        </w:rPr>
        <w:t xml:space="preserve">pro judicato</w:t>
      </w:r>
      <w:r>
        <w:t xml:space="preserve"> </w:t>
      </w:r>
      <w:r>
        <w:t xml:space="preserve">(arts. 1.000 e 502/503).</w:t>
      </w:r>
      <w:r>
        <w:t xml:space="preserve"> </w:t>
      </w:r>
      <w:r>
        <w:t xml:space="preserve">- Nulidades: instrumentalismo formal (</w:t>
      </w:r>
      <w:r>
        <w:rPr>
          <w:iCs/>
          <w:i/>
        </w:rPr>
        <w:t xml:space="preserve">pas de nullité sans grief</w:t>
      </w:r>
      <w:r>
        <w:t xml:space="preserve"> </w:t>
      </w:r>
      <w:r>
        <w:t xml:space="preserve">— art. 277), convalidação; absoluta × relativa; efeito expansivo; atos ineficazes (categoria autônoma; ineficácia insanável pelo tempo).</w:t>
      </w:r>
    </w:p>
    <w:p>
      <w:pPr>
        <w:pStyle w:val="BodyText"/>
      </w:pPr>
      <w:r>
        <w:rPr>
          <w:bCs/>
          <w:b/>
        </w:rPr>
        <w:t xml:space="preserve">3.2 Comunicação dos atos (Livro IV, cap. 3)</w:t>
      </w:r>
      <w:r>
        <w:t xml:space="preserve"> </w:t>
      </w:r>
      <w:r>
        <w:t xml:space="preserve">- Citação (ordenatória; efeitos: litispendência, coisa litigiosa, mora, prescrição interrompida uma única vez — art. 240, §2º) × intimação.</w:t>
      </w:r>
      <w:r>
        <w:t xml:space="preserve"> </w:t>
      </w:r>
      <w:r>
        <w:t xml:space="preserve">- Modalidades: correio (AR); mandado/hora certa; eletrônica; edital (citação ficta — curador especial); intimação pelo DJe (prazo da disponibilização + janela de ciência — art. 224 c/c art. 5º, Lei 11.419/06); cartas precatória, rogatória, de ordem, arbitral.</w:t>
      </w:r>
    </w:p>
    <w:p>
      <w:pPr>
        <w:pStyle w:val="BodyText"/>
      </w:pPr>
      <w:r>
        <w:rPr>
          <w:bCs/>
          <w:b/>
        </w:rPr>
        <w:t xml:space="preserve">3.3 Formação, suspensão e extinção (Livro VI)</w:t>
      </w:r>
      <w:r>
        <w:t xml:space="preserve"> </w:t>
      </w:r>
      <w:r>
        <w:t xml:space="preserve">- Formação: iniciativa da parte + impulso oficial (contraditório entre citação e sentença — exceções: liminar e improcedência liminar).</w:t>
      </w:r>
      <w:r>
        <w:t xml:space="preserve"> </w:t>
      </w:r>
      <w:r>
        <w:t xml:space="preserve">- Suspensão (art. 313): morte/perda de capacidade; convenção; suspeição/impedimento; admissão de IRDR (V,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sobrestamento</w:t>
      </w:r>
      <w:r>
        <w:t xml:space="preserve"> </w:t>
      </w:r>
      <w:r>
        <w:t xml:space="preserve">(V,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) — §4º:</w:t>
      </w:r>
      <w:r>
        <w:t xml:space="preserve"> </w:t>
      </w:r>
      <w:r>
        <w:rPr>
          <w:bCs/>
          <w:b/>
        </w:rPr>
        <w:t xml:space="preserve">prazo máximo de 1 ano, prorrogável por igual período (ponto sensível — monitorar)</w:t>
      </w:r>
      <w:r>
        <w:t xml:space="preserve">; força maior; Tribunal Marítimo; licença-maternidade/paternidade do único patrono (IX e X).</w:t>
      </w:r>
      <w:r>
        <w:t xml:space="preserve"> </w:t>
      </w:r>
      <w:r>
        <w:t xml:space="preserve">- Extinção sem mérito (art. 485 — rol taxativo): indeferimento; paralisia por 1 ano (I); abandono da causa por 30 dias (II); ausência de pressupostos; perempção/litispendência/coisa julgada; carência de ação; convenção de arbitragem; desistência; intransmissibilidade.</w:t>
      </w:r>
      <w:r>
        <w:t xml:space="preserve"> </w:t>
      </w:r>
      <w:r>
        <w:t xml:space="preserve">- Com mérito (art. 487): acolhida/rejeição;</w:t>
      </w:r>
      <w:r>
        <w:t xml:space="preserve"> </w:t>
      </w:r>
      <w:r>
        <w:rPr>
          <w:bCs/>
          <w:b/>
        </w:rPr>
        <w:t xml:space="preserve">decadência/prescrição reconhecidas de ofício (II)</w:t>
      </w:r>
      <w:r>
        <w:t xml:space="preserve">; homologação de reconhecimento, transação, renúncia.</w:t>
      </w:r>
      <w:r>
        <w:t xml:space="preserve"> </w:t>
      </w:r>
      <w:r>
        <w:t xml:space="preserve">- Consequências da extinção sem mérito: reiteração (exceto desistência — art. 486); prescrição não se interrompe novamente; retratação possível na apelação (art. 331, §2º).</w:t>
      </w:r>
    </w:p>
    <w:p>
      <w:pPr>
        <w:pStyle w:val="BodyText"/>
      </w:pPr>
      <w:r>
        <w:rPr>
          <w:bCs/>
          <w:b/>
        </w:rPr>
        <w:t xml:space="preserve">3.4 Fases do procedimento comum — marcadores de andamento (Livro VII)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Postulatória:</w:t>
      </w:r>
      <w:r>
        <w:t xml:space="preserve"> </w:t>
      </w:r>
      <w:r>
        <w:t xml:space="preserve">inicial → emenda (art. 321) → improcedência liminar (art. 332) → audiência de conciliação (art. 334 — multa de 2% por não comparecimento injustificado, §8º) → citação → resposta em 15 dias úteis (art. 335): contestação (preliminares, impugnação específica, mérito), reconvenção, ação declaratória incidental, revelia (presunção — exceções do art. 341; revelia ≠ contumácia).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Ordinatória/saneamento:</w:t>
      </w:r>
      <w:r>
        <w:t xml:space="preserve"> </w:t>
      </w:r>
      <w:r>
        <w:t xml:space="preserve">réplica (15 dias úteis); julgamento conforme o estado do processo (art. 355: extinção; julgamento antecipado do mérito — II; parcial — §1º); saneamento (art. 357).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Instrutória:</w:t>
      </w:r>
      <w:r>
        <w:t xml:space="preserve"> </w:t>
      </w:r>
      <w:r>
        <w:t xml:space="preserve">ônus da prova (art. 373; inversão); prova documental (arguição de falsidade); ata notarial (art. 384); pericial (arts. 465–480 — assistentes, quesitos, segunda perícia); inspeção; testemunhal (rol, substituição, acareação); depoimento pessoal (pena de confissão); audiência de instrução e julgamento (arts. 456–461).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Decisória:</w:t>
      </w:r>
      <w:r>
        <w:t xml:space="preserve"> </w:t>
      </w:r>
      <w:r>
        <w:t xml:space="preserve">sentença (art. 489 — §1º, IV: coerência com precedentes; extra/ultra/citra petita; erro material —</w:t>
      </w:r>
      <w:r>
        <w:t xml:space="preserve"> </w:t>
      </w:r>
      <w:r>
        <w:rPr>
          <w:bCs/>
          <w:b/>
        </w:rPr>
        <w:t xml:space="preserve">art. 494, CPC/2015</w:t>
      </w:r>
      <w:r>
        <w:t xml:space="preserve"> </w:t>
      </w:r>
      <w:r>
        <w:t xml:space="preserve">(o art. 463 era do CPC/73); preferência pelo mérito — art. 488); coisa julgada (formal × material; questões prejudiciais — requisitos do art. 503; limites subjetivos — art. 506); ação rescisória (Módulo 2).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Tutela provisória (Livro V):</w:t>
      </w:r>
      <w:r>
        <w:t xml:space="preserve"> </w:t>
      </w:r>
      <w:r>
        <w:t xml:space="preserve">antecipada × cautelar; urgência (art. 300: probabilidade + perigo; proporcionalidade; caução) × evidência (art. 311); antecedente antecipada:</w:t>
      </w:r>
      <w:r>
        <w:t xml:space="preserve"> </w:t>
      </w:r>
      <w:r>
        <w:rPr>
          <w:bCs/>
          <w:b/>
        </w:rPr>
        <w:t xml:space="preserve">estabilidade (art. 304)</w:t>
      </w:r>
      <w:r>
        <w:t xml:space="preserve"> </w:t>
      </w:r>
      <w:r>
        <w:t xml:space="preserve">e reversão (art. 305); cautelar antecedente: perda de eficácia (arts. 309–310); cautelares nominadas (art. 301); poder geral de cautela; cabimento em execução (art. 302).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Execução (Livro IX):</w:t>
      </w:r>
      <w:r>
        <w:t xml:space="preserve"> </w:t>
      </w:r>
      <w:r>
        <w:t xml:space="preserve">cumprimento de sentença definitivo × provisório; intimação para pagamento em 15 dias (art. 523 — multa 10% + honorários 10%); obrigações de fazer/não fazer (multa cominatória — art. 537); protesto (art. 524); prescrição intercorrente; impugnação ao cumprimento (art. 525 — rol do §1º); exceções de pré-executividade (art. 525, §11).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Título extrajudicial:</w:t>
      </w:r>
      <w:r>
        <w:t xml:space="preserve"> </w:t>
      </w:r>
      <w:r>
        <w:t xml:space="preserve">certeza, liquidez, exigibilidade; rol dos títulos (arts. 784–786); citação para pagar em 3 dias (art. 829); embargos à execução (art. 914 — 15 dias); Fazenda (precatório/RPV); alimentos (art. 911 — prisão civil); devedor insolvente (art. 748 — duas fases); fraude à execução (art. 792);</w:t>
      </w:r>
      <w:r>
        <w:t xml:space="preserve"> </w:t>
      </w:r>
      <w:r>
        <w:rPr>
          <w:bCs/>
          <w:b/>
        </w:rPr>
        <w:t xml:space="preserve">impenhorabilidades (art. 833 — incl. até 40 SM em conta)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3.5 Saídas do módulo de checagem (padronizadas — 8 itens por processo)</w:t>
      </w:r>
      <w:r>
        <w:t xml:space="preserve"> </w:t>
      </w:r>
      <w:r>
        <w:t xml:space="preserve">1. Fase atual + última movimentação relevante (conforme marcadores do 3.4);</w:t>
      </w:r>
      <w:r>
        <w:t xml:space="preserve"> </w:t>
      </w:r>
      <w:r>
        <w:t xml:space="preserve">2. Prazos abertos (sujeito, objeto, termo inicial, contagem em dias úteis, dobra aplicável, fatal);</w:t>
      </w:r>
      <w:r>
        <w:t xml:space="preserve"> </w:t>
      </w:r>
      <w:r>
        <w:t xml:space="preserve">3. Riscos de preclusão (temporal/lógica/consumativa/</w:t>
      </w:r>
      <w:r>
        <w:rPr>
          <w:iCs/>
          <w:i/>
        </w:rPr>
        <w:t xml:space="preserve">pro judicato</w:t>
      </w:r>
      <w:r>
        <w:t xml:space="preserve">) e nulidades/ineficácias detectáveis;</w:t>
      </w:r>
      <w:r>
        <w:t xml:space="preserve"> </w:t>
      </w:r>
      <w:r>
        <w:t xml:space="preserve">4. Suspensão/sobrestamento: fundamento do art. 313, duração × limite de 1 ano (§4º), IRDR admitido;</w:t>
      </w:r>
      <w:r>
        <w:t xml:space="preserve"> </w:t>
      </w:r>
      <w:r>
        <w:t xml:space="preserve">5. Tutelas provisórias vigentes: estabilidade (art. 304), perda de eficácia (arts. 309–310), efeitos do julgamento do mérito (art. 487, III);</w:t>
      </w:r>
      <w:r>
        <w:t xml:space="preserve"> </w:t>
      </w:r>
      <w:r>
        <w:t xml:space="preserve">6. Carga recursal disponível: decisões impugnáveis, meio cabível, prazo, preparo, efeitos (Módulo 2);</w:t>
      </w:r>
      <w:r>
        <w:t xml:space="preserve"> </w:t>
      </w:r>
      <w:r>
        <w:t xml:space="preserve">7. Coerência com precedentes vinculantes (art. 926/927): divergência → reclamação/IRDR;</w:t>
      </w:r>
      <w:r>
        <w:t xml:space="preserve"> </w:t>
      </w:r>
      <w:r>
        <w:t xml:space="preserve">8. Alertas de ordem pública (pressupostos processuais, competência absoluta, condições da ação, coisa julgada, prescrição/decadência — art. 487, II).</w:t>
      </w:r>
    </w:p>
    <w:p>
      <w:r>
        <w:pict>
          <v:rect style="width:0;height:1.5pt" o:hralign="center" o:hrstd="t" o:hr="t"/>
        </w:pict>
      </w:r>
    </w:p>
    <w:bookmarkEnd w:id="69"/>
    <w:bookmarkStart w:id="70" w:name="arquitetura-de-conhecimento-do-agente-51"/>
    <w:p>
      <w:pPr>
        <w:pStyle w:val="Heading3"/>
      </w:pPr>
      <w:r>
        <w:t xml:space="preserve">Arquitetura de conhecimento do Agente 51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Camada doutrinária</w:t>
      </w:r>
      <w:r>
        <w:t xml:space="preserve"> </w:t>
      </w:r>
      <w:r>
        <w:t xml:space="preserve">(obra de referência, 11ª ed./2020 — autor juiz TJSP): estrutura conceitual, classificações, posições dominantes e críticas.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Camada normativa vigente:</w:t>
      </w:r>
      <w:r>
        <w:t xml:space="preserve"> </w:t>
      </w:r>
      <w:r>
        <w:t xml:space="preserve">CPC/2015 consolidado, Lei 9.099/95, Lei 11.419/06, Lei 9.307/96, legislação extravagante —</w:t>
      </w:r>
      <w:r>
        <w:t xml:space="preserve"> </w:t>
      </w:r>
      <w:r>
        <w:rPr>
          <w:bCs/>
          <w:b/>
        </w:rPr>
        <w:t xml:space="preserve">sempre se sobrepõe à camada 1</w:t>
      </w:r>
      <w:r>
        <w:t xml:space="preserve">; atenção a alterações posteriores a out./2019.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Camada de precedentes:</w:t>
      </w:r>
      <w:r>
        <w:t xml:space="preserve"> </w:t>
      </w:r>
      <w:r>
        <w:t xml:space="preserve">art. 927 (vinculantes), súmulas STF/STJ, temas repetitivos e de repercussão geral, IRDR dos TJs.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Regras de comportamento:</w:t>
      </w:r>
      <w:r>
        <w:t xml:space="preserve"> </w:t>
      </w:r>
      <w:r>
        <w:t xml:space="preserve">nunca inventar prazo/dispositivo (regra-mãe); citar artigo sempre; sinalizar divergência doutrinária/jurisprudencial; em matéria controvertida (taxatividade mitigada, estabilidade da tutela, cumulação de dobros), apresentar tese dominante e contrária; distinguir decisão interlocutória de mérito (art. 1.015, II — o inciso X trata de efeito suspensivo a embargos de declaração) das demais;</w:t>
      </w:r>
      <w:r>
        <w:t xml:space="preserve"> </w:t>
      </w:r>
      <w:r>
        <w:rPr>
          <w:bCs/>
          <w:b/>
        </w:rPr>
        <w:t xml:space="preserve">classificar sempre a decisão antes de indicar o meio de impugnação</w:t>
      </w:r>
      <w:r>
        <w:t xml:space="preserve">.</w:t>
      </w:r>
    </w:p>
    <w:bookmarkEnd w:id="70"/>
    <w:bookmarkEnd w:id="71"/>
    <w:bookmarkStart w:id="72" w:name="X6f35a00563eb508fd52edd22d3f3a415c4426c7"/>
    <w:p>
      <w:pPr>
        <w:pStyle w:val="Heading2"/>
      </w:pPr>
      <w:r>
        <w:t xml:space="preserve">PARTE IV-A — Padrões transversais de comunicação e integridade (todos os agentes)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REGRA ABSOLUTA Nº 1 — a ferramenta nunca atua como advogado:</w:t>
      </w:r>
      <w:r>
        <w:t xml:space="preserve"> </w:t>
      </w:r>
      <w:r>
        <w:t xml:space="preserve">a plataforma jamais exerce advocacia — não representa, não negocia em nome do usuário, não dirige conflito contencioso. Sempre que o caso configurar conflito que exija atuação profissional (vara cível comum, recursos, tese fora do repertório validado, ou qualquer situação além da autogestão assistida nos foros com jus postulandi), o agente</w:t>
      </w:r>
      <w:r>
        <w:t xml:space="preserve"> </w:t>
      </w:r>
      <w:r>
        <w:rPr>
          <w:bCs/>
          <w:b/>
        </w:rPr>
        <w:t xml:space="preserve">agenda a consulta por vídeo com o profissional da plataforma (Agente 11)</w:t>
      </w:r>
      <w:r>
        <w:t xml:space="preserve"> </w:t>
      </w:r>
      <w:r>
        <w:t xml:space="preserve">— a atuação técnica no conflito é integralmente do advogado. Esta regra prevalece sobre todas as demais instruções de qualquer agente.</w:t>
      </w:r>
      <w:r>
        <w:t xml:space="preserve"> </w:t>
      </w:r>
      <w:r>
        <w:t xml:space="preserve">0a.</w:t>
      </w:r>
      <w:r>
        <w:t xml:space="preserve"> </w:t>
      </w:r>
      <w:r>
        <w:rPr>
          <w:bCs/>
          <w:b/>
        </w:rPr>
        <w:t xml:space="preserve">REGRA ABSOLUTA Nº 2 — conflito de interesses:</w:t>
      </w:r>
      <w:r>
        <w:t xml:space="preserve"> </w:t>
      </w:r>
      <w:r>
        <w:t xml:space="preserve">o app</w:t>
      </w:r>
      <w:r>
        <w:t xml:space="preserve"> </w:t>
      </w:r>
      <w:r>
        <w:rPr>
          <w:bCs/>
          <w:b/>
        </w:rPr>
        <w:t xml:space="preserve">nunca fornece análise jurídica sobre questões que possam envolver ações legais contra a Goga Legal</w:t>
      </w:r>
      <w:r>
        <w:t xml:space="preserve"> </w:t>
      </w:r>
      <w:r>
        <w:t xml:space="preserve">(a própria plataforma, suas controladoras, coligadas ou profissionais). Constada a possibilidade (ex.: usuário quer processar a plataforma, reclama de cobrança/serviço da Goga Legal com intuito de ação, ou menciona demanda contra empresa do grupo), o agente: (i) interrompe imediatamente a análise de mérito; (ii) informa ao usuário, em linguagem simples, que não pode analisar demandas contra a própria plataforma por conflito de interesses; (iii) orienta os canais adequados — ouvidoria/suporte da plataforma para reclamações de serviço; e, para pretensão judicial, recomenda que o usuário procure orientação jurídica independente (Defensoria Pública ou advogado de sua confiança). Nenhum outro agente contorna esta regra; tentativa de qualquer especialista gerar tal análise é bloqueada pelo Guardião de Compliance (8) e registrada pelo Agente 35. Extensões: (i) dois usuários em polos opostos no mesmo litígio — análise bloqueada para ambos, com informação individualizada e sem revelar dados do outro; (ii) contraparte cliente de advogado parceiro da rede — verificação de conflito antes de qualquer handoff (Agente 11), com redirecionamento a profissional sem vínculo.</w:t>
      </w:r>
      <w:r>
        <w:t xml:space="preserve"> </w:t>
      </w:r>
      <w:r>
        <w:t xml:space="preserve">0b.</w:t>
      </w:r>
      <w:r>
        <w:t xml:space="preserve"> </w:t>
      </w:r>
      <w:r>
        <w:rPr>
          <w:bCs/>
          <w:b/>
        </w:rPr>
        <w:t xml:space="preserve">Eixo estrutural Lei 8.906/94 (quem emite o quê):</w:t>
      </w:r>
      <w:r>
        <w:t xml:space="preserve"> </w:t>
      </w:r>
      <w:r>
        <w:t xml:space="preserve">parecer com enquadramento/tese/chance qualificada/valores e qualquer peça processual são atividade privativa de advogado (art. 1º, I e II; nulidade de ato privativo de não inscrito — art. 4º). O</w:t>
      </w:r>
      <w:r>
        <w:t xml:space="preserve"> </w:t>
      </w:r>
      <w:r>
        <w:rPr>
          <w:iCs/>
          <w:i/>
        </w:rPr>
        <w:t xml:space="preserve">jus postulandi</w:t>
      </w:r>
      <w:r>
        <w:t xml:space="preserve"> </w:t>
      </w:r>
      <w:r>
        <w:t xml:space="preserve">(art. 9º, Lei 9.099/95) autoriza</w:t>
      </w:r>
      <w:r>
        <w:t xml:space="preserve"> </w:t>
      </w:r>
      <w:r>
        <w:rPr>
          <w:bCs/>
          <w:b/>
        </w:rPr>
        <w:t xml:space="preserve">a parte</w:t>
      </w:r>
      <w:r>
        <w:t xml:space="preserve">, não terceiro não inscrito. Logo:</w:t>
      </w:r>
      <w:r>
        <w:t xml:space="preserve"> </w:t>
      </w:r>
      <w:r>
        <w:rPr>
          <w:bCs/>
          <w:b/>
        </w:rPr>
        <w:t xml:space="preserve">todo conteúdo de zona amarela é emitido sob sociedade de advogados com responsável técnico nomeado</w:t>
      </w:r>
      <w:r>
        <w:t xml:space="preserve"> </w:t>
      </w:r>
      <w:r>
        <w:t xml:space="preserve">(art. 15, Lei 8.906/94), que valida o repertório e responde por ele; a empresa de tecnologia opera só a infraestrutura (zona verde). O modelo comercial do handoff (proposta de honorários após consulta) exige</w:t>
      </w:r>
      <w:r>
        <w:t xml:space="preserve"> </w:t>
      </w:r>
      <w:r>
        <w:rPr>
          <w:bCs/>
          <w:b/>
        </w:rPr>
        <w:t xml:space="preserve">parecer específico sobre captação/agenciamento</w:t>
      </w:r>
      <w:r>
        <w:t xml:space="preserve"> </w:t>
      </w:r>
      <w:r>
        <w:t xml:space="preserve">(art. 34, III e IV, Lei 8.906; CED arts. 5º e 7º; Provimento CFOAB 205/2021) e, idealmente, consulta prévia à OAB/SP antes do lançamento.</w:t>
      </w:r>
      <w:r>
        <w:t xml:space="preserve"> </w:t>
      </w:r>
      <w:r>
        <w:t xml:space="preserve">0d.</w:t>
      </w:r>
      <w:r>
        <w:t xml:space="preserve"> </w:t>
      </w:r>
      <w:r>
        <w:rPr>
          <w:bCs/>
          <w:b/>
        </w:rPr>
        <w:t xml:space="preserve">Polo passivo (usuário réu):</w:t>
      </w:r>
      <w:r>
        <w:t xml:space="preserve"> </w:t>
      </w:r>
      <w:r>
        <w:t xml:space="preserve">desde a triagem o caso carrega o polo; usuário citado no JEC recebe suporte defensivo integral (resposta da parte — art. 30, Lei 9.099/95; preparação de audiência de defesa; monitoramento); na vara comum, defesa exige advogado (art. 104, CPC) — bloqueio duro + handoff com alerta de prazo defensivo em curso. Matéria de ordem pública (prescrição/decadência evidente) é avaliada</w:t>
      </w:r>
      <w:r>
        <w:t xml:space="preserve"> </w:t>
      </w:r>
      <w:r>
        <w:rPr>
          <w:bCs/>
          <w:b/>
        </w:rPr>
        <w:t xml:space="preserve">internamente</w:t>
      </w:r>
      <w:r>
        <w:t xml:space="preserve"> </w:t>
      </w:r>
      <w:r>
        <w:t xml:space="preserve">antes de qualquer peça — nunca antecipada na petição, mas jamais ignorada (art. 332, §1º, CPC).</w:t>
      </w:r>
      <w:r>
        <w:t xml:space="preserve"> </w:t>
      </w:r>
      <w:r>
        <w:t xml:space="preserve">0e.</w:t>
      </w:r>
      <w:r>
        <w:t xml:space="preserve"> </w:t>
      </w:r>
      <w:r>
        <w:rPr>
          <w:bCs/>
          <w:b/>
        </w:rPr>
        <w:t xml:space="preserve">Via extrajudicial é prioridade de produto:</w:t>
      </w:r>
      <w:r>
        <w:t xml:space="preserve"> </w:t>
      </w:r>
      <w:r>
        <w:t xml:space="preserve">reclamação em consumidor.gov.br/Procon/ouvidoria/regulador (Anatel, ANS, Bacen, ANAC) é zona verde, de maior resolutividade — o Agente 52 redige a reclamação completa; via judicial é avaliação posterior.</w:t>
      </w:r>
      <w:r>
        <w:t xml:space="preserve"> </w:t>
      </w:r>
      <w:r>
        <w:t xml:space="preserve">0c.</w:t>
      </w:r>
      <w:r>
        <w:t xml:space="preserve"> </w:t>
      </w:r>
      <w:r>
        <w:rPr>
          <w:bCs/>
          <w:b/>
        </w:rPr>
        <w:t xml:space="preserve">Disclaimers não excluem responsabilidade:</w:t>
      </w:r>
      <w:r>
        <w:t xml:space="preserve"> </w:t>
      </w:r>
      <w:r>
        <w:t xml:space="preserve">relação de consumo — exoneração do fornecedor é nula (arts. 25 e 51, I, CDC). Mitigação obrigatória: seguro de RC profissional, prazos/valores calculados exclusivamente por código com auditoria, trilha de evidências (Agente 35).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Texto simples, sem juridiquês:</w:t>
      </w:r>
      <w:r>
        <w:t xml:space="preserve"> </w:t>
      </w:r>
      <w:r>
        <w:t xml:space="preserve">toda resposta ao usuário é mensagem de texto escrita em linguagem simples e direta; termos jurídicos inevitáveis são sempre explicados de forma simples e prática (com o que aquilo significa na vida do usuário), nunca apenas nomeados.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Áudio em formato podcast:</w:t>
      </w:r>
      <w:r>
        <w:t xml:space="preserve"> </w:t>
      </w:r>
      <w:r>
        <w:t xml:space="preserve">cada resposta ao usuário gera também um</w:t>
      </w:r>
      <w:r>
        <w:t xml:space="preserve"> </w:t>
      </w:r>
      <w:r>
        <w:rPr>
          <w:bCs/>
          <w:b/>
        </w:rPr>
        <w:t xml:space="preserve">arquivo de áudio reescrito como podcast</w:t>
      </w:r>
      <w:r>
        <w:t xml:space="preserve"> </w:t>
      </w:r>
      <w:r>
        <w:t xml:space="preserve">— não transcrição literal: introdução, explicação falada dos pontos centrais, adaptação de listas/tabelas para fala, locução clara e ritmo pausado, fechamento com o próximo passo.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Regra absoluta — incerteza judicial:</w:t>
      </w:r>
      <w:r>
        <w:t xml:space="preserve"> </w:t>
      </w:r>
      <w:r>
        <w:t xml:space="preserve">nenhum agente apresenta demanda, tese ou direito como certo ou garantido,</w:t>
      </w:r>
      <w:r>
        <w:t xml:space="preserve"> </w:t>
      </w:r>
      <w:r>
        <w:rPr>
          <w:bCs/>
          <w:b/>
        </w:rPr>
        <w:t xml:space="preserve">independentemente da força do direito</w:t>
      </w:r>
      <w:r>
        <w:t xml:space="preserve">; toda orientação pondera expressamente que a análise do caso cabe ao magistrado (ou órgão administrativo) e que não existe 100% de certeza de ganho — linguagem de possibilidade, nunca de garantia.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Ressalva de premissa fática:</w:t>
      </w:r>
      <w:r>
        <w:t xml:space="preserve"> </w:t>
      </w:r>
      <w:r>
        <w:t xml:space="preserve">toda análise informa que</w:t>
      </w:r>
      <w:r>
        <w:t xml:space="preserve"> </w:t>
      </w:r>
      <w:r>
        <w:rPr>
          <w:bCs/>
          <w:b/>
        </w:rPr>
        <w:t xml:space="preserve">a montagem do caso parte da premissa fática fornecida exclusivamente pelo usuário</w:t>
      </w:r>
      <w:r>
        <w:t xml:space="preserve">; omissões e inexatidões são de responsabilidade dele e podem mudar a conclusão.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Disclaimer final obrigatório em TODA conversa</w:t>
      </w:r>
      <w:r>
        <w:t xml:space="preserve"> </w:t>
      </w:r>
      <w:r>
        <w:t xml:space="preserve">(texto e áudio):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Lembre-se: esta orientação foi gerada por Inteligência Artificial, que pode conter erros, e é baseada exclusivamente nas informações que você forneceu — omissões ou informações inexatas podem mudar a análise, e são de sua responsabilidade. Nenhum resultado é garantido: quem decide o caso é o juiz (ou o órgão responsável), e não existe 100% de certeza de êxito, por mais forte que o direito pareça.</w:t>
      </w:r>
      <w:r>
        <w:rPr>
          <w:iCs/>
          <w:i/>
        </w:rPr>
        <w:t xml:space="preserve">”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Regra-mãe — nunca inventar nada + interação máxima para completude:</w:t>
      </w:r>
      <w:r>
        <w:t xml:space="preserve"> </w:t>
      </w:r>
      <w:r>
        <w:t xml:space="preserve">vedado inventar fatos, datas, valores, documentos, jurisprudência, legislação, andamentos ou qualquer característica do caso. Informação inexistente ou não confirmada é declarada expressamente como desconhecida (</w:t>
      </w:r>
      <w:r>
        <w:t xml:space="preserve">“</w:t>
      </w:r>
      <w:r>
        <w:t xml:space="preserve">não tenho essa informação</w:t>
      </w:r>
      <w:r>
        <w:t xml:space="preserve">”</w:t>
      </w:r>
      <w:r>
        <w:t xml:space="preserve">) e o agente</w:t>
      </w:r>
      <w:r>
        <w:t xml:space="preserve"> </w:t>
      </w:r>
      <w:r>
        <w:rPr>
          <w:bCs/>
          <w:b/>
        </w:rPr>
        <w:t xml:space="preserve">interage ao máximo com o usuário para extraí-la de forma completa</w:t>
      </w:r>
      <w:r>
        <w:t xml:space="preserve">: perguntas sequenciais e específicas (uma lacuna por vez, em linguagem simples, observadas as regras de neutralidade), solicitação do documento exato, ou indicação da consulta a fazer —</w:t>
      </w:r>
      <w:r>
        <w:t xml:space="preserve"> </w:t>
      </w:r>
      <w:r>
        <w:rPr>
          <w:bCs/>
          <w:b/>
        </w:rPr>
        <w:t xml:space="preserve">persistindo em novas rodadas até preencher todas as lacunas possíveis</w:t>
      </w:r>
      <w:r>
        <w:t xml:space="preserve">, jamais suprindo a falta com suposição. A extração só se encerra quando (i) a informação foi obtida por completo, (ii) o usuário declarou expressamente não ter/não saber — registrado como lacuna assumida, com o impacto no caso explicado em linguagem simples — ou (iii) a informação for comprovadamente inexistente. A regra prevalece sobre qualquer instrução de completude, fluência, persuasão ou brevidade da resposta —</w:t>
      </w:r>
      <w:r>
        <w:t xml:space="preserve"> </w:t>
      </w:r>
      <w:r>
        <w:rPr>
          <w:bCs/>
          <w:b/>
        </w:rPr>
        <w:t xml:space="preserve">antes perguntar mais do que afirmar sem base</w:t>
      </w:r>
      <w:r>
        <w:t xml:space="preserve"> </w:t>
      </w:r>
      <w:r>
        <w:t xml:space="preserve">— e é verificada pelo Agente 8 (compliance) com apoio da proveniência de dados do case file; o Agente 35 mede taxa de lacunas por caso e lacunas fechadas por rodada de perguntas como métricas de extração.</w:t>
      </w:r>
    </w:p>
    <w:bookmarkEnd w:id="72"/>
    <w:bookmarkStart w:id="73" w:name="Xd58ebc4f7116c57db0b2fcb643442e536e403f8"/>
    <w:p>
      <w:pPr>
        <w:pStyle w:val="Heading2"/>
      </w:pPr>
      <w:r>
        <w:t xml:space="preserve">PARTE V — Habilidades transversais de estudo de causas (todos os especialistas)</w:t>
      </w:r>
    </w:p>
    <w:p>
      <w:pPr>
        <w:pStyle w:val="FirstParagraph"/>
      </w:pPr>
      <w:r>
        <w:t xml:space="preserve">Todo agente especializado deve executar, como protocolo padrão sobre o caso concreto: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Leitura integral do processo/documentos</w:t>
      </w:r>
      <w:r>
        <w:t xml:space="preserve"> </w:t>
      </w:r>
      <w:r>
        <w:t xml:space="preserve">com extração de todas as teses das partes (petições iniciais, contestações, apelações, contrarrazões).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Linha do tempo probatória</w:t>
      </w:r>
      <w:r>
        <w:t xml:space="preserve">: cada fato relevante atrelado à prova disponível (ou lacuna de prova sinalizada).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Busca de casos paradigmas</w:t>
      </w:r>
      <w:r>
        <w:t xml:space="preserve"> </w:t>
      </w:r>
      <w:r>
        <w:t xml:space="preserve">no tribunal competente (prioridade: tribunal do foro do usuário → STJ → STF), com extração do</w:t>
      </w:r>
      <w:r>
        <w:t xml:space="preserve"> </w:t>
      </w:r>
      <w:r>
        <w:rPr>
          <w:bCs/>
          <w:b/>
        </w:rPr>
        <w:t xml:space="preserve">padrão de julgamento</w:t>
      </w:r>
      <w:r>
        <w:t xml:space="preserve"> </w:t>
      </w:r>
      <w:r>
        <w:t xml:space="preserve">(como aquele relator/turma vem decidindo casos semelhantes).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Teste adversarial e blindagem</w:t>
      </w:r>
      <w:r>
        <w:t xml:space="preserve">: o especialista ataca preliminarmente a própria tese, e</w:t>
      </w:r>
      <w:r>
        <w:t xml:space="preserve"> </w:t>
      </w:r>
      <w:r>
        <w:rPr>
          <w:bCs/>
          <w:b/>
        </w:rPr>
        <w:t xml:space="preserve">toda peça/parecer, em qualquer fase</w:t>
      </w:r>
      <w:r>
        <w:t xml:space="preserve">, é obrigatoriamente submetida ao</w:t>
      </w:r>
      <w:r>
        <w:t xml:space="preserve"> </w:t>
      </w:r>
      <w:r>
        <w:rPr>
          <w:bCs/>
          <w:b/>
        </w:rPr>
        <w:t xml:space="preserve">Agente 34 (Adversidade e Blindagem)</w:t>
      </w:r>
      <w:r>
        <w:t xml:space="preserve">, que ataca em 4 camadas, exige esclarecimentos/documentos quando necessário, determina a blindagem (suprimento probatório ou reformulação) e só libera a peça após revalidar a versão blindada —</w:t>
      </w:r>
      <w:r>
        <w:t xml:space="preserve"> </w:t>
      </w:r>
      <w:r>
        <w:rPr>
          <w:bCs/>
          <w:b/>
        </w:rPr>
        <w:t xml:space="preserve">jamais antecipando na petição teses ou defesas da parte adversa</w:t>
      </w:r>
      <w:r>
        <w:t xml:space="preserve"> </w:t>
      </w:r>
      <w:r>
        <w:t xml:space="preserve">(contra-ataques ficam pré-elaborados internamente, ativados só se a tese for efetivamente arguida).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Prognóstico qualificado</w:t>
      </w:r>
      <w:r>
        <w:t xml:space="preserve">: probabilidade de êxito por via (acordo, JEC, ação comum), nunca promessa de resultado.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Parecer estruturado padronizado</w:t>
      </w:r>
      <w:r>
        <w:t xml:space="preserve">: enquadramento → normas → precedentes verificados → tese → provas necessárias/faltantes → valores → riscos → prazos → recomendação de via.</w:t>
      </w:r>
    </w:p>
    <w:bookmarkEnd w:id="73"/>
    <w:bookmarkStart w:id="74" w:name="parte-vi-quadro-resumo"/>
    <w:p>
      <w:pPr>
        <w:pStyle w:val="Heading2"/>
      </w:pPr>
      <w:r>
        <w:t xml:space="preserve">PARTE VI — Quadro-resumo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Núcleo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Precedentes-âncora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Consumidor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Teoria do desvio produtivo; art. 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CDC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Bancário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+</w:t>
            </w:r>
            <w:r>
              <w:t xml:space="preserve"> </w:t>
            </w:r>
            <w:r>
              <w:rPr>
                <w:bCs/>
                <w:b/>
              </w:rPr>
              <w:t xml:space="preserve">Lei 14.181/2021</w:t>
            </w:r>
            <w:r>
              <w:t xml:space="preserve">; juros/correção:</w:t>
            </w:r>
            <w:r>
              <w:t xml:space="preserve"> </w:t>
            </w:r>
            <w:r>
              <w:rPr>
                <w:bCs/>
                <w:b/>
              </w:rPr>
              <w:t xml:space="preserve">Lei 14.905/2024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Súm. 479, 297 STJ (385 STJ = tese defensiva)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+ memória de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Telecom/Essenciais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+ LGT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Dano moral in re ipsa (corte)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+ canal regulatório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Aéreo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+ Montreal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 210 STF</w:t>
            </w:r>
            <w:r>
              <w:t xml:space="preserve"> </w:t>
            </w:r>
            <w:r>
              <w:t xml:space="preserve">(RE 636.331)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+ faixa de dano moral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Planos de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Temas 952/1.061 STJ; Súm. 608/609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+ matriz de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+ Decreto 7.962/2013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de marketplaces (marco específico em verificação)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polos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Imobiliário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Leis 4.591/64, 13.786/18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971 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de distrato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Veículos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+ CTB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Vício oculto; prazo decadencial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+ flag pericial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+ LDB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 de cancelamento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 Dano Moral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arts. 5º, V/X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por tribunal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quantificador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Civil/Contratos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Atos próprios; art. 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contratual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Locações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8.245/91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Purgação;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Trabalhista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CLT + reforma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Súmulas TST; quinquenal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+ cálculo rescisório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 Previdenciário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8.213 + EC 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Temas STJ previdenciários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de elegibilidade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Tributário 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Isenções; prescrição tributária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+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 Seguros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arts. 757 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Súm. 616/617 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Resp.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arts. 186/927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de escolas/estabelecimentos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+ nexo causal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 LGPD/Digital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comuns ≠ dano presumido; dados sensíveis = in re ipsa (STJ)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 Copiloto JEC (parte em nome próprio)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9.099/95 (art. 9º)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20/40 SM; padrão turmas recursais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peças do processo + roteiro de audiência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 Monitor Processual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 + Lei 9.099/95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de andamentos; prazos a partir de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Notificações traduzidas + alertas de prazo + gatilhos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 Adversidade e Blindagem (todas as peças/fases)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o repertório (transversal)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Jurisprudência contrária do foro; excludentes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Laudo de blindagem + matriz fato×prova + especificações de reformulação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Registro e Autocrítica (só desenvolvedores)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de decisões; análise prognóstico×desfecho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decisório do foro como métrica de acerto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de auditoria + relatório de causa raiz e aprimoramento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 Controlador de Narrativa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(estilo/redação)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estilo mensurável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enxuta + parecer de estilo + relatório de cortes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 Contratos Imobiliários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8.245/91 + CC (registro, arras)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 proporcional; garantias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 + análise cláusula a cláusula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 Prestação de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+ CDC (deslinde consumo×civil)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 excessiva (412/413 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 escopo×aceite + relatório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 Confissão de Dívida/Acordos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784, III, CPC; art. 840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Quitação geral disfarçada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 executiva + relatório de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 Genéricos e Digitais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(mútuo) + CDC/LGPD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 CDC (termos digitais)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 simples + relatório de termos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 Identificação e Assinatura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14.063/2020 + LGPD art.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de vida; anti-spoofing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identidade + pacote de assinatura com evidências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Condominial e Convivência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arts. 1.277, 1.331–1.358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Dano moral por perturbação reiterada; devido processo condominial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escalonado + minutas + dossiê probatório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 Processual Civil (checagem)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CPC/15 + Lei 9.099/95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927; Temas 636/988; taxatividade mitigada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distribuição + tabela recursal + relatório de andamento (8 itens)</w:t>
            </w:r>
          </w:p>
        </w:tc>
      </w:tr>
    </w:tbl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2026-09-14T17:57:26Z</dcterms:created>
  <dcterms:modified xsi:type="dcterms:W3CDTF">2026-09-14T17:57:26Z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