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CẮN CỨ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Mã hợp đồng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Mã hợp đồng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Mã hợp đồng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tiêu đề 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tiêu đề 3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3. tiêu đề 3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818"/>
        <w:gridCol w:w="4819"/>
      </w:tblGrid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THNAH TOÁN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HEHE</w:t>
            </w:r>
          </w:p>
        </w:tc>
      </w:tr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THANH TOÁN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HIHI</w:t>
            </w:r>
          </w:p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br w:type="page"/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PHỤ LỤC APPENDIX_1: phụ lục 1</w:t>
      </w:r>
    </w:p>
    <w:p>
      <w:r>
        <w:rPr>
          <w:rFonts w:ascii="Times New Roman" w:hAnsi="Times New Roman" w:eastAsia="Times New Roman" w:cs="Times New Roman"/>
          <w:b w:val="false"/>
          <w:i w:val="true"/>
          <w:sz w:val="24"/>
          <w:szCs w:val="24"/>
          <w:u w:val="none"/>
        </w:rPr>
        <w:t xml:space="preserve">Căn cứ Hợp đồng số HD-MAU giữa Công ty mẫu bên cung cấp và Công ty mẫu khách hàng về việc Hợp đồng mẫu.</w:t>
      </w: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