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0"/>
          <w:szCs w:val="20"/>
          <w:u w:val="none"/>
        </w:rPr>
        <w:t xml:space="preserve">- Dựa vào điều khoản luật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0"/>
          <w:szCs w:val="20"/>
          <w:u w:val="none"/>
        </w:rPr>
        <w:t xml:space="preserve">- Dựa vào điều khoản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liên hệ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TERM_1 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903"/>
        <w:gridCol w:w="903"/>
        <w:gridCol w:w="3018"/>
        <w:gridCol w:w="2367"/>
        <w:gridCol w:w="1809"/>
      </w:tblGrid>
      <w:tr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30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2367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18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30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2367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70%</w:t>
            </w:r>
          </w:p>
        </w:tc>
        <w:tc>
          <w:tcPr>
            <w:tcW w:w="30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2367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8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4824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2367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809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