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2D20074">
      <w:pPr>
        <w:jc w:val="center"/>
        <w:rPr>
          <w:rFonts w:cs="Times New Roman" w:eastAsiaTheme="majorEastAsia"/>
          <w:b/>
          <w:bCs/>
          <w:sz w:val="44"/>
          <w:szCs w:val="44"/>
        </w:rPr>
      </w:pPr>
      <w:r>
        <w:rPr>
          <w:rFonts w:cs="Times New Roman" w:eastAsiaTheme="majorEastAsia"/>
          <w:b/>
          <w:bCs/>
          <w:sz w:val="44"/>
          <w:szCs w:val="44"/>
        </w:rPr>
        <w:t>基于SVM-RF和SHAP的企业新质生产力</w:t>
      </w:r>
    </w:p>
    <w:p w14:paraId="3D6838E8">
      <w:pPr>
        <w:jc w:val="center"/>
        <w:rPr>
          <w:rFonts w:cs="Times New Roman" w:eastAsiaTheme="majorEastAsia"/>
          <w:b/>
          <w:bCs/>
          <w:sz w:val="44"/>
          <w:szCs w:val="44"/>
        </w:rPr>
      </w:pPr>
      <w:r>
        <w:rPr>
          <w:rFonts w:cs="Times New Roman" w:eastAsiaTheme="majorEastAsia"/>
          <w:b/>
          <w:bCs/>
          <w:sz w:val="44"/>
          <w:szCs w:val="44"/>
        </w:rPr>
        <w:t>驱动力研究</w:t>
      </w:r>
    </w:p>
    <w:p w14:paraId="625C0328">
      <w:pPr>
        <w:jc w:val="center"/>
        <w:rPr>
          <w:rFonts w:eastAsia="楷体" w:cs="Times New Roman"/>
          <w:sz w:val="28"/>
          <w:szCs w:val="28"/>
        </w:rPr>
      </w:pPr>
      <w:r>
        <w:rPr>
          <w:rFonts w:eastAsia="楷体" w:cs="Times New Roman"/>
          <w:sz w:val="28"/>
          <w:szCs w:val="28"/>
        </w:rPr>
        <w:t>刘雄</w:t>
      </w:r>
      <w:r>
        <w:rPr>
          <w:rFonts w:eastAsia="楷体" w:cs="Times New Roman"/>
          <w:sz w:val="28"/>
          <w:szCs w:val="28"/>
          <w:vertAlign w:val="superscript"/>
        </w:rPr>
        <w:t>1,2</w:t>
      </w:r>
      <w:r>
        <w:rPr>
          <w:rFonts w:eastAsia="楷体" w:cs="Times New Roman"/>
          <w:sz w:val="28"/>
          <w:szCs w:val="28"/>
        </w:rPr>
        <w:t>，朱冯婧</w:t>
      </w:r>
      <w:r>
        <w:rPr>
          <w:rFonts w:eastAsia="楷体" w:cs="Times New Roman"/>
          <w:sz w:val="28"/>
          <w:szCs w:val="28"/>
          <w:vertAlign w:val="superscript"/>
        </w:rPr>
        <w:t>1,2</w:t>
      </w:r>
    </w:p>
    <w:p w14:paraId="7EF1FE6D">
      <w:pPr>
        <w:snapToGrid w:val="0"/>
        <w:ind w:left="514" w:hanging="514" w:hangingChars="245"/>
        <w:jc w:val="center"/>
        <w:rPr>
          <w:rFonts w:hint="eastAsia" w:ascii="仿宋" w:hAnsi="仿宋" w:eastAsia="仿宋" w:cs="仿宋"/>
          <w:sz w:val="21"/>
          <w:szCs w:val="21"/>
        </w:rPr>
      </w:pPr>
      <w:bookmarkStart w:id="0" w:name="OLE_LINK42"/>
      <w:bookmarkStart w:id="1" w:name="OLE_LINK43"/>
      <w:r>
        <w:rPr>
          <w:rFonts w:hint="eastAsia" w:ascii="仿宋" w:hAnsi="仿宋" w:eastAsia="仿宋" w:cs="仿宋"/>
          <w:sz w:val="21"/>
          <w:szCs w:val="21"/>
        </w:rPr>
        <w:t>(1.中国科学院科技战略咨询研究院</w:t>
      </w:r>
      <w:bookmarkEnd w:id="0"/>
      <w:bookmarkEnd w:id="1"/>
      <w:r>
        <w:rPr>
          <w:rFonts w:hint="eastAsia" w:ascii="仿宋" w:hAnsi="仿宋" w:eastAsia="仿宋" w:cs="仿宋"/>
          <w:sz w:val="21"/>
          <w:szCs w:val="21"/>
        </w:rPr>
        <w:t>，北京 100190；2.中国科学院大学公共政策与管理学院，北京 100049)</w:t>
      </w:r>
    </w:p>
    <w:p w14:paraId="24BAA731">
      <w:pPr>
        <w:rPr>
          <w:rFonts w:cs="Times New Roman"/>
          <w:sz w:val="21"/>
          <w:szCs w:val="21"/>
        </w:rPr>
      </w:pPr>
      <w:r>
        <w:rPr>
          <w:rFonts w:cs="Times New Roman"/>
          <w:b/>
          <w:bCs/>
          <w:sz w:val="21"/>
          <w:szCs w:val="21"/>
        </w:rPr>
        <w:t>摘  要</w:t>
      </w:r>
      <w:r>
        <w:rPr>
          <w:rFonts w:cs="Times New Roman"/>
          <w:b/>
          <w:bCs/>
        </w:rPr>
        <w:t>：</w:t>
      </w:r>
      <w:r>
        <w:rPr>
          <w:rFonts w:cs="Times New Roman"/>
          <w:sz w:val="21"/>
          <w:szCs w:val="21"/>
        </w:rPr>
        <w:t>企业作为市场经济的主体，是新质生产力的重要载体，研究企业新质生产力发展的驱动因素有利于增强企业竞争力和推动企业高质量发展。</w:t>
      </w:r>
      <w:r>
        <w:rPr>
          <w:rFonts w:cs="Times New Roman"/>
          <w:color w:val="FF0000"/>
          <w:sz w:val="21"/>
          <w:szCs w:val="21"/>
        </w:rPr>
        <w:t>本文基于2011—2022年中国A股上市公司数据，从劳动力投入、劳动资料与劳动对象三个维度构建企业新质生产力指标体系，采用</w:t>
      </w:r>
      <w:r>
        <w:rPr>
          <w:rFonts w:hint="eastAsia" w:cs="Times New Roman"/>
          <w:color w:val="FF0000"/>
          <w:sz w:val="21"/>
          <w:szCs w:val="21"/>
          <w:lang w:val="en-US" w:eastAsia="zh-CN" w:bidi="ar"/>
        </w:rPr>
        <w:t>OPA-熵权测度方法</w:t>
      </w:r>
      <w:r>
        <w:rPr>
          <w:rFonts w:cs="Times New Roman"/>
          <w:color w:val="FF0000"/>
          <w:sz w:val="21"/>
          <w:szCs w:val="21"/>
        </w:rPr>
        <w:t>进行指标</w:t>
      </w:r>
      <w:r>
        <w:rPr>
          <w:rFonts w:hint="eastAsia" w:cs="Times New Roman"/>
          <w:color w:val="FF0000"/>
          <w:sz w:val="21"/>
          <w:szCs w:val="21"/>
          <w:lang w:val="en-US" w:eastAsia="zh-CN"/>
        </w:rPr>
        <w:t>赋权和企业新质生产力测度</w:t>
      </w:r>
      <w:r>
        <w:rPr>
          <w:rFonts w:cs="Times New Roman"/>
          <w:color w:val="FF0000"/>
          <w:sz w:val="21"/>
          <w:szCs w:val="21"/>
        </w:rPr>
        <w:t>。</w:t>
      </w:r>
      <w:r>
        <w:rPr>
          <w:rFonts w:cs="Times New Roman"/>
          <w:sz w:val="21"/>
          <w:szCs w:val="21"/>
        </w:rPr>
        <w:t>结合TOE框架，构建</w:t>
      </w:r>
      <w:r>
        <w:rPr>
          <w:rFonts w:cs="Times New Roman"/>
          <w:color w:val="FF0000"/>
          <w:sz w:val="21"/>
          <w:szCs w:val="21"/>
        </w:rPr>
        <w:t>企业新质生产力</w:t>
      </w:r>
      <w:r>
        <w:rPr>
          <w:rFonts w:cs="Times New Roman"/>
          <w:sz w:val="21"/>
          <w:szCs w:val="21"/>
        </w:rPr>
        <w:t>驱动因素体系，构建基于SVM-RF的企业新质生产力发展预测模型，并与逻辑回归、集成学习和深度学习等多种机器学习方法进行结果对比。最后采用SHAP方法解释分析驱动因素如何影响企业新质生产力发展，并进行重要性排序。研究发现：(1)SVM-RF组合模型的</w:t>
      </w:r>
      <w:r>
        <w:rPr>
          <w:rFonts w:cs="Times New Roman"/>
          <w:sz w:val="21"/>
          <w:szCs w:val="21"/>
          <w:lang w:bidi="ar"/>
        </w:rPr>
        <w:t>Accuracy、F1等评价指标结果均高于其他模型，AUC值达到90%以上，</w:t>
      </w:r>
      <w:r>
        <w:rPr>
          <w:rFonts w:cs="Times New Roman"/>
          <w:sz w:val="21"/>
          <w:szCs w:val="21"/>
        </w:rPr>
        <w:t>在预测企业新质生产力发展水平方面具备较好性能，另外机器学习方法的预测准确度明显优于传统回归模型。(2)研发经费投入、高学历人才占比和企业规模等因素在SHAP和多个机器学习特征重要性排序中均在前五位，科技创新、人才投入和绿色发展等方面特征均对企业新质生产力发展产生正向影响。(3)国有企业的新质生产力发展水平强的概率整体高于非国有企业，说明其在技术创新和资源投入方面更具优势。</w:t>
      </w:r>
      <w:r>
        <w:rPr>
          <w:rFonts w:hint="eastAsia" w:cs="Times New Roman"/>
          <w:sz w:val="21"/>
          <w:szCs w:val="21"/>
        </w:rPr>
        <w:t>此外，</w:t>
      </w:r>
      <w:r>
        <w:rPr>
          <w:rFonts w:cs="Times New Roman"/>
          <w:sz w:val="21"/>
          <w:szCs w:val="21"/>
        </w:rPr>
        <w:t>企业年龄和ESG环境评级因素对国有企业和非国有企业的新质生产力发展会产生相反影响，中等企业年龄的国有企业的新质生产力发展水平较高，而非国有企业则较低。本文研究结论对于企业更好的发展新质生产力具有一定参考价值，并提供了用机器学习方法来探究企业新质生产力驱动因素的实证证据。</w:t>
      </w:r>
    </w:p>
    <w:p w14:paraId="27ACC590">
      <w:pPr>
        <w:rPr>
          <w:rFonts w:cs="Times New Roman"/>
          <w:sz w:val="21"/>
          <w:szCs w:val="21"/>
          <w:lang w:bidi="ar"/>
        </w:rPr>
      </w:pPr>
      <w:r>
        <w:rPr>
          <w:rFonts w:cs="Times New Roman"/>
          <w:b/>
          <w:sz w:val="21"/>
          <w:szCs w:val="21"/>
        </w:rPr>
        <w:t>关键词</w:t>
      </w:r>
      <w:r>
        <w:rPr>
          <w:rFonts w:hint="eastAsia" w:cs="Times New Roman"/>
          <w:b/>
          <w:sz w:val="21"/>
          <w:szCs w:val="21"/>
        </w:rPr>
        <w:t>：</w:t>
      </w:r>
      <w:r>
        <w:rPr>
          <w:rFonts w:cs="Times New Roman"/>
          <w:sz w:val="21"/>
          <w:szCs w:val="21"/>
          <w:lang w:bidi="ar"/>
        </w:rPr>
        <w:t>新质生产力；TOE框架；机器学习；SHAP</w:t>
      </w:r>
    </w:p>
    <w:p w14:paraId="2A23F916">
      <w:pPr>
        <w:rPr>
          <w:rFonts w:cs="Times New Roman"/>
          <w:sz w:val="21"/>
          <w:szCs w:val="21"/>
          <w:lang w:bidi="ar"/>
        </w:rPr>
      </w:pPr>
    </w:p>
    <w:p w14:paraId="41177751">
      <w:pPr>
        <w:adjustRightInd w:val="0"/>
        <w:snapToGrid w:val="0"/>
        <w:outlineLvl w:val="0"/>
        <w:rPr>
          <w:rFonts w:eastAsia="黑体" w:cs="Times New Roman"/>
          <w:b/>
          <w:sz w:val="28"/>
          <w:szCs w:val="28"/>
        </w:rPr>
      </w:pPr>
      <w:r>
        <w:rPr>
          <w:rFonts w:eastAsia="黑体" w:cs="Times New Roman"/>
          <w:b/>
          <w:sz w:val="28"/>
          <w:szCs w:val="28"/>
        </w:rPr>
        <w:t>1 引言</w:t>
      </w:r>
    </w:p>
    <w:p w14:paraId="3C492C5A">
      <w:pPr>
        <w:pStyle w:val="18"/>
        <w:rPr>
          <w:rFonts w:cs="Times New Roman"/>
          <w:sz w:val="21"/>
          <w:szCs w:val="21"/>
          <w:lang w:bidi="ar"/>
        </w:rPr>
      </w:pPr>
      <w:r>
        <w:rPr>
          <w:rFonts w:cs="Times New Roman"/>
          <w:sz w:val="21"/>
          <w:szCs w:val="21"/>
          <w:lang w:bidi="ar"/>
        </w:rPr>
        <w:t>2023年9月，习近平总书记在主持东北振兴座谈会上指出，要积极培育新兴产业与未来产业，以加快形成新质生产力，增强发展新动能</w:t>
      </w:r>
      <w:r>
        <w:rPr>
          <w:rFonts w:cs="Times New Roman"/>
          <w:sz w:val="21"/>
          <w:szCs w:val="21"/>
          <w:vertAlign w:val="superscript"/>
          <w:lang w:bidi="ar"/>
        </w:rPr>
        <w:t>[1]</w:t>
      </w:r>
      <w:r>
        <w:rPr>
          <w:rFonts w:cs="Times New Roman"/>
          <w:sz w:val="21"/>
          <w:szCs w:val="21"/>
          <w:lang w:bidi="ar"/>
        </w:rPr>
        <w:t>。由此新质生产力的概念被首次提出，接着习近平总书记在次年1月的中共中央政治局第</w:t>
      </w:r>
      <w:r>
        <w:rPr>
          <w:rFonts w:hint="eastAsia" w:cs="Times New Roman"/>
          <w:sz w:val="21"/>
          <w:szCs w:val="21"/>
          <w:lang w:eastAsia="zh" w:bidi="ar"/>
        </w:rPr>
        <w:t>十一</w:t>
      </w:r>
      <w:r>
        <w:rPr>
          <w:rFonts w:cs="Times New Roman"/>
          <w:sz w:val="21"/>
          <w:szCs w:val="21"/>
          <w:lang w:bidi="ar"/>
        </w:rPr>
        <w:t>次集体学习再次强调加快发展新质生产力，扎实推进高质量发展</w:t>
      </w:r>
      <w:r>
        <w:rPr>
          <w:rFonts w:cs="Times New Roman"/>
          <w:sz w:val="21"/>
          <w:szCs w:val="21"/>
          <w:vertAlign w:val="superscript"/>
          <w:lang w:bidi="ar"/>
        </w:rPr>
        <w:t>[2]</w:t>
      </w:r>
      <w:r>
        <w:rPr>
          <w:rFonts w:cs="Times New Roman"/>
          <w:sz w:val="21"/>
          <w:szCs w:val="21"/>
          <w:lang w:bidi="ar"/>
        </w:rPr>
        <w:t>。新质生产力的内涵涵盖了三大要素的质变：劳动力、生产资料和生产对象，核心在于提升全要素生产率，载体在于构建现代化产业体系</w:t>
      </w:r>
      <w:r>
        <w:rPr>
          <w:rFonts w:cs="Times New Roman"/>
          <w:sz w:val="21"/>
          <w:szCs w:val="21"/>
          <w:vertAlign w:val="superscript"/>
          <w:lang w:bidi="ar"/>
        </w:rPr>
        <w:t>[3]</w:t>
      </w:r>
      <w:r>
        <w:rPr>
          <w:rFonts w:cs="Times New Roman"/>
          <w:sz w:val="21"/>
          <w:szCs w:val="21"/>
          <w:lang w:bidi="ar"/>
        </w:rPr>
        <w:t>。新质生产力是马克思主义生产力理论的创新与发展，新表现在发挥科技创新的驱动作用，创新引领变革，突破传统生产方式的局限，实现生产力新的飞跃；质体现在全面提升生产效率，优化生产流程和管理模式，最终实现经济的可持续发展</w:t>
      </w:r>
      <w:r>
        <w:rPr>
          <w:rFonts w:cs="Times New Roman"/>
          <w:sz w:val="21"/>
          <w:szCs w:val="21"/>
          <w:vertAlign w:val="superscript"/>
          <w:lang w:bidi="ar"/>
        </w:rPr>
        <w:t>[4]</w:t>
      </w:r>
      <w:r>
        <w:rPr>
          <w:rFonts w:cs="Times New Roman"/>
          <w:sz w:val="21"/>
          <w:szCs w:val="21"/>
          <w:lang w:bidi="ar"/>
        </w:rPr>
        <w:t>。</w:t>
      </w:r>
    </w:p>
    <w:p w14:paraId="5E374EF0">
      <w:pPr>
        <w:pStyle w:val="18"/>
        <w:rPr>
          <w:rFonts w:cs="Times New Roman"/>
          <w:sz w:val="21"/>
          <w:szCs w:val="21"/>
          <w:lang w:bidi="ar"/>
        </w:rPr>
      </w:pPr>
      <w:r>
        <w:rPr>
          <w:rFonts w:cs="Times New Roman"/>
          <w:sz w:val="21"/>
          <w:szCs w:val="21"/>
          <w:lang w:bidi="ar"/>
        </w:rPr>
        <w:t>企业作为国家重要的经济载体，是推动经济社会进步和新质生产力发展的核心主体。新质生产力作为推动企业高质量发展的关键引擎和强大动力，研究其驱动因素有助于企业更好地发展。本文认为，企业新质生产力代表着科技创新引领下的生产力飞跃和全面升级，具有高科技、高效能、高质量特征，符合新发展理念的先进生产力质态，以劳动者、劳动资料、劳动对象及其优化组合的跃升为基本内涵，以技术创新、管理创新、商业模式创新和提高绿色发展水平作为新质生产力发展的实现路径。对于企业而言，提升新质生产力意味着能够在激烈的市场竞争中保持优势，实现可持续发展。</w:t>
      </w:r>
    </w:p>
    <w:p w14:paraId="0ADC29A7">
      <w:pPr>
        <w:pStyle w:val="18"/>
        <w:rPr>
          <w:rFonts w:cs="Times New Roman"/>
          <w:sz w:val="21"/>
          <w:szCs w:val="21"/>
          <w:lang w:bidi="ar"/>
        </w:rPr>
      </w:pPr>
      <w:r>
        <w:rPr>
          <w:rFonts w:cs="Times New Roman"/>
          <w:sz w:val="21"/>
          <w:szCs w:val="21"/>
          <w:lang w:bidi="ar"/>
        </w:rPr>
        <w:t>因此探究企业新质生产力发展的驱动因素不仅能带来效率变革、动力变革和质量变革，而且有助于推动整个行业的进步和转型升级，从而推动经济社会的高质量发展。</w:t>
      </w:r>
      <w:r>
        <w:rPr>
          <w:rFonts w:cs="Times New Roman"/>
          <w:color w:val="000000"/>
          <w:kern w:val="0"/>
          <w:sz w:val="21"/>
          <w:szCs w:val="21"/>
          <w:lang w:bidi="ar"/>
        </w:rPr>
        <w:t>现有文献侧重于探究新质生产力的内涵特征</w:t>
      </w:r>
      <w:r>
        <w:rPr>
          <w:rFonts w:cs="Times New Roman"/>
          <w:sz w:val="21"/>
          <w:szCs w:val="21"/>
          <w:vertAlign w:val="superscript"/>
          <w:lang w:bidi="ar"/>
        </w:rPr>
        <w:t>[3-4]</w:t>
      </w:r>
      <w:r>
        <w:rPr>
          <w:rFonts w:cs="Times New Roman"/>
          <w:color w:val="000000"/>
          <w:kern w:val="0"/>
          <w:sz w:val="21"/>
          <w:szCs w:val="21"/>
          <w:lang w:bidi="ar"/>
        </w:rPr>
        <w:t>和实现路径</w:t>
      </w:r>
      <w:r>
        <w:rPr>
          <w:rFonts w:cs="Times New Roman"/>
          <w:sz w:val="21"/>
          <w:szCs w:val="21"/>
          <w:vertAlign w:val="superscript"/>
          <w:lang w:bidi="ar"/>
        </w:rPr>
        <w:t>[5-7]</w:t>
      </w:r>
      <w:r>
        <w:rPr>
          <w:rFonts w:cs="Times New Roman"/>
          <w:color w:val="000000"/>
          <w:kern w:val="0"/>
          <w:sz w:val="21"/>
          <w:szCs w:val="21"/>
          <w:lang w:bidi="ar"/>
        </w:rPr>
        <w:t>。</w:t>
      </w:r>
      <w:r>
        <w:rPr>
          <w:rFonts w:cs="Times New Roman"/>
          <w:sz w:val="21"/>
          <w:szCs w:val="21"/>
          <w:lang w:bidi="ar"/>
        </w:rPr>
        <w:t>从实证角度看，对企业的新质生产力进行实证研究的文献较少，大多文献关注于如何测度新质生产力并构建相应指标体系</w:t>
      </w:r>
      <w:r>
        <w:rPr>
          <w:rFonts w:cs="Times New Roman"/>
          <w:sz w:val="21"/>
          <w:szCs w:val="21"/>
          <w:vertAlign w:val="superscript"/>
          <w:lang w:bidi="ar"/>
        </w:rPr>
        <w:t>[8-9]</w:t>
      </w:r>
      <w:r>
        <w:rPr>
          <w:rFonts w:cs="Times New Roman"/>
          <w:color w:val="000000"/>
          <w:kern w:val="0"/>
          <w:sz w:val="21"/>
          <w:szCs w:val="21"/>
          <w:lang w:bidi="ar"/>
        </w:rPr>
        <w:t>，或者探究ESG、数智化转型、内部薪酬差距等单因素对企业新质生产力发展的影响</w:t>
      </w:r>
      <w:r>
        <w:rPr>
          <w:rFonts w:cs="Times New Roman"/>
          <w:sz w:val="21"/>
          <w:szCs w:val="21"/>
          <w:vertAlign w:val="superscript"/>
          <w:lang w:bidi="ar"/>
        </w:rPr>
        <w:t>[10-12]</w:t>
      </w:r>
      <w:r>
        <w:rPr>
          <w:rFonts w:cs="Times New Roman"/>
          <w:color w:val="000000"/>
          <w:kern w:val="0"/>
          <w:sz w:val="21"/>
          <w:szCs w:val="21"/>
          <w:lang w:bidi="ar"/>
        </w:rPr>
        <w:t>，鲜有实证研究模型探究多驱动因素对企业新质生产力发展的影响。</w:t>
      </w:r>
      <w:r>
        <w:rPr>
          <w:rFonts w:cs="Times New Roman"/>
          <w:sz w:val="21"/>
          <w:szCs w:val="21"/>
          <w:lang w:bidi="ar"/>
        </w:rPr>
        <w:t>基于此，本文以2011—2022年中国A股上市企业作为样本，研究企业新质生产力的多驱动因素对企业新质生产力发展的影响，从机器学习的可解释性出发，基于SVM-RF模型进行预测，并对比分析多种分类预测模型的评价结果，然后使用SHAP方法对驱动因素的影响进行具体解释。结果表明：SVM-RF模型预测精度最高，并且机器学习模型的预测效果均高于传统的逻辑回归模型。</w:t>
      </w:r>
    </w:p>
    <w:p w14:paraId="3A58D68B">
      <w:pPr>
        <w:pStyle w:val="18"/>
        <w:rPr>
          <w:rFonts w:cs="Times New Roman"/>
          <w:color w:val="FF0000"/>
          <w:sz w:val="21"/>
          <w:szCs w:val="21"/>
          <w:lang w:bidi="ar"/>
        </w:rPr>
      </w:pPr>
      <w:r>
        <w:rPr>
          <w:rFonts w:cs="Times New Roman"/>
          <w:sz w:val="21"/>
          <w:szCs w:val="21"/>
          <w:lang w:bidi="ar"/>
        </w:rPr>
        <w:t>与已有研究相比，本文可能的边际贡献在于：(1)本文基于TOE框架构建了企业新质生产力的驱动因素预测模型，并进行实证分析，为多驱动因素对企业新质生产力发展的影响提供实证证据；(2)相较于现有企业新质生产力影响因素研究所采用的逻辑回归和常规计量方法，本文首次采用多种机器学习方法来探究多驱动因素对企业新质生产力的影响，并对比分析实验结果，提供与传统解释性建模不同的思路。(3)引入SHAP方法来探究不同驱动因素对企业新质生产力发展的重要性，并具体分析单驱动因素对企业新质生产力发展的正负影响，并比较分析驱动因素对国有企业与非国有企业产生的不同影响，增强了机器学习的可解释性。</w:t>
      </w:r>
      <w:r>
        <w:rPr>
          <w:rFonts w:hint="eastAsia" w:cs="Times New Roman"/>
          <w:color w:val="FF0000"/>
          <w:sz w:val="21"/>
          <w:szCs w:val="21"/>
          <w:lang w:eastAsia="zh-CN" w:bidi="ar"/>
        </w:rPr>
        <w:t>（</w:t>
      </w:r>
      <w:r>
        <w:rPr>
          <w:rFonts w:hint="eastAsia" w:cs="Times New Roman"/>
          <w:color w:val="FF0000"/>
          <w:sz w:val="21"/>
          <w:szCs w:val="21"/>
          <w:lang w:val="en-US" w:eastAsia="zh-CN" w:bidi="ar"/>
        </w:rPr>
        <w:t>4）</w:t>
      </w:r>
      <w:r>
        <w:rPr>
          <w:rFonts w:cs="Times New Roman"/>
          <w:color w:val="FF0000"/>
          <w:sz w:val="21"/>
          <w:szCs w:val="21"/>
          <w:lang w:bidi="ar"/>
        </w:rPr>
        <w:t>在</w:t>
      </w:r>
      <w:r>
        <w:rPr>
          <w:rFonts w:hint="eastAsia" w:cs="Times New Roman"/>
          <w:color w:val="FF0000"/>
          <w:sz w:val="21"/>
          <w:szCs w:val="21"/>
          <w:lang w:val="en-US" w:eastAsia="zh-CN" w:bidi="ar"/>
        </w:rPr>
        <w:t>新质生产力</w:t>
      </w:r>
      <w:r>
        <w:rPr>
          <w:rFonts w:cs="Times New Roman"/>
          <w:color w:val="FF0000"/>
          <w:sz w:val="21"/>
          <w:szCs w:val="21"/>
          <w:lang w:bidi="ar"/>
        </w:rPr>
        <w:t>指标赋权</w:t>
      </w:r>
      <w:r>
        <w:rPr>
          <w:rFonts w:hint="eastAsia" w:cs="Times New Roman"/>
          <w:color w:val="FF0000"/>
          <w:sz w:val="21"/>
          <w:szCs w:val="21"/>
          <w:lang w:val="en-US" w:eastAsia="zh-CN" w:bidi="ar"/>
        </w:rPr>
        <w:t>和水平测度</w:t>
      </w:r>
      <w:r>
        <w:rPr>
          <w:rFonts w:cs="Times New Roman"/>
          <w:color w:val="FF0000"/>
          <w:sz w:val="21"/>
          <w:szCs w:val="21"/>
          <w:lang w:bidi="ar"/>
        </w:rPr>
        <w:t>方面，本文结合主观OPA方法与客观熵权法</w:t>
      </w:r>
      <w:r>
        <w:rPr>
          <w:rFonts w:hint="eastAsia" w:cs="Times New Roman"/>
          <w:color w:val="FF0000"/>
          <w:sz w:val="21"/>
          <w:szCs w:val="21"/>
          <w:lang w:eastAsia="zh-CN" w:bidi="ar"/>
        </w:rPr>
        <w:t>，</w:t>
      </w:r>
      <w:r>
        <w:rPr>
          <w:rFonts w:hint="eastAsia" w:cs="Times New Roman"/>
          <w:color w:val="FF0000"/>
          <w:sz w:val="21"/>
          <w:szCs w:val="21"/>
          <w:lang w:val="en-US" w:eastAsia="zh-CN" w:bidi="ar"/>
        </w:rPr>
        <w:t>提出OPA-熵权测度方法</w:t>
      </w:r>
      <w:r>
        <w:rPr>
          <w:rFonts w:cs="Times New Roman"/>
          <w:color w:val="FF0000"/>
          <w:sz w:val="21"/>
          <w:szCs w:val="21"/>
          <w:lang w:bidi="ar"/>
        </w:rPr>
        <w:t>，提升了企业新质生产力</w:t>
      </w:r>
      <w:r>
        <w:rPr>
          <w:rFonts w:hint="eastAsia" w:cs="Times New Roman"/>
          <w:color w:val="FF0000"/>
          <w:sz w:val="21"/>
          <w:szCs w:val="21"/>
          <w:lang w:val="en-US" w:eastAsia="zh-CN" w:bidi="ar"/>
        </w:rPr>
        <w:t>测度</w:t>
      </w:r>
      <w:r>
        <w:rPr>
          <w:rFonts w:cs="Times New Roman"/>
          <w:color w:val="FF0000"/>
          <w:sz w:val="21"/>
          <w:szCs w:val="21"/>
          <w:lang w:bidi="ar"/>
        </w:rPr>
        <w:t>的科学性和鲁棒性，弥补了单一赋权方法的不足。</w:t>
      </w:r>
    </w:p>
    <w:p w14:paraId="403409E8">
      <w:pPr>
        <w:pStyle w:val="18"/>
        <w:rPr>
          <w:rFonts w:hint="default" w:cs="Times New Roman"/>
          <w:color w:val="FF0000"/>
          <w:sz w:val="21"/>
          <w:szCs w:val="21"/>
          <w:lang w:val="en-US" w:eastAsia="zh-CN" w:bidi="ar"/>
        </w:rPr>
      </w:pPr>
    </w:p>
    <w:p w14:paraId="7D2B6DD5">
      <w:pPr>
        <w:adjustRightInd w:val="0"/>
        <w:snapToGrid w:val="0"/>
        <w:outlineLvl w:val="0"/>
        <w:rPr>
          <w:rFonts w:eastAsia="黑体" w:cs="Times New Roman"/>
          <w:b/>
          <w:sz w:val="28"/>
          <w:szCs w:val="28"/>
        </w:rPr>
      </w:pPr>
      <w:r>
        <w:rPr>
          <w:rFonts w:eastAsia="黑体" w:cs="Times New Roman"/>
          <w:b/>
          <w:sz w:val="28"/>
          <w:szCs w:val="28"/>
        </w:rPr>
        <w:t>2 企业新质生产力驱动力</w:t>
      </w:r>
    </w:p>
    <w:p w14:paraId="06216E55">
      <w:pPr>
        <w:pStyle w:val="4"/>
        <w:spacing w:before="0" w:after="0" w:line="240" w:lineRule="auto"/>
        <w:rPr>
          <w:rFonts w:cs="Times New Roman"/>
          <w:sz w:val="21"/>
          <w:szCs w:val="21"/>
        </w:rPr>
      </w:pPr>
      <w:r>
        <w:rPr>
          <w:rFonts w:cs="Times New Roman"/>
          <w:sz w:val="21"/>
          <w:szCs w:val="21"/>
        </w:rPr>
        <w:t>2.1</w:t>
      </w:r>
      <w:r>
        <w:rPr>
          <w:rFonts w:hint="eastAsia" w:cs="Times New Roman"/>
          <w:sz w:val="21"/>
          <w:szCs w:val="21"/>
          <w:lang w:eastAsia="zh"/>
        </w:rPr>
        <w:t xml:space="preserve"> </w:t>
      </w:r>
      <w:r>
        <w:rPr>
          <w:rFonts w:cs="Times New Roman"/>
          <w:sz w:val="21"/>
          <w:szCs w:val="21"/>
        </w:rPr>
        <w:t>TOE理论</w:t>
      </w:r>
    </w:p>
    <w:p w14:paraId="4B92605C">
      <w:pPr>
        <w:ind w:firstLine="420" w:firstLineChars="200"/>
        <w:rPr>
          <w:rFonts w:cs="Times New Roman"/>
          <w:sz w:val="21"/>
          <w:szCs w:val="21"/>
          <w:lang w:bidi="ar"/>
        </w:rPr>
      </w:pPr>
      <w:r>
        <w:rPr>
          <w:rFonts w:cs="Times New Roman"/>
          <w:sz w:val="21"/>
          <w:szCs w:val="21"/>
          <w:lang w:bidi="ar"/>
        </w:rPr>
        <w:t>TOE理论框架是一个多维度的分析工具，由Tornatizky和Fleischer</w:t>
      </w:r>
      <w:r>
        <w:rPr>
          <w:rFonts w:cs="Times New Roman"/>
          <w:sz w:val="21"/>
          <w:szCs w:val="21"/>
          <w:vertAlign w:val="superscript"/>
          <w:lang w:bidi="ar"/>
        </w:rPr>
        <w:t>[13]</w:t>
      </w:r>
      <w:r>
        <w:rPr>
          <w:rFonts w:cs="Times New Roman"/>
          <w:sz w:val="21"/>
          <w:szCs w:val="21"/>
          <w:lang w:bidi="ar"/>
        </w:rPr>
        <w:t>在1990年首次提出，被用于研究影响企业使用新技术的驱动因素。它综合了技术、组织和环境三个关键因素，为企业提供了一个全面审视企业竞争力的视角</w:t>
      </w:r>
      <w:r>
        <w:rPr>
          <w:rFonts w:cs="Times New Roman"/>
          <w:sz w:val="21"/>
          <w:szCs w:val="21"/>
          <w:vertAlign w:val="superscript"/>
          <w:lang w:bidi="ar"/>
        </w:rPr>
        <w:t>[14]</w:t>
      </w:r>
      <w:r>
        <w:rPr>
          <w:rFonts w:cs="Times New Roman"/>
          <w:sz w:val="21"/>
          <w:szCs w:val="21"/>
          <w:lang w:bidi="ar"/>
        </w:rPr>
        <w:t>。在技术层面，企业需评估新技术的成熟度和稳定性，同时不断推动技术创新，这些技术创新为新质生产力的形成和发展提供了强大的动力，确保企业在市场中保持竞争力。组织层面上，企业应建立高效的组织架构，强化部门间的协同，提高运营效率。新质生产力的发展要求组织进行相应的结构调整和变革，企业也需要通过人才培养和引进策略，构建适应新质生产力发展的人才体系。环境层面上，环保政策不仅能约束企业的污染行为，也为新质生产力的发展提供了重要机遇，政府对绿色技术、清洁能源等领域的支持和补贴，可以激发企业的创新活力。在当前全球绿色化、低碳化的发展趋势下，企业需要紧跟行业趋势，加强技术创新和产业升级，以适应绿色化、低碳化的市场需求。总体而言，TOE框架为企业提供了一个结构化分析框架，帮助企业系统地识别和应对影响企业竞争力的多元因素。技术维度的创新与突破、组织维度的支撑与变革、环境维度的保障与优化共同构成了推动企业新质生产力发展的强大动力。</w:t>
      </w:r>
    </w:p>
    <w:p w14:paraId="49878D14">
      <w:pPr>
        <w:pStyle w:val="4"/>
        <w:spacing w:before="0" w:after="0" w:line="240" w:lineRule="auto"/>
        <w:rPr>
          <w:rFonts w:cs="Times New Roman"/>
          <w:sz w:val="21"/>
          <w:szCs w:val="21"/>
        </w:rPr>
      </w:pPr>
      <w:r>
        <w:rPr>
          <w:rFonts w:cs="Times New Roman"/>
          <w:sz w:val="21"/>
          <w:szCs w:val="21"/>
        </w:rPr>
        <w:t>2.2</w:t>
      </w:r>
      <w:r>
        <w:rPr>
          <w:rFonts w:hint="eastAsia" w:cs="Times New Roman"/>
          <w:sz w:val="21"/>
          <w:szCs w:val="21"/>
          <w:lang w:eastAsia="zh"/>
        </w:rPr>
        <w:t xml:space="preserve"> </w:t>
      </w:r>
      <w:r>
        <w:rPr>
          <w:rFonts w:cs="Times New Roman"/>
          <w:sz w:val="21"/>
          <w:szCs w:val="21"/>
        </w:rPr>
        <w:t xml:space="preserve">基于TOE框架的驱动因素构建 </w:t>
      </w:r>
    </w:p>
    <w:p w14:paraId="703C0211">
      <w:pPr>
        <w:ind w:firstLine="420" w:firstLineChars="200"/>
        <w:rPr>
          <w:rFonts w:cs="Times New Roman"/>
          <w:sz w:val="21"/>
          <w:szCs w:val="21"/>
          <w:lang w:bidi="ar"/>
        </w:rPr>
      </w:pPr>
      <w:r>
        <w:rPr>
          <w:rFonts w:cs="Times New Roman"/>
          <w:sz w:val="21"/>
          <w:szCs w:val="21"/>
          <w:highlight w:val="none"/>
          <w:lang w:bidi="ar"/>
        </w:rPr>
        <w:t>本文基于 TOE 理论框架，将影响企业新质生产力的驱动因素划分为技术因素、组织因素和环境因素等三个一级因素，并再细分为7个二级因素和22个三级因素，如图1所示。其中技术因素是企业新质生产力发展的重要支撑，包含企业的科技创新水平、人才投入等，组织因</w:t>
      </w:r>
      <w:r>
        <w:rPr>
          <w:rFonts w:cs="Times New Roman"/>
          <w:sz w:val="21"/>
          <w:szCs w:val="21"/>
          <w:lang w:bidi="ar"/>
        </w:rPr>
        <w:t>素则聚焦于企业的基本特征、治理结构和高管能力，而环境因素主要从企业的绿色发展和环境保护方面进行分析。</w:t>
      </w:r>
    </w:p>
    <w:p w14:paraId="49284328">
      <w:pPr>
        <w:snapToGrid w:val="0"/>
        <w:jc w:val="both"/>
        <w:rPr>
          <w:rFonts w:cs="Times New Roman"/>
          <w:color w:val="000000"/>
          <w:sz w:val="18"/>
          <w:szCs w:val="18"/>
        </w:rPr>
      </w:pPr>
      <w:r>
        <w:drawing>
          <wp:inline distT="0" distB="0" distL="114300" distR="114300">
            <wp:extent cx="6202045" cy="2319020"/>
            <wp:effectExtent l="0" t="0" r="825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6202045" cy="2319020"/>
                    </a:xfrm>
                    <a:prstGeom prst="rect">
                      <a:avLst/>
                    </a:prstGeom>
                    <a:noFill/>
                    <a:ln>
                      <a:noFill/>
                    </a:ln>
                  </pic:spPr>
                </pic:pic>
              </a:graphicData>
            </a:graphic>
          </wp:inline>
        </w:drawing>
      </w:r>
    </w:p>
    <w:p w14:paraId="28A52E79">
      <w:pPr>
        <w:snapToGrid w:val="0"/>
        <w:jc w:val="center"/>
        <w:rPr>
          <w:rFonts w:cs="Times New Roman"/>
          <w:sz w:val="21"/>
          <w:szCs w:val="21"/>
          <w:lang w:bidi="ar"/>
        </w:rPr>
      </w:pPr>
      <w:r>
        <w:rPr>
          <w:rFonts w:cs="Times New Roman"/>
          <w:color w:val="000000"/>
          <w:sz w:val="18"/>
          <w:szCs w:val="18"/>
        </w:rPr>
        <w:t>图1  TOE框架下企业新质生产力的影响因素</w:t>
      </w:r>
    </w:p>
    <w:p w14:paraId="63F4A2BC">
      <w:pPr>
        <w:pStyle w:val="5"/>
        <w:spacing w:before="0" w:after="0" w:line="240" w:lineRule="auto"/>
        <w:rPr>
          <w:rFonts w:ascii="Times New Roman" w:hAnsi="Times New Roman" w:eastAsia="宋体" w:cs="Times New Roman"/>
          <w:b w:val="0"/>
          <w:bCs w:val="0"/>
          <w:sz w:val="21"/>
          <w:szCs w:val="22"/>
        </w:rPr>
      </w:pPr>
      <w:r>
        <w:rPr>
          <w:rFonts w:ascii="Times New Roman" w:hAnsi="Times New Roman" w:eastAsia="宋体" w:cs="Times New Roman"/>
          <w:b w:val="0"/>
          <w:bCs w:val="0"/>
          <w:sz w:val="21"/>
          <w:szCs w:val="22"/>
        </w:rPr>
        <w:t>2.3.1</w:t>
      </w:r>
      <w:r>
        <w:rPr>
          <w:rFonts w:hint="eastAsia" w:ascii="Times New Roman" w:hAnsi="Times New Roman" w:eastAsia="宋体" w:cs="Times New Roman"/>
          <w:b w:val="0"/>
          <w:bCs w:val="0"/>
          <w:sz w:val="21"/>
          <w:szCs w:val="22"/>
          <w:lang w:eastAsia="zh"/>
        </w:rPr>
        <w:t xml:space="preserve"> </w:t>
      </w:r>
      <w:r>
        <w:rPr>
          <w:rFonts w:ascii="Times New Roman" w:hAnsi="Times New Roman" w:eastAsia="宋体" w:cs="Times New Roman"/>
          <w:b w:val="0"/>
          <w:bCs w:val="0"/>
          <w:sz w:val="21"/>
          <w:szCs w:val="22"/>
        </w:rPr>
        <w:t>技术层面</w:t>
      </w:r>
    </w:p>
    <w:p w14:paraId="3B13EAC7">
      <w:pPr>
        <w:ind w:firstLine="420" w:firstLineChars="200"/>
        <w:rPr>
          <w:rFonts w:hint="eastAsia" w:ascii="宋体" w:hAnsi="宋体" w:cs="宋体"/>
          <w:color w:val="000000"/>
          <w:kern w:val="0"/>
          <w:sz w:val="21"/>
          <w:szCs w:val="21"/>
          <w:lang w:bidi="ar"/>
        </w:rPr>
      </w:pPr>
      <w:r>
        <w:rPr>
          <w:rFonts w:cs="Times New Roman"/>
          <w:sz w:val="21"/>
          <w:szCs w:val="21"/>
          <w:lang w:bidi="ar"/>
        </w:rPr>
        <w:t>本文将科技创新和人才投入两个因素纳入技术层面的影响因素中。首先，数字化转型程度、研发经费的投入等均可以体现企业的科技创新水平。数字化不仅改变企业生产和运营方式，而且重新定义</w:t>
      </w:r>
      <w:r>
        <w:rPr>
          <w:rFonts w:hint="eastAsia" w:cs="Times New Roman"/>
          <w:sz w:val="21"/>
          <w:szCs w:val="21"/>
          <w:lang w:bidi="ar"/>
        </w:rPr>
        <w:t>了</w:t>
      </w:r>
      <w:r>
        <w:rPr>
          <w:rFonts w:cs="Times New Roman"/>
          <w:sz w:val="21"/>
          <w:szCs w:val="21"/>
          <w:lang w:bidi="ar"/>
        </w:rPr>
        <w:t>生产力要素[15]</w:t>
      </w:r>
      <w:r>
        <w:rPr>
          <w:rFonts w:hint="eastAsia" w:cs="Times New Roman"/>
          <w:sz w:val="21"/>
          <w:szCs w:val="21"/>
          <w:lang w:bidi="ar"/>
        </w:rPr>
        <w:t>，</w:t>
      </w:r>
      <w:r>
        <w:rPr>
          <w:rFonts w:hint="eastAsia" w:ascii="宋体" w:hAnsi="宋体" w:cs="宋体"/>
          <w:color w:val="000000"/>
          <w:kern w:val="0"/>
          <w:sz w:val="21"/>
          <w:szCs w:val="21"/>
          <w:lang w:bidi="ar"/>
        </w:rPr>
        <w:t>企业推进数字化转型是实现新质生产力培育目标的重要驱动力</w:t>
      </w:r>
      <w:r>
        <w:rPr>
          <w:rFonts w:cs="Times New Roman"/>
          <w:sz w:val="21"/>
          <w:szCs w:val="21"/>
          <w:lang w:bidi="ar"/>
        </w:rPr>
        <w:t>[1</w:t>
      </w:r>
      <w:r>
        <w:rPr>
          <w:rFonts w:hint="eastAsia" w:cs="Times New Roman"/>
          <w:sz w:val="21"/>
          <w:szCs w:val="21"/>
          <w:lang w:bidi="ar"/>
        </w:rPr>
        <w:t>6</w:t>
      </w:r>
      <w:r>
        <w:rPr>
          <w:rFonts w:cs="Times New Roman"/>
          <w:sz w:val="21"/>
          <w:szCs w:val="21"/>
          <w:lang w:bidi="ar"/>
        </w:rPr>
        <w:t>]</w:t>
      </w:r>
      <w:r>
        <w:rPr>
          <w:rFonts w:hint="eastAsia" w:cs="Times New Roman"/>
          <w:sz w:val="21"/>
          <w:szCs w:val="21"/>
          <w:lang w:bidi="ar"/>
        </w:rPr>
        <w:t>。另外，企业不断增加研发经费投入</w:t>
      </w:r>
      <w:r>
        <w:rPr>
          <w:rFonts w:hint="eastAsia" w:ascii="宋体" w:hAnsi="宋体" w:cs="宋体"/>
          <w:color w:val="000000"/>
          <w:kern w:val="0"/>
          <w:sz w:val="21"/>
          <w:szCs w:val="21"/>
          <w:lang w:bidi="ar"/>
        </w:rPr>
        <w:t>来推动企业升级，当积累到一定阈值时，将促进企业新质生产力的跃升</w:t>
      </w:r>
      <w:r>
        <w:rPr>
          <w:rFonts w:cs="Times New Roman"/>
          <w:sz w:val="21"/>
          <w:szCs w:val="21"/>
          <w:lang w:bidi="ar"/>
        </w:rPr>
        <w:t>[1</w:t>
      </w:r>
      <w:r>
        <w:rPr>
          <w:rFonts w:hint="eastAsia" w:cs="Times New Roman"/>
          <w:sz w:val="21"/>
          <w:szCs w:val="21"/>
          <w:lang w:bidi="ar"/>
        </w:rPr>
        <w:t>7</w:t>
      </w:r>
      <w:r>
        <w:rPr>
          <w:rFonts w:cs="Times New Roman"/>
          <w:sz w:val="21"/>
          <w:szCs w:val="21"/>
          <w:lang w:bidi="ar"/>
        </w:rPr>
        <w:t>]</w:t>
      </w:r>
      <w:r>
        <w:rPr>
          <w:rFonts w:hint="eastAsia" w:ascii="宋体" w:hAnsi="宋体" w:cs="宋体"/>
          <w:color w:val="000000"/>
          <w:kern w:val="0"/>
          <w:sz w:val="21"/>
          <w:szCs w:val="21"/>
          <w:lang w:bidi="ar"/>
        </w:rPr>
        <w:t>。</w:t>
      </w:r>
    </w:p>
    <w:p w14:paraId="06229E07">
      <w:pPr>
        <w:rPr>
          <w:rFonts w:cs="Times New Roman"/>
          <w:sz w:val="21"/>
          <w:szCs w:val="21"/>
          <w:lang w:bidi="ar"/>
        </w:rPr>
      </w:pPr>
      <w:r>
        <w:rPr>
          <w:rFonts w:cs="Times New Roman"/>
          <w:sz w:val="21"/>
          <w:szCs w:val="21"/>
          <w:lang w:bidi="ar"/>
        </w:rPr>
        <w:t>[1</w:t>
      </w:r>
      <w:r>
        <w:rPr>
          <w:rFonts w:hint="eastAsia" w:cs="Times New Roman"/>
          <w:sz w:val="21"/>
          <w:szCs w:val="21"/>
          <w:lang w:bidi="ar"/>
        </w:rPr>
        <w:t>6</w:t>
      </w:r>
      <w:r>
        <w:rPr>
          <w:rFonts w:cs="Times New Roman"/>
          <w:sz w:val="21"/>
          <w:szCs w:val="21"/>
          <w:lang w:bidi="ar"/>
        </w:rPr>
        <w:t>]谢知非,方红星.新质生产力培育与本地上市公司数字化转型——基于“专精特新”企业认定的考察[J/OL].南开管理评论,1-43[2025-05-12].</w:t>
      </w:r>
    </w:p>
    <w:p w14:paraId="39D97114">
      <w:pPr>
        <w:rPr>
          <w:rFonts w:cs="Times New Roman"/>
          <w:sz w:val="21"/>
          <w:szCs w:val="21"/>
          <w:lang w:bidi="ar"/>
        </w:rPr>
      </w:pPr>
      <w:r>
        <w:rPr>
          <w:rFonts w:cs="Times New Roman"/>
          <w:sz w:val="21"/>
          <w:szCs w:val="21"/>
          <w:lang w:bidi="ar"/>
        </w:rPr>
        <w:t>[1</w:t>
      </w:r>
      <w:r>
        <w:rPr>
          <w:rFonts w:hint="eastAsia" w:cs="Times New Roman"/>
          <w:sz w:val="21"/>
          <w:szCs w:val="21"/>
          <w:lang w:bidi="ar"/>
        </w:rPr>
        <w:t>7</w:t>
      </w:r>
      <w:r>
        <w:rPr>
          <w:rFonts w:cs="Times New Roman"/>
          <w:sz w:val="21"/>
          <w:szCs w:val="21"/>
          <w:lang w:bidi="ar"/>
        </w:rPr>
        <w:t>]陈岩,侯宇琦,马欣,等.智能化转型赋能企业高质量发展的路径和机制研究——基于发展新质生产力的视角[J].科研管理,2025,46(02):32-42.DOI:10.19571/j.cnki.1000-2995.2025.02.004.</w:t>
      </w:r>
    </w:p>
    <w:p w14:paraId="65D3D6D1">
      <w:pPr>
        <w:ind w:firstLine="420" w:firstLineChars="200"/>
        <w:rPr>
          <w:rFonts w:cs="Times New Roman"/>
          <w:sz w:val="21"/>
          <w:szCs w:val="21"/>
          <w:lang w:bidi="ar"/>
        </w:rPr>
      </w:pPr>
      <w:r>
        <w:rPr>
          <w:rFonts w:cs="Times New Roman"/>
          <w:sz w:val="21"/>
          <w:szCs w:val="21"/>
          <w:lang w:bidi="ar"/>
        </w:rPr>
        <w:t>其次，白雪洁等(2024)认为企业要在竞争中脱颖而出，研发投入固然重要，但人才是至关重要的资源，人力资本是决定企业创新绩效的关键要素</w:t>
      </w:r>
      <w:r>
        <w:rPr>
          <w:rFonts w:cs="Times New Roman"/>
          <w:sz w:val="21"/>
          <w:szCs w:val="21"/>
          <w:vertAlign w:val="superscript"/>
          <w:lang w:bidi="ar"/>
        </w:rPr>
        <w:t>[16]</w:t>
      </w:r>
      <w:r>
        <w:rPr>
          <w:rFonts w:cs="Times New Roman"/>
          <w:sz w:val="21"/>
          <w:szCs w:val="21"/>
          <w:lang w:bidi="ar"/>
        </w:rPr>
        <w:t>。进行数字化转型时，对人力资本提出新要求，研发人员和高学历人才的占比至关重要。另外，创新绩效的提升也意味着企业在技术创新、产品创新或者管理创新等方面取得了显著成效。而创新绩效也体现在企业的专利申请方面，企业专利申请数量的增加意味着企业创新成果不断涌现，给企业带来更多的技术优势和市场份额，从而推进新质生产力发展。</w:t>
      </w:r>
    </w:p>
    <w:p w14:paraId="0AE505DE">
      <w:pPr>
        <w:pStyle w:val="5"/>
        <w:spacing w:before="0" w:after="0" w:line="240" w:lineRule="auto"/>
        <w:rPr>
          <w:rFonts w:ascii="Times New Roman" w:hAnsi="Times New Roman" w:eastAsia="宋体" w:cs="Times New Roman"/>
          <w:b w:val="0"/>
          <w:bCs w:val="0"/>
          <w:sz w:val="21"/>
          <w:szCs w:val="22"/>
        </w:rPr>
      </w:pPr>
      <w:r>
        <w:rPr>
          <w:rFonts w:ascii="Times New Roman" w:hAnsi="Times New Roman" w:eastAsia="宋体" w:cs="Times New Roman"/>
          <w:b w:val="0"/>
          <w:bCs w:val="0"/>
          <w:sz w:val="21"/>
          <w:szCs w:val="22"/>
        </w:rPr>
        <w:t>2.3.2</w:t>
      </w:r>
      <w:r>
        <w:rPr>
          <w:rFonts w:hint="eastAsia" w:ascii="Times New Roman" w:hAnsi="Times New Roman" w:eastAsia="宋体" w:cs="Times New Roman"/>
          <w:b w:val="0"/>
          <w:bCs w:val="0"/>
          <w:sz w:val="21"/>
          <w:szCs w:val="22"/>
          <w:lang w:eastAsia="zh"/>
        </w:rPr>
        <w:t xml:space="preserve"> </w:t>
      </w:r>
      <w:r>
        <w:rPr>
          <w:rFonts w:ascii="Times New Roman" w:hAnsi="Times New Roman" w:eastAsia="宋体" w:cs="Times New Roman"/>
          <w:b w:val="0"/>
          <w:bCs w:val="0"/>
          <w:sz w:val="21"/>
          <w:szCs w:val="22"/>
        </w:rPr>
        <w:t>组织层面</w:t>
      </w:r>
    </w:p>
    <w:p w14:paraId="0F1EC562">
      <w:pPr>
        <w:ind w:firstLine="420" w:firstLineChars="200"/>
        <w:rPr>
          <w:rFonts w:cs="Times New Roman"/>
          <w:sz w:val="21"/>
          <w:szCs w:val="21"/>
          <w:lang w:bidi="ar"/>
        </w:rPr>
      </w:pPr>
      <w:r>
        <w:rPr>
          <w:rFonts w:cs="Times New Roman"/>
          <w:sz w:val="21"/>
          <w:szCs w:val="21"/>
          <w:lang w:bidi="ar"/>
        </w:rPr>
        <w:t>本文讨论了组织层面的关键要素：企业特征、治理结构、高管能力等。首先，在相同创新技术投资下，企业因各自特征难以获得等同收益，这强调了企业在技术投资中需考虑自身特性的重要性。另外，不同类型和规模的企业在资源获取、技术创新和市场拓展等方面存在差异，从而影响其新质生产力的形成和发展。</w:t>
      </w:r>
    </w:p>
    <w:p w14:paraId="2A86E8C4">
      <w:pPr>
        <w:ind w:firstLine="420" w:firstLineChars="200"/>
        <w:rPr>
          <w:rFonts w:cs="Times New Roman"/>
          <w:sz w:val="21"/>
          <w:szCs w:val="21"/>
          <w:lang w:bidi="ar"/>
        </w:rPr>
      </w:pPr>
      <w:r>
        <w:rPr>
          <w:rFonts w:cs="Times New Roman"/>
          <w:sz w:val="21"/>
          <w:szCs w:val="21"/>
          <w:lang w:bidi="ar"/>
        </w:rPr>
        <w:t>一个高效的治理结构能够确保企业快速响应市场变化和技术创新的需求。通过优化决策流程和提升决策效率，企业可以更快地把握市场机遇，推动技术创新和产业升级，从而加速新质生产力的形成。所以企业特征、治理结构与新质生产力之间相互作用、相互影响，共同推动企业的持续发展和竞争力提升。</w:t>
      </w:r>
    </w:p>
    <w:p w14:paraId="149C6878">
      <w:pPr>
        <w:ind w:firstLine="420" w:firstLineChars="200"/>
        <w:rPr>
          <w:rFonts w:cs="Times New Roman"/>
          <w:sz w:val="21"/>
          <w:szCs w:val="21"/>
          <w:lang w:bidi="ar"/>
        </w:rPr>
      </w:pPr>
      <w:r>
        <w:rPr>
          <w:rFonts w:cs="Times New Roman"/>
          <w:sz w:val="21"/>
          <w:szCs w:val="21"/>
          <w:lang w:bidi="ar"/>
        </w:rPr>
        <w:t>基于高阶梯队理论</w:t>
      </w:r>
      <w:r>
        <w:rPr>
          <w:rFonts w:cs="Times New Roman"/>
          <w:sz w:val="21"/>
          <w:szCs w:val="21"/>
          <w:vertAlign w:val="superscript"/>
          <w:lang w:bidi="ar"/>
        </w:rPr>
        <w:t>[17]</w:t>
      </w:r>
      <w:r>
        <w:rPr>
          <w:rFonts w:cs="Times New Roman"/>
          <w:sz w:val="21"/>
          <w:szCs w:val="21"/>
          <w:lang w:bidi="ar"/>
        </w:rPr>
        <w:t>，高管团队是企业发展的核心决策主体，高管的素质、能力和决策将对企业新质生产力的发展起着决定性作用。高管的教育背景和专业知识对于理解新技术、新产业具有重要影响。受过良好教育的高管更有可能识别出新技术的发展趋势，并推动企业向新质生产力转型。另外，高管并不是同质化的群体</w:t>
      </w:r>
      <w:r>
        <w:rPr>
          <w:rFonts w:cs="Times New Roman"/>
          <w:sz w:val="21"/>
          <w:szCs w:val="21"/>
          <w:vertAlign w:val="superscript"/>
          <w:lang w:bidi="ar"/>
        </w:rPr>
        <w:t>[18]</w:t>
      </w:r>
      <w:r>
        <w:rPr>
          <w:rFonts w:cs="Times New Roman"/>
          <w:sz w:val="21"/>
          <w:szCs w:val="21"/>
          <w:lang w:bidi="ar"/>
        </w:rPr>
        <w:t>，高管薪酬差距也会对企业新质生产力发展产生影响。</w:t>
      </w:r>
      <w:r>
        <w:rPr>
          <w:rFonts w:cs="Times New Roman"/>
          <w:sz w:val="21"/>
          <w:szCs w:val="21"/>
        </w:rPr>
        <w:fldChar w:fldCharType="begin"/>
      </w:r>
      <w:r>
        <w:rPr>
          <w:rFonts w:cs="Times New Roman"/>
          <w:sz w:val="21"/>
          <w:szCs w:val="21"/>
        </w:rPr>
        <w:instrText xml:space="preserve"> HYPERLINK "https://kns.cnki.net/kcms2/author/detail?v=amOBmv6QLtoQ8thzRXb2JSD5_d3dCdDegxJTSFRTmgx83fjfYgPkEq61z-qUvo73ITAjuoHwzDEGLOgUgu9rja62M24Eoah3TDea_TvAy0kuHOn0MmJJ9fJFjCkFNKJT&amp;uniplatform=NZKPT&amp;language=CHS" \t "_blank" </w:instrText>
      </w:r>
      <w:r>
        <w:rPr>
          <w:rFonts w:cs="Times New Roman"/>
          <w:sz w:val="21"/>
          <w:szCs w:val="21"/>
        </w:rPr>
        <w:fldChar w:fldCharType="separate"/>
      </w:r>
      <w:r>
        <w:rPr>
          <w:rFonts w:cs="Times New Roman"/>
          <w:sz w:val="21"/>
          <w:szCs w:val="21"/>
          <w:lang w:bidi="ar"/>
        </w:rPr>
        <w:t>王象路</w:t>
      </w:r>
      <w:r>
        <w:rPr>
          <w:rFonts w:cs="Times New Roman"/>
          <w:sz w:val="21"/>
          <w:szCs w:val="21"/>
          <w:lang w:bidi="ar"/>
        </w:rPr>
        <w:fldChar w:fldCharType="end"/>
      </w:r>
      <w:r>
        <w:rPr>
          <w:rFonts w:cs="Times New Roman"/>
          <w:sz w:val="21"/>
          <w:szCs w:val="21"/>
          <w:lang w:bidi="ar"/>
        </w:rPr>
        <w:t>等(2024)认为具备信息技术知识的高管更有可能形成数字战略认知框架，从而推动企业数字化转型</w:t>
      </w:r>
      <w:r>
        <w:rPr>
          <w:rFonts w:cs="Times New Roman"/>
          <w:sz w:val="21"/>
          <w:szCs w:val="21"/>
          <w:vertAlign w:val="superscript"/>
          <w:lang w:bidi="ar"/>
        </w:rPr>
        <w:t>[19]</w:t>
      </w:r>
      <w:r>
        <w:rPr>
          <w:rFonts w:cs="Times New Roman"/>
          <w:sz w:val="21"/>
          <w:szCs w:val="21"/>
          <w:lang w:bidi="ar"/>
        </w:rPr>
        <w:t>。而具备海外背景的高管则可能引入国际先进创新理念和技术，增强企业全球竞争力。</w:t>
      </w:r>
    </w:p>
    <w:p w14:paraId="4F607F16">
      <w:pPr>
        <w:pStyle w:val="5"/>
        <w:spacing w:before="0" w:after="0" w:line="240" w:lineRule="auto"/>
        <w:rPr>
          <w:rFonts w:ascii="Times New Roman" w:hAnsi="Times New Roman" w:eastAsia="宋体" w:cs="Times New Roman"/>
          <w:b w:val="0"/>
          <w:bCs w:val="0"/>
          <w:sz w:val="21"/>
          <w:szCs w:val="22"/>
        </w:rPr>
      </w:pPr>
      <w:r>
        <w:rPr>
          <w:rFonts w:ascii="Times New Roman" w:hAnsi="Times New Roman" w:eastAsia="宋体" w:cs="Times New Roman"/>
          <w:b w:val="0"/>
          <w:bCs w:val="0"/>
          <w:sz w:val="21"/>
          <w:szCs w:val="22"/>
        </w:rPr>
        <w:t>2.3.3</w:t>
      </w:r>
      <w:r>
        <w:rPr>
          <w:rFonts w:hint="eastAsia" w:ascii="Times New Roman" w:hAnsi="Times New Roman" w:eastAsia="宋体" w:cs="Times New Roman"/>
          <w:b w:val="0"/>
          <w:bCs w:val="0"/>
          <w:sz w:val="21"/>
          <w:szCs w:val="22"/>
          <w:lang w:eastAsia="zh"/>
        </w:rPr>
        <w:t xml:space="preserve"> </w:t>
      </w:r>
      <w:r>
        <w:rPr>
          <w:rFonts w:ascii="Times New Roman" w:hAnsi="Times New Roman" w:eastAsia="宋体" w:cs="Times New Roman"/>
          <w:b w:val="0"/>
          <w:bCs w:val="0"/>
          <w:sz w:val="21"/>
          <w:szCs w:val="22"/>
        </w:rPr>
        <w:t>环境层面</w:t>
      </w:r>
    </w:p>
    <w:p w14:paraId="43F85160">
      <w:pPr>
        <w:ind w:firstLine="420" w:firstLineChars="200"/>
        <w:rPr>
          <w:rFonts w:cs="Times New Roman"/>
          <w:sz w:val="21"/>
          <w:szCs w:val="21"/>
          <w:lang w:bidi="ar"/>
        </w:rPr>
      </w:pPr>
      <w:r>
        <w:rPr>
          <w:rFonts w:cs="Times New Roman"/>
          <w:sz w:val="21"/>
          <w:szCs w:val="21"/>
          <w:lang w:bidi="ar"/>
        </w:rPr>
        <w:t>本文将绿色发展和碳排放量等条件作为环境层面的影响因素。首先，绿色发展对新质生产力具有重大的影响，宋佳等(2024)的研究表明，ESG的深入发展已成为企业生产力提升的强大动力</w:t>
      </w:r>
      <w:r>
        <w:rPr>
          <w:rFonts w:cs="Times New Roman"/>
          <w:sz w:val="21"/>
          <w:szCs w:val="21"/>
          <w:vertAlign w:val="superscript"/>
          <w:lang w:bidi="ar"/>
        </w:rPr>
        <w:t>[10]</w:t>
      </w:r>
      <w:r>
        <w:rPr>
          <w:rFonts w:cs="Times New Roman"/>
          <w:sz w:val="21"/>
          <w:szCs w:val="21"/>
          <w:lang w:bidi="ar"/>
        </w:rPr>
        <w:t>。ESG强调企业应降低生产经营活动对环境的破坏和对资源的消耗，持续加强绿色实践，优化资源利用。这有助于推动新质生产力中的绿色发展理念，促进产业结构的绿色转型和升级。而</w:t>
      </w:r>
      <w:r>
        <w:fldChar w:fldCharType="begin"/>
      </w:r>
      <w:r>
        <w:instrText xml:space="preserve"> HYPERLINK "https://kns.cnki.net/kcms2/author/detail?v=amOBmv6QLtrwAzlWAfbBRbLXEeMUeDNepvxg0hsKTWYNUKnx-9GpNPWGhn5C64EraaRJAjyY-sJXGGZP726rfXoeLj_zhoCqFGPyvfAh5gowJJICUQ5MHA==&amp;uniplatform=NZKPT&amp;language=CHS" \t "_blank" </w:instrText>
      </w:r>
      <w:r>
        <w:fldChar w:fldCharType="separate"/>
      </w:r>
      <w:r>
        <w:rPr>
          <w:rFonts w:cs="Times New Roman"/>
          <w:sz w:val="21"/>
          <w:szCs w:val="21"/>
          <w:lang w:bidi="ar"/>
        </w:rPr>
        <w:t>严兵</w:t>
      </w:r>
      <w:r>
        <w:rPr>
          <w:rFonts w:cs="Times New Roman"/>
          <w:sz w:val="21"/>
          <w:szCs w:val="21"/>
          <w:lang w:bidi="ar"/>
        </w:rPr>
        <w:fldChar w:fldCharType="end"/>
      </w:r>
      <w:r>
        <w:rPr>
          <w:rFonts w:cs="Times New Roman"/>
          <w:sz w:val="21"/>
          <w:szCs w:val="21"/>
          <w:lang w:bidi="ar"/>
        </w:rPr>
        <w:t>等(2024)也认为新质生产力本质上是绿色生产力，绿色发展是一种追求效率和可持续性的模式</w:t>
      </w:r>
      <w:r>
        <w:rPr>
          <w:rFonts w:cs="Times New Roman"/>
          <w:sz w:val="21"/>
          <w:szCs w:val="21"/>
          <w:vertAlign w:val="superscript"/>
          <w:lang w:bidi="ar"/>
        </w:rPr>
        <w:t>[20]</w:t>
      </w:r>
      <w:r>
        <w:rPr>
          <w:rFonts w:cs="Times New Roman"/>
          <w:sz w:val="21"/>
          <w:szCs w:val="21"/>
          <w:lang w:bidi="ar"/>
        </w:rPr>
        <w:t>。</w:t>
      </w:r>
    </w:p>
    <w:p w14:paraId="1CD124A6">
      <w:pPr>
        <w:ind w:firstLine="420" w:firstLineChars="200"/>
        <w:rPr>
          <w:rFonts w:cs="Times New Roman"/>
          <w:sz w:val="21"/>
          <w:szCs w:val="21"/>
          <w:lang w:bidi="ar"/>
        </w:rPr>
      </w:pPr>
      <w:r>
        <w:rPr>
          <w:rFonts w:cs="Times New Roman"/>
          <w:sz w:val="21"/>
          <w:szCs w:val="21"/>
          <w:lang w:bidi="ar"/>
        </w:rPr>
        <w:t>为实现“双碳”目标，企业需不断提升资源利用率和降低碳排放，而绿色技术创新就是核心动力。企业通过绿色专利技术的创新与应用，不断提高产品质量与服务，使产品在市场中具有更高的环保竞争力</w:t>
      </w:r>
      <w:r>
        <w:rPr>
          <w:rFonts w:cs="Times New Roman"/>
          <w:sz w:val="21"/>
          <w:szCs w:val="21"/>
          <w:vertAlign w:val="superscript"/>
          <w:lang w:bidi="ar"/>
        </w:rPr>
        <w:t>[21]</w:t>
      </w:r>
      <w:r>
        <w:rPr>
          <w:rFonts w:cs="Times New Roman"/>
          <w:sz w:val="21"/>
          <w:szCs w:val="21"/>
          <w:lang w:bidi="ar"/>
        </w:rPr>
        <w:t>。绿色创新通过提升资源利用效率，帮助企业构建高效能、高质量的生产模式。这种创新不仅满足环保和可持续发展要求，还为企业带来新增长点和竞争优势，确保企业在全球化绿色经济中的领导地位，为新质生产力的全面提升和持续发展提供坚实基础。</w:t>
      </w:r>
    </w:p>
    <w:p w14:paraId="11ACB8FE">
      <w:pPr>
        <w:ind w:firstLine="420" w:firstLineChars="200"/>
        <w:rPr>
          <w:rFonts w:cs="Times New Roman"/>
          <w:sz w:val="21"/>
          <w:szCs w:val="21"/>
          <w:lang w:bidi="ar"/>
        </w:rPr>
      </w:pPr>
    </w:p>
    <w:p w14:paraId="1E77C6E1">
      <w:pPr>
        <w:adjustRightInd w:val="0"/>
        <w:snapToGrid w:val="0"/>
        <w:outlineLvl w:val="0"/>
        <w:rPr>
          <w:rFonts w:eastAsia="黑体" w:cs="Times New Roman"/>
          <w:b/>
          <w:sz w:val="28"/>
          <w:szCs w:val="28"/>
        </w:rPr>
      </w:pPr>
      <w:r>
        <w:rPr>
          <w:rFonts w:eastAsia="黑体" w:cs="Times New Roman"/>
          <w:b/>
          <w:sz w:val="28"/>
          <w:szCs w:val="28"/>
        </w:rPr>
        <w:t>3 模型与算法</w:t>
      </w:r>
    </w:p>
    <w:p w14:paraId="74155FA8">
      <w:pPr>
        <w:pStyle w:val="4"/>
        <w:spacing w:before="0" w:after="0" w:line="240" w:lineRule="auto"/>
        <w:rPr>
          <w:rFonts w:cs="Times New Roman"/>
          <w:sz w:val="21"/>
          <w:szCs w:val="21"/>
        </w:rPr>
      </w:pPr>
      <w:r>
        <w:rPr>
          <w:rFonts w:cs="Times New Roman"/>
          <w:sz w:val="21"/>
          <w:szCs w:val="21"/>
        </w:rPr>
        <w:t>3.1 优化SVM-RF</w:t>
      </w:r>
    </w:p>
    <w:p w14:paraId="73039987">
      <w:pPr>
        <w:ind w:firstLine="420" w:firstLineChars="200"/>
        <w:rPr>
          <w:rFonts w:cs="Times New Roman"/>
          <w:sz w:val="21"/>
          <w:szCs w:val="21"/>
          <w:lang w:bidi="ar"/>
        </w:rPr>
      </w:pPr>
      <w:r>
        <w:rPr>
          <w:rFonts w:cs="Times New Roman"/>
          <w:sz w:val="21"/>
          <w:szCs w:val="21"/>
          <w:lang w:bidi="ar"/>
        </w:rPr>
        <w:t>为了提高分类器的准确性和鲁棒性，本文采用结合支持向量机(SVM)</w:t>
      </w:r>
      <w:r>
        <w:rPr>
          <w:rFonts w:cs="Times New Roman"/>
          <w:sz w:val="21"/>
          <w:szCs w:val="21"/>
          <w:vertAlign w:val="superscript"/>
          <w:lang w:bidi="ar"/>
        </w:rPr>
        <w:t>[22]</w:t>
      </w:r>
      <w:r>
        <w:rPr>
          <w:rFonts w:cs="Times New Roman"/>
          <w:sz w:val="21"/>
          <w:szCs w:val="21"/>
          <w:lang w:bidi="ar"/>
        </w:rPr>
        <w:t>和随机森林(RF)</w:t>
      </w:r>
      <w:r>
        <w:rPr>
          <w:rFonts w:cs="Times New Roman"/>
          <w:sz w:val="21"/>
          <w:szCs w:val="21"/>
          <w:vertAlign w:val="superscript"/>
          <w:lang w:bidi="ar"/>
        </w:rPr>
        <w:t>[23]</w:t>
      </w:r>
      <w:r>
        <w:rPr>
          <w:rFonts w:cs="Times New Roman"/>
          <w:sz w:val="21"/>
          <w:szCs w:val="21"/>
          <w:lang w:bidi="ar"/>
        </w:rPr>
        <w:t>的组合分类预测模型。该模型充分利用SVM和RF各自的优势，通过加权组合两者的预测结果来实现更优的分类性能。</w:t>
      </w:r>
    </w:p>
    <w:p w14:paraId="6C25C6A7">
      <w:pPr>
        <w:ind w:firstLine="420" w:firstLineChars="200"/>
        <w:rPr>
          <w:rFonts w:cs="Times New Roman"/>
          <w:sz w:val="21"/>
          <w:szCs w:val="21"/>
          <w:lang w:eastAsia="zh" w:bidi="ar"/>
        </w:rPr>
      </w:pPr>
      <w:r>
        <w:rPr>
          <w:rFonts w:cs="Times New Roman"/>
          <w:sz w:val="21"/>
          <w:szCs w:val="21"/>
          <w:lang w:bidi="ar"/>
        </w:rPr>
        <w:t>首先，分别使用训练数据训练SVM模型和RF模型，从而得到训练好的SVM分类器和RF分类器。进而，使用验证数据评估SVM和RF模型的性能，计算它们在验证集上的准确率。对于验证集</w:t>
      </w:r>
      <m:oMath>
        <m:sSubSup>
          <m:sSubSupPr>
            <m:ctrlPr>
              <w:rPr>
                <w:rFonts w:ascii="Cambria Math" w:hAnsi="Cambria Math" w:cs="Times New Roman"/>
                <w:sz w:val="21"/>
                <w:szCs w:val="21"/>
                <w:lang w:bidi="ar"/>
              </w:rPr>
            </m:ctrlPr>
          </m:sSubSupPr>
          <m:e>
            <m:d>
              <m:dPr>
                <m:begChr m:val="{"/>
                <m:endChr m:val="}"/>
                <m:ctrlPr>
                  <w:rPr>
                    <w:rFonts w:ascii="Cambria Math" w:hAnsi="Cambria Math" w:cs="Times New Roman"/>
                    <w:sz w:val="21"/>
                    <w:szCs w:val="21"/>
                    <w:lang w:bidi="ar"/>
                  </w:rPr>
                </m:ctrlPr>
              </m:dPr>
              <m:e>
                <m:d>
                  <m:dPr>
                    <m:ctrlPr>
                      <w:rPr>
                        <w:rFonts w:ascii="Cambria Math" w:hAnsi="Cambria Math" w:cs="Times New Roman"/>
                        <w:sz w:val="21"/>
                        <w:szCs w:val="21"/>
                        <w:lang w:bidi="ar"/>
                      </w:rPr>
                    </m:ctrlPr>
                  </m:dPr>
                  <m:e>
                    <m:sSub>
                      <m:sSubPr>
                        <m:ctrlPr>
                          <w:rPr>
                            <w:rFonts w:ascii="Cambria Math" w:hAnsi="Cambria Math" w:cs="Times New Roman"/>
                            <w:sz w:val="21"/>
                            <w:szCs w:val="21"/>
                            <w:lang w:bidi="ar"/>
                          </w:rPr>
                        </m:ctrlPr>
                      </m:sSubPr>
                      <m:e>
                        <m:r>
                          <m:rPr>
                            <m:sty m:val="b"/>
                          </m:rPr>
                          <w:rPr>
                            <w:rFonts w:ascii="Cambria Math" w:hAnsi="Cambria Math" w:cs="Times New Roman"/>
                            <w:sz w:val="21"/>
                            <w:szCs w:val="21"/>
                            <w:lang w:bidi="ar"/>
                          </w:rPr>
                          <m:t>x</m:t>
                        </m:r>
                        <m:ctrlPr>
                          <w:rPr>
                            <w:rFonts w:ascii="Cambria Math" w:hAnsi="Cambria Math" w:cs="Times New Roman"/>
                            <w:sz w:val="21"/>
                            <w:szCs w:val="21"/>
                            <w:lang w:bidi="ar"/>
                          </w:rPr>
                        </m:ctrlPr>
                      </m:e>
                      <m:sub>
                        <m:r>
                          <m:rPr/>
                          <w:rPr>
                            <w:rFonts w:ascii="Cambria Math" w:hAnsi="Cambria Math" w:cs="Times New Roman"/>
                            <w:sz w:val="21"/>
                            <w:szCs w:val="21"/>
                            <w:lang w:bidi="ar"/>
                          </w:rPr>
                          <m:t>i</m:t>
                        </m:r>
                        <m:ctrlPr>
                          <w:rPr>
                            <w:rFonts w:ascii="Cambria Math" w:hAnsi="Cambria Math" w:cs="Times New Roman"/>
                            <w:sz w:val="21"/>
                            <w:szCs w:val="21"/>
                            <w:lang w:bidi="ar"/>
                          </w:rPr>
                        </m:ctrlPr>
                      </m:sub>
                    </m:sSub>
                    <m:r>
                      <m:rPr>
                        <m:sty m:val="p"/>
                      </m:rPr>
                      <w:rPr>
                        <w:rFonts w:ascii="Cambria Math" w:hAnsi="Cambria Math" w:cs="Times New Roman"/>
                        <w:sz w:val="21"/>
                        <w:szCs w:val="21"/>
                        <w:lang w:bidi="ar"/>
                      </w:rPr>
                      <m:t>,</m:t>
                    </m:r>
                    <m:sSub>
                      <m:sSubPr>
                        <m:ctrlPr>
                          <w:rPr>
                            <w:rFonts w:ascii="Cambria Math" w:hAnsi="Cambria Math" w:cs="Times New Roman"/>
                            <w:sz w:val="21"/>
                            <w:szCs w:val="21"/>
                            <w:lang w:bidi="ar"/>
                          </w:rPr>
                        </m:ctrlPr>
                      </m:sSubPr>
                      <m:e>
                        <m:r>
                          <m:rPr/>
                          <w:rPr>
                            <w:rFonts w:ascii="Cambria Math" w:hAnsi="Cambria Math" w:cs="Times New Roman"/>
                            <w:sz w:val="21"/>
                            <w:szCs w:val="21"/>
                            <w:lang w:bidi="ar"/>
                          </w:rPr>
                          <m:t>y</m:t>
                        </m:r>
                        <m:ctrlPr>
                          <w:rPr>
                            <w:rFonts w:ascii="Cambria Math" w:hAnsi="Cambria Math" w:cs="Times New Roman"/>
                            <w:sz w:val="21"/>
                            <w:szCs w:val="21"/>
                            <w:lang w:bidi="ar"/>
                          </w:rPr>
                        </m:ctrlPr>
                      </m:e>
                      <m:sub>
                        <m:r>
                          <m:rPr/>
                          <w:rPr>
                            <w:rFonts w:ascii="Cambria Math" w:hAnsi="Cambria Math" w:cs="Times New Roman"/>
                            <w:sz w:val="21"/>
                            <w:szCs w:val="21"/>
                            <w:lang w:bidi="ar"/>
                          </w:rPr>
                          <m:t>i</m:t>
                        </m:r>
                        <m:ctrlPr>
                          <w:rPr>
                            <w:rFonts w:ascii="Cambria Math" w:hAnsi="Cambria Math" w:cs="Times New Roman"/>
                            <w:sz w:val="21"/>
                            <w:szCs w:val="21"/>
                            <w:lang w:bidi="ar"/>
                          </w:rPr>
                        </m:ctrlPr>
                      </m:sub>
                    </m:sSub>
                    <m:ctrlPr>
                      <w:rPr>
                        <w:rFonts w:ascii="Cambria Math" w:hAnsi="Cambria Math" w:cs="Times New Roman"/>
                        <w:sz w:val="21"/>
                        <w:szCs w:val="21"/>
                        <w:lang w:bidi="ar"/>
                      </w:rPr>
                    </m:ctrlPr>
                  </m:e>
                </m:d>
                <m:ctrlPr>
                  <w:rPr>
                    <w:rFonts w:ascii="Cambria Math" w:hAnsi="Cambria Math" w:cs="Times New Roman"/>
                    <w:sz w:val="21"/>
                    <w:szCs w:val="21"/>
                    <w:lang w:bidi="ar"/>
                  </w:rPr>
                </m:ctrlPr>
              </m:e>
            </m:d>
            <m:ctrlPr>
              <w:rPr>
                <w:rFonts w:ascii="Cambria Math" w:hAnsi="Cambria Math" w:cs="Times New Roman"/>
                <w:sz w:val="21"/>
                <w:szCs w:val="21"/>
                <w:lang w:bidi="ar"/>
              </w:rPr>
            </m:ctrlPr>
          </m:e>
          <m:sub>
            <m:r>
              <m:rPr/>
              <w:rPr>
                <w:rFonts w:ascii="Cambria Math" w:hAnsi="Cambria Math" w:cs="Times New Roman"/>
                <w:sz w:val="21"/>
                <w:szCs w:val="21"/>
                <w:lang w:bidi="ar"/>
              </w:rPr>
              <m:t>i</m:t>
            </m:r>
            <m:r>
              <m:rPr>
                <m:sty m:val="p"/>
              </m:rPr>
              <w:rPr>
                <w:rFonts w:ascii="Cambria Math" w:hAnsi="Cambria Math" w:cs="Times New Roman"/>
                <w:sz w:val="21"/>
                <w:szCs w:val="21"/>
                <w:lang w:bidi="ar"/>
              </w:rPr>
              <m:t>=1</m:t>
            </m:r>
            <m:ctrlPr>
              <w:rPr>
                <w:rFonts w:ascii="Cambria Math" w:hAnsi="Cambria Math" w:cs="Times New Roman"/>
                <w:sz w:val="21"/>
                <w:szCs w:val="21"/>
                <w:lang w:bidi="ar"/>
              </w:rPr>
            </m:ctrlPr>
          </m:sub>
          <m:sup>
            <m:r>
              <m:rPr/>
              <w:rPr>
                <w:rFonts w:ascii="Cambria Math" w:hAnsi="Cambria Math" w:cs="Times New Roman"/>
                <w:sz w:val="21"/>
                <w:szCs w:val="21"/>
                <w:lang w:bidi="ar"/>
              </w:rPr>
              <m:t>n</m:t>
            </m:r>
            <m:ctrlPr>
              <w:rPr>
                <w:rFonts w:ascii="Cambria Math" w:hAnsi="Cambria Math" w:cs="Times New Roman"/>
                <w:sz w:val="21"/>
                <w:szCs w:val="21"/>
                <w:lang w:bidi="ar"/>
              </w:rPr>
            </m:ctrlPr>
          </m:sup>
        </m:sSubSup>
      </m:oMath>
      <w:r>
        <w:rPr>
          <w:rFonts w:cs="Times New Roman"/>
          <w:sz w:val="21"/>
          <w:szCs w:val="21"/>
          <w:lang w:bidi="ar"/>
        </w:rPr>
        <w:t>，得到SVM的预测结果</w:t>
      </w:r>
      <m:oMath>
        <m:sSubSup>
          <m:sSubSupPr>
            <m:ctrlPr>
              <w:rPr>
                <w:rFonts w:ascii="Cambria Math" w:hAnsi="Cambria Math" w:cs="Times New Roman"/>
                <w:sz w:val="21"/>
                <w:szCs w:val="21"/>
                <w:lang w:bidi="ar"/>
              </w:rPr>
            </m:ctrlPr>
          </m:sSubSupPr>
          <m:e>
            <m:acc>
              <m:accPr>
                <m:ctrlPr>
                  <w:rPr>
                    <w:rFonts w:ascii="Cambria Math" w:hAnsi="Cambria Math" w:cs="Times New Roman"/>
                    <w:sz w:val="21"/>
                    <w:szCs w:val="21"/>
                    <w:lang w:bidi="ar"/>
                  </w:rPr>
                </m:ctrlPr>
              </m:accPr>
              <m:e>
                <m:r>
                  <m:rPr/>
                  <w:rPr>
                    <w:rFonts w:ascii="Cambria Math" w:hAnsi="Cambria Math" w:cs="Times New Roman"/>
                    <w:sz w:val="21"/>
                    <w:szCs w:val="21"/>
                    <w:lang w:bidi="ar"/>
                  </w:rPr>
                  <m:t>y</m:t>
                </m:r>
                <m:ctrlPr>
                  <w:rPr>
                    <w:rFonts w:ascii="Cambria Math" w:hAnsi="Cambria Math" w:cs="Times New Roman"/>
                    <w:sz w:val="21"/>
                    <w:szCs w:val="21"/>
                    <w:lang w:bidi="ar"/>
                  </w:rPr>
                </m:ctrlPr>
              </m:e>
            </m:acc>
            <m:ctrlPr>
              <w:rPr>
                <w:rFonts w:ascii="Cambria Math" w:hAnsi="Cambria Math" w:cs="Times New Roman"/>
                <w:sz w:val="21"/>
                <w:szCs w:val="21"/>
                <w:lang w:bidi="ar"/>
              </w:rPr>
            </m:ctrlPr>
          </m:e>
          <m:sub>
            <m:r>
              <m:rPr/>
              <w:rPr>
                <w:rFonts w:ascii="Cambria Math" w:hAnsi="Cambria Math" w:cs="Times New Roman"/>
                <w:sz w:val="21"/>
                <w:szCs w:val="21"/>
                <w:lang w:bidi="ar"/>
              </w:rPr>
              <m:t>i</m:t>
            </m:r>
            <m:ctrlPr>
              <w:rPr>
                <w:rFonts w:ascii="Cambria Math" w:hAnsi="Cambria Math" w:cs="Times New Roman"/>
                <w:sz w:val="21"/>
                <w:szCs w:val="21"/>
                <w:lang w:bidi="ar"/>
              </w:rPr>
            </m:ctrlPr>
          </m:sub>
          <m:sup>
            <m:r>
              <m:rPr>
                <m:sty m:val="p"/>
              </m:rPr>
              <w:rPr>
                <w:rFonts w:ascii="Cambria Math" w:hAnsi="Cambria Math" w:cs="Times New Roman"/>
                <w:sz w:val="21"/>
                <w:szCs w:val="21"/>
                <w:lang w:bidi="ar"/>
              </w:rPr>
              <m:t>SVM</m:t>
            </m:r>
            <m:ctrlPr>
              <w:rPr>
                <w:rFonts w:ascii="Cambria Math" w:hAnsi="Cambria Math" w:cs="Times New Roman"/>
                <w:sz w:val="21"/>
                <w:szCs w:val="21"/>
                <w:lang w:bidi="ar"/>
              </w:rPr>
            </m:ctrlPr>
          </m:sup>
        </m:sSubSup>
      </m:oMath>
      <w:r>
        <w:rPr>
          <w:rFonts w:cs="Times New Roman"/>
          <w:sz w:val="21"/>
          <w:szCs w:val="21"/>
          <w:lang w:bidi="ar"/>
        </w:rPr>
        <w:t>和RF的预测结果</w:t>
      </w:r>
      <m:oMath>
        <m:sSubSup>
          <m:sSubSupPr>
            <m:ctrlPr>
              <w:rPr>
                <w:rFonts w:ascii="Cambria Math" w:hAnsi="Cambria Math" w:cs="Times New Roman"/>
                <w:sz w:val="21"/>
                <w:szCs w:val="21"/>
                <w:lang w:bidi="ar"/>
              </w:rPr>
            </m:ctrlPr>
          </m:sSubSupPr>
          <m:e>
            <m:acc>
              <m:accPr>
                <m:ctrlPr>
                  <w:rPr>
                    <w:rFonts w:ascii="Cambria Math" w:hAnsi="Cambria Math" w:cs="Times New Roman"/>
                    <w:sz w:val="21"/>
                    <w:szCs w:val="21"/>
                    <w:lang w:bidi="ar"/>
                  </w:rPr>
                </m:ctrlPr>
              </m:accPr>
              <m:e>
                <m:r>
                  <m:rPr/>
                  <w:rPr>
                    <w:rFonts w:ascii="Cambria Math" w:hAnsi="Cambria Math" w:cs="Times New Roman"/>
                    <w:sz w:val="21"/>
                    <w:szCs w:val="21"/>
                    <w:lang w:bidi="ar"/>
                  </w:rPr>
                  <m:t>y</m:t>
                </m:r>
                <m:ctrlPr>
                  <w:rPr>
                    <w:rFonts w:ascii="Cambria Math" w:hAnsi="Cambria Math" w:cs="Times New Roman"/>
                    <w:sz w:val="21"/>
                    <w:szCs w:val="21"/>
                    <w:lang w:bidi="ar"/>
                  </w:rPr>
                </m:ctrlPr>
              </m:e>
            </m:acc>
            <m:ctrlPr>
              <w:rPr>
                <w:rFonts w:ascii="Cambria Math" w:hAnsi="Cambria Math" w:cs="Times New Roman"/>
                <w:sz w:val="21"/>
                <w:szCs w:val="21"/>
                <w:lang w:bidi="ar"/>
              </w:rPr>
            </m:ctrlPr>
          </m:e>
          <m:sub>
            <m:r>
              <m:rPr/>
              <w:rPr>
                <w:rFonts w:ascii="Cambria Math" w:hAnsi="Cambria Math" w:cs="Times New Roman"/>
                <w:sz w:val="21"/>
                <w:szCs w:val="21"/>
                <w:lang w:bidi="ar"/>
              </w:rPr>
              <m:t>i</m:t>
            </m:r>
            <m:ctrlPr>
              <w:rPr>
                <w:rFonts w:ascii="Cambria Math" w:hAnsi="Cambria Math" w:cs="Times New Roman"/>
                <w:sz w:val="21"/>
                <w:szCs w:val="21"/>
                <w:lang w:bidi="ar"/>
              </w:rPr>
            </m:ctrlPr>
          </m:sub>
          <m:sup>
            <m:r>
              <m:rPr>
                <m:sty m:val="p"/>
              </m:rPr>
              <w:rPr>
                <w:rFonts w:ascii="Cambria Math" w:hAnsi="Cambria Math" w:cs="Times New Roman"/>
                <w:sz w:val="21"/>
                <w:szCs w:val="21"/>
                <w:lang w:bidi="ar"/>
              </w:rPr>
              <m:t>RF</m:t>
            </m:r>
            <m:ctrlPr>
              <w:rPr>
                <w:rFonts w:ascii="Cambria Math" w:hAnsi="Cambria Math" w:cs="Times New Roman"/>
                <w:sz w:val="21"/>
                <w:szCs w:val="21"/>
                <w:lang w:bidi="ar"/>
              </w:rPr>
            </m:ctrlPr>
          </m:sup>
        </m:sSubSup>
      </m:oMath>
      <w:r>
        <w:rPr>
          <w:rFonts w:cs="Times New Roman"/>
          <w:sz w:val="21"/>
          <w:szCs w:val="21"/>
          <w:lang w:bidi="ar"/>
        </w:rPr>
        <w:t>。然后，通过以下公式计算SVM和RF验证集上的</w:t>
      </w:r>
      <m:oMath>
        <m:r>
          <m:rPr>
            <m:nor/>
            <m:sty m:val="p"/>
          </m:rPr>
          <w:rPr>
            <w:rFonts w:ascii="Cambria Math" w:hAnsi="Cambria Math" w:cs="Times New Roman"/>
            <w:sz w:val="21"/>
            <w:szCs w:val="21"/>
            <w:lang w:bidi="ar"/>
          </w:rPr>
          <m:t>Accuracy</m:t>
        </m:r>
      </m:oMath>
      <w:r>
        <w:rPr>
          <w:rFonts w:cs="Times New Roman"/>
          <w:sz w:val="21"/>
          <w:szCs w:val="21"/>
          <w:lang w:bidi="ar"/>
        </w:rPr>
        <w:t>。基于此，可以计算SVM和RF的权重。这些权重反映了每个模型在组合预测中的贡献比例，计算公式如下</w:t>
      </w:r>
      <w:r>
        <w:rPr>
          <w:rFonts w:hint="eastAsia" w:cs="Times New Roman"/>
          <w:sz w:val="21"/>
          <w:szCs w:val="21"/>
          <w:lang w:eastAsia="zh" w:bidi="ar"/>
        </w:rPr>
        <w:t>：</w:t>
      </w:r>
    </w:p>
    <w:p w14:paraId="0042E331">
      <w:pPr>
        <w:ind w:firstLine="420" w:firstLineChars="200"/>
        <w:rPr>
          <w:rFonts w:cs="Times New Roman"/>
          <w:sz w:val="21"/>
          <w:szCs w:val="21"/>
        </w:rPr>
      </w:pPr>
      <m:oMathPara>
        <m:oMath>
          <m:sSub>
            <m:sSubPr>
              <m:ctrlPr>
                <w:rPr>
                  <w:rFonts w:ascii="Cambria Math" w:hAnsi="Cambria Math" w:cs="Times New Roman"/>
                  <w:sz w:val="21"/>
                  <w:szCs w:val="21"/>
                </w:rPr>
              </m:ctrlPr>
            </m:sSubPr>
            <m:e>
              <m:r>
                <m:rPr/>
                <w:rPr>
                  <w:rFonts w:ascii="Cambria Math" w:hAnsi="Cambria Math" w:cs="Times New Roman"/>
                  <w:sz w:val="21"/>
                  <w:szCs w:val="21"/>
                </w:rPr>
                <m:t>W</m:t>
              </m:r>
              <m:ctrlPr>
                <w:rPr>
                  <w:rFonts w:ascii="Cambria Math" w:hAnsi="Cambria Math" w:cs="Times New Roman"/>
                  <w:sz w:val="21"/>
                  <w:szCs w:val="21"/>
                </w:rPr>
              </m:ctrlPr>
            </m:e>
            <m:sub>
              <m:r>
                <m:rPr>
                  <m:sty m:val="p"/>
                </m:rPr>
                <w:rPr>
                  <w:rFonts w:ascii="Cambria Math" w:hAnsi="Cambria Math" w:cs="Times New Roman"/>
                  <w:sz w:val="21"/>
                  <w:szCs w:val="21"/>
                </w:rPr>
                <m:t>SVM</m:t>
              </m:r>
              <m:ctrlPr>
                <w:rPr>
                  <w:rFonts w:ascii="Cambria Math" w:hAnsi="Cambria Math" w:cs="Times New Roman"/>
                  <w:sz w:val="21"/>
                  <w:szCs w:val="21"/>
                </w:rPr>
              </m:ctrlPr>
            </m:sub>
          </m:sSub>
          <m:r>
            <m:rPr/>
            <w:rPr>
              <w:rFonts w:ascii="Cambria Math" w:hAnsi="Cambria Math" w:cs="Times New Roman"/>
              <w:sz w:val="21"/>
              <w:szCs w:val="21"/>
            </w:rPr>
            <m:t>=</m:t>
          </m:r>
          <m:f>
            <m:fPr>
              <m:ctrlPr>
                <w:rPr>
                  <w:rFonts w:ascii="Cambria Math" w:hAnsi="Cambria Math" w:cs="Times New Roman"/>
                  <w:sz w:val="21"/>
                  <w:szCs w:val="21"/>
                </w:rPr>
              </m:ctrlPr>
            </m:fPr>
            <m:num>
              <m:sSub>
                <m:sSubPr>
                  <m:ctrlPr>
                    <w:rPr>
                      <w:rFonts w:ascii="Cambria Math" w:hAnsi="Cambria Math" w:cs="Times New Roman"/>
                      <w:sz w:val="21"/>
                      <w:szCs w:val="21"/>
                    </w:rPr>
                  </m:ctrlPr>
                </m:sSubPr>
                <m:e>
                  <m:r>
                    <m:rPr>
                      <m:nor/>
                      <m:sty m:val="p"/>
                    </m:rPr>
                    <w:rPr>
                      <w:rFonts w:ascii="Cambria Math" w:hAnsi="Cambria Math" w:cs="Times New Roman"/>
                      <w:sz w:val="21"/>
                      <w:szCs w:val="21"/>
                    </w:rPr>
                    <m:t xml:space="preserve"> Accuracy </m:t>
                  </m:r>
                  <m:ctrlPr>
                    <w:rPr>
                      <w:rFonts w:ascii="Cambria Math" w:hAnsi="Cambria Math" w:cs="Times New Roman"/>
                      <w:sz w:val="21"/>
                      <w:szCs w:val="21"/>
                    </w:rPr>
                  </m:ctrlPr>
                </m:e>
                <m:sub>
                  <m:r>
                    <m:rPr>
                      <m:sty m:val="p"/>
                    </m:rPr>
                    <w:rPr>
                      <w:rFonts w:ascii="Cambria Math" w:hAnsi="Cambria Math" w:cs="Times New Roman"/>
                      <w:sz w:val="21"/>
                      <w:szCs w:val="21"/>
                    </w:rPr>
                    <m:t>SVM</m:t>
                  </m:r>
                  <m:ctrlPr>
                    <w:rPr>
                      <w:rFonts w:ascii="Cambria Math" w:hAnsi="Cambria Math" w:cs="Times New Roman"/>
                      <w:sz w:val="21"/>
                      <w:szCs w:val="21"/>
                    </w:rPr>
                  </m:ctrlPr>
                </m:sub>
              </m:sSub>
              <m:ctrlPr>
                <w:rPr>
                  <w:rFonts w:ascii="Cambria Math" w:hAnsi="Cambria Math" w:cs="Times New Roman"/>
                  <w:sz w:val="21"/>
                  <w:szCs w:val="21"/>
                </w:rPr>
              </m:ctrlPr>
            </m:num>
            <m:den>
              <m:sSub>
                <m:sSubPr>
                  <m:ctrlPr>
                    <w:rPr>
                      <w:rFonts w:ascii="Cambria Math" w:hAnsi="Cambria Math" w:cs="Times New Roman"/>
                      <w:sz w:val="21"/>
                      <w:szCs w:val="21"/>
                    </w:rPr>
                  </m:ctrlPr>
                </m:sSubPr>
                <m:e>
                  <m:r>
                    <m:rPr>
                      <m:nor/>
                      <m:sty m:val="p"/>
                    </m:rPr>
                    <w:rPr>
                      <w:rFonts w:ascii="Cambria Math" w:hAnsi="Cambria Math" w:cs="Times New Roman"/>
                      <w:sz w:val="21"/>
                      <w:szCs w:val="21"/>
                    </w:rPr>
                    <m:t xml:space="preserve"> Accuracy </m:t>
                  </m:r>
                  <m:ctrlPr>
                    <w:rPr>
                      <w:rFonts w:ascii="Cambria Math" w:hAnsi="Cambria Math" w:cs="Times New Roman"/>
                      <w:sz w:val="21"/>
                      <w:szCs w:val="21"/>
                    </w:rPr>
                  </m:ctrlPr>
                </m:e>
                <m:sub>
                  <m:r>
                    <m:rPr>
                      <m:sty m:val="p"/>
                    </m:rPr>
                    <w:rPr>
                      <w:rFonts w:ascii="Cambria Math" w:hAnsi="Cambria Math" w:cs="Times New Roman"/>
                      <w:sz w:val="21"/>
                      <w:szCs w:val="21"/>
                    </w:rPr>
                    <m:t>SVM</m:t>
                  </m:r>
                  <m:ctrlPr>
                    <w:rPr>
                      <w:rFonts w:ascii="Cambria Math" w:hAnsi="Cambria Math" w:cs="Times New Roman"/>
                      <w:sz w:val="21"/>
                      <w:szCs w:val="21"/>
                    </w:rPr>
                  </m:ctrlPr>
                </m:sub>
              </m:sSub>
              <m:r>
                <m:rPr/>
                <w:rPr>
                  <w:rFonts w:ascii="Cambria Math" w:hAnsi="Cambria Math" w:cs="Times New Roman"/>
                  <w:sz w:val="21"/>
                  <w:szCs w:val="21"/>
                </w:rPr>
                <m:t>+</m:t>
              </m:r>
              <m:sSub>
                <m:sSubPr>
                  <m:ctrlPr>
                    <w:rPr>
                      <w:rFonts w:ascii="Cambria Math" w:hAnsi="Cambria Math" w:cs="Times New Roman"/>
                      <w:sz w:val="21"/>
                      <w:szCs w:val="21"/>
                    </w:rPr>
                  </m:ctrlPr>
                </m:sSubPr>
                <m:e>
                  <m:r>
                    <m:rPr>
                      <m:nor/>
                      <m:sty m:val="p"/>
                    </m:rPr>
                    <w:rPr>
                      <w:rFonts w:ascii="Cambria Math" w:hAnsi="Cambria Math" w:cs="Times New Roman"/>
                      <w:sz w:val="21"/>
                      <w:szCs w:val="21"/>
                    </w:rPr>
                    <m:t xml:space="preserve"> Accuracy </m:t>
                  </m:r>
                  <m:ctrlPr>
                    <w:rPr>
                      <w:rFonts w:ascii="Cambria Math" w:hAnsi="Cambria Math" w:cs="Times New Roman"/>
                      <w:sz w:val="21"/>
                      <w:szCs w:val="21"/>
                    </w:rPr>
                  </m:ctrlPr>
                </m:e>
                <m:sub>
                  <m:r>
                    <m:rPr>
                      <m:sty m:val="p"/>
                    </m:rPr>
                    <w:rPr>
                      <w:rFonts w:ascii="Cambria Math" w:hAnsi="Cambria Math" w:cs="Times New Roman"/>
                      <w:sz w:val="21"/>
                      <w:szCs w:val="21"/>
                    </w:rPr>
                    <m:t>RF</m:t>
                  </m:r>
                  <m:ctrlPr>
                    <w:rPr>
                      <w:rFonts w:ascii="Cambria Math" w:hAnsi="Cambria Math" w:cs="Times New Roman"/>
                      <w:sz w:val="21"/>
                      <w:szCs w:val="21"/>
                    </w:rPr>
                  </m:ctrlPr>
                </m:sub>
              </m:sSub>
              <m:ctrlPr>
                <w:rPr>
                  <w:rFonts w:ascii="Cambria Math" w:hAnsi="Cambria Math" w:cs="Times New Roman"/>
                  <w:sz w:val="21"/>
                  <w:szCs w:val="21"/>
                </w:rPr>
              </m:ctrlPr>
            </m:den>
          </m:f>
          <m:r>
            <m:rPr>
              <m:sty m:val="p"/>
            </m:rPr>
            <w:rPr>
              <w:rFonts w:ascii="Cambria Math" w:hAnsi="Cambria Math" w:cs="Times New Roman"/>
              <w:sz w:val="21"/>
              <w:szCs w:val="21"/>
            </w:rPr>
            <m:t>,</m:t>
          </m:r>
        </m:oMath>
      </m:oMathPara>
    </w:p>
    <w:p w14:paraId="21127F48">
      <w:pPr>
        <w:ind w:firstLine="420" w:firstLineChars="200"/>
        <w:rPr>
          <w:rFonts w:cs="Times New Roman"/>
          <w:sz w:val="21"/>
          <w:szCs w:val="21"/>
        </w:rPr>
      </w:pPr>
      <m:oMathPara>
        <m:oMath>
          <m:sSub>
            <m:sSubPr>
              <m:ctrlPr>
                <w:rPr>
                  <w:rFonts w:ascii="Cambria Math" w:hAnsi="Cambria Math" w:cs="Times New Roman"/>
                  <w:sz w:val="21"/>
                  <w:szCs w:val="21"/>
                </w:rPr>
              </m:ctrlPr>
            </m:sSubPr>
            <m:e>
              <m:r>
                <m:rPr/>
                <w:rPr>
                  <w:rFonts w:ascii="Cambria Math" w:hAnsi="Cambria Math" w:cs="Times New Roman"/>
                  <w:sz w:val="21"/>
                  <w:szCs w:val="21"/>
                </w:rPr>
                <m:t>W</m:t>
              </m:r>
              <m:ctrlPr>
                <w:rPr>
                  <w:rFonts w:ascii="Cambria Math" w:hAnsi="Cambria Math" w:cs="Times New Roman"/>
                  <w:sz w:val="21"/>
                  <w:szCs w:val="21"/>
                </w:rPr>
              </m:ctrlPr>
            </m:e>
            <m:sub>
              <m:r>
                <m:rPr>
                  <m:sty m:val="p"/>
                </m:rPr>
                <w:rPr>
                  <w:rFonts w:ascii="Cambria Math" w:hAnsi="Cambria Math" w:cs="Times New Roman"/>
                  <w:sz w:val="21"/>
                  <w:szCs w:val="21"/>
                </w:rPr>
                <m:t>RF</m:t>
              </m:r>
              <m:ctrlPr>
                <w:rPr>
                  <w:rFonts w:ascii="Cambria Math" w:hAnsi="Cambria Math" w:cs="Times New Roman"/>
                  <w:sz w:val="21"/>
                  <w:szCs w:val="21"/>
                </w:rPr>
              </m:ctrlPr>
            </m:sub>
          </m:sSub>
          <m:r>
            <m:rPr/>
            <w:rPr>
              <w:rFonts w:ascii="Cambria Math" w:hAnsi="Cambria Math" w:cs="Times New Roman"/>
              <w:sz w:val="21"/>
              <w:szCs w:val="21"/>
            </w:rPr>
            <m:t>=</m:t>
          </m:r>
          <m:f>
            <m:fPr>
              <m:ctrlPr>
                <w:rPr>
                  <w:rFonts w:ascii="Cambria Math" w:hAnsi="Cambria Math" w:cs="Times New Roman"/>
                  <w:sz w:val="21"/>
                  <w:szCs w:val="21"/>
                </w:rPr>
              </m:ctrlPr>
            </m:fPr>
            <m:num>
              <m:sSub>
                <m:sSubPr>
                  <m:ctrlPr>
                    <w:rPr>
                      <w:rFonts w:ascii="Cambria Math" w:hAnsi="Cambria Math" w:cs="Times New Roman"/>
                      <w:sz w:val="21"/>
                      <w:szCs w:val="21"/>
                    </w:rPr>
                  </m:ctrlPr>
                </m:sSubPr>
                <m:e>
                  <m:r>
                    <m:rPr>
                      <m:nor/>
                      <m:sty m:val="p"/>
                    </m:rPr>
                    <w:rPr>
                      <w:rFonts w:ascii="Cambria Math" w:hAnsi="Cambria Math" w:cs="Times New Roman"/>
                      <w:sz w:val="21"/>
                      <w:szCs w:val="21"/>
                    </w:rPr>
                    <m:t xml:space="preserve"> Accuracy </m:t>
                  </m:r>
                  <m:ctrlPr>
                    <w:rPr>
                      <w:rFonts w:ascii="Cambria Math" w:hAnsi="Cambria Math" w:cs="Times New Roman"/>
                      <w:sz w:val="21"/>
                      <w:szCs w:val="21"/>
                    </w:rPr>
                  </m:ctrlPr>
                </m:e>
                <m:sub>
                  <m:r>
                    <m:rPr>
                      <m:sty m:val="p"/>
                    </m:rPr>
                    <w:rPr>
                      <w:rFonts w:ascii="Cambria Math" w:hAnsi="Cambria Math" w:cs="Times New Roman"/>
                      <w:sz w:val="21"/>
                      <w:szCs w:val="21"/>
                    </w:rPr>
                    <m:t>RF</m:t>
                  </m:r>
                  <m:ctrlPr>
                    <w:rPr>
                      <w:rFonts w:ascii="Cambria Math" w:hAnsi="Cambria Math" w:cs="Times New Roman"/>
                      <w:sz w:val="21"/>
                      <w:szCs w:val="21"/>
                    </w:rPr>
                  </m:ctrlPr>
                </m:sub>
              </m:sSub>
              <m:ctrlPr>
                <w:rPr>
                  <w:rFonts w:ascii="Cambria Math" w:hAnsi="Cambria Math" w:cs="Times New Roman"/>
                  <w:sz w:val="21"/>
                  <w:szCs w:val="21"/>
                </w:rPr>
              </m:ctrlPr>
            </m:num>
            <m:den>
              <m:sSub>
                <m:sSubPr>
                  <m:ctrlPr>
                    <w:rPr>
                      <w:rFonts w:ascii="Cambria Math" w:hAnsi="Cambria Math" w:cs="Times New Roman"/>
                      <w:sz w:val="21"/>
                      <w:szCs w:val="21"/>
                    </w:rPr>
                  </m:ctrlPr>
                </m:sSubPr>
                <m:e>
                  <m:r>
                    <m:rPr>
                      <m:nor/>
                      <m:sty m:val="p"/>
                    </m:rPr>
                    <w:rPr>
                      <w:rFonts w:ascii="Cambria Math" w:hAnsi="Cambria Math" w:cs="Times New Roman"/>
                      <w:sz w:val="21"/>
                      <w:szCs w:val="21"/>
                    </w:rPr>
                    <m:t xml:space="preserve"> Accuracy </m:t>
                  </m:r>
                  <m:ctrlPr>
                    <w:rPr>
                      <w:rFonts w:ascii="Cambria Math" w:hAnsi="Cambria Math" w:cs="Times New Roman"/>
                      <w:sz w:val="21"/>
                      <w:szCs w:val="21"/>
                    </w:rPr>
                  </m:ctrlPr>
                </m:e>
                <m:sub>
                  <m:r>
                    <m:rPr>
                      <m:sty m:val="p"/>
                    </m:rPr>
                    <w:rPr>
                      <w:rFonts w:ascii="Cambria Math" w:hAnsi="Cambria Math" w:cs="Times New Roman"/>
                      <w:sz w:val="21"/>
                      <w:szCs w:val="21"/>
                    </w:rPr>
                    <m:t>SVM</m:t>
                  </m:r>
                  <m:ctrlPr>
                    <w:rPr>
                      <w:rFonts w:ascii="Cambria Math" w:hAnsi="Cambria Math" w:cs="Times New Roman"/>
                      <w:sz w:val="21"/>
                      <w:szCs w:val="21"/>
                    </w:rPr>
                  </m:ctrlPr>
                </m:sub>
              </m:sSub>
              <m:r>
                <m:rPr/>
                <w:rPr>
                  <w:rFonts w:ascii="Cambria Math" w:hAnsi="Cambria Math" w:cs="Times New Roman"/>
                  <w:sz w:val="21"/>
                  <w:szCs w:val="21"/>
                </w:rPr>
                <m:t>+</m:t>
              </m:r>
              <m:sSub>
                <m:sSubPr>
                  <m:ctrlPr>
                    <w:rPr>
                      <w:rFonts w:ascii="Cambria Math" w:hAnsi="Cambria Math" w:cs="Times New Roman"/>
                      <w:sz w:val="21"/>
                      <w:szCs w:val="21"/>
                    </w:rPr>
                  </m:ctrlPr>
                </m:sSubPr>
                <m:e>
                  <m:r>
                    <m:rPr>
                      <m:nor/>
                      <m:sty m:val="p"/>
                    </m:rPr>
                    <w:rPr>
                      <w:rFonts w:ascii="Cambria Math" w:hAnsi="Cambria Math" w:cs="Times New Roman"/>
                      <w:sz w:val="21"/>
                      <w:szCs w:val="21"/>
                    </w:rPr>
                    <m:t xml:space="preserve"> Accuracy </m:t>
                  </m:r>
                  <m:ctrlPr>
                    <w:rPr>
                      <w:rFonts w:ascii="Cambria Math" w:hAnsi="Cambria Math" w:cs="Times New Roman"/>
                      <w:sz w:val="21"/>
                      <w:szCs w:val="21"/>
                    </w:rPr>
                  </m:ctrlPr>
                </m:e>
                <m:sub>
                  <m:r>
                    <m:rPr>
                      <m:sty m:val="p"/>
                    </m:rPr>
                    <w:rPr>
                      <w:rFonts w:ascii="Cambria Math" w:hAnsi="Cambria Math" w:cs="Times New Roman"/>
                      <w:sz w:val="21"/>
                      <w:szCs w:val="21"/>
                    </w:rPr>
                    <m:t>RF</m:t>
                  </m:r>
                  <m:ctrlPr>
                    <w:rPr>
                      <w:rFonts w:ascii="Cambria Math" w:hAnsi="Cambria Math" w:cs="Times New Roman"/>
                      <w:sz w:val="21"/>
                      <w:szCs w:val="21"/>
                    </w:rPr>
                  </m:ctrlPr>
                </m:sub>
              </m:sSub>
              <m:ctrlPr>
                <w:rPr>
                  <w:rFonts w:ascii="Cambria Math" w:hAnsi="Cambria Math" w:cs="Times New Roman"/>
                  <w:sz w:val="21"/>
                  <w:szCs w:val="21"/>
                </w:rPr>
              </m:ctrlPr>
            </m:den>
          </m:f>
          <m:r>
            <m:rPr>
              <m:sty m:val="p"/>
            </m:rPr>
            <w:rPr>
              <w:rFonts w:ascii="Cambria Math" w:hAnsi="Cambria Math" w:cs="Times New Roman"/>
              <w:sz w:val="21"/>
              <w:szCs w:val="21"/>
            </w:rPr>
            <m:t>.</m:t>
          </m:r>
        </m:oMath>
      </m:oMathPara>
    </w:p>
    <w:p w14:paraId="5DA9B4A3">
      <w:pPr>
        <w:ind w:firstLine="420" w:firstLineChars="200"/>
        <w:rPr>
          <w:rFonts w:cs="Times New Roman"/>
          <w:sz w:val="21"/>
          <w:szCs w:val="21"/>
          <w:lang w:bidi="ar"/>
        </w:rPr>
      </w:pPr>
      <w:r>
        <w:rPr>
          <w:rFonts w:cs="Times New Roman"/>
          <w:sz w:val="21"/>
          <w:szCs w:val="21"/>
          <w:lang w:bidi="ar"/>
        </w:rPr>
        <w:t>确定权重</w:t>
      </w:r>
      <w:r>
        <w:rPr>
          <w:rFonts w:hint="eastAsia" w:cs="Times New Roman"/>
          <w:sz w:val="21"/>
          <w:szCs w:val="21"/>
          <w:lang w:eastAsia="zh" w:bidi="ar"/>
        </w:rPr>
        <w:t>之后</w:t>
      </w:r>
      <w:r>
        <w:rPr>
          <w:rFonts w:cs="Times New Roman"/>
          <w:sz w:val="21"/>
          <w:szCs w:val="21"/>
          <w:lang w:bidi="ar"/>
        </w:rPr>
        <w:t>，对测试数据进行预测。对于测试集</w:t>
      </w:r>
      <m:oMath>
        <m:sSubSup>
          <m:sSubSupPr>
            <m:ctrlPr>
              <w:rPr>
                <w:rFonts w:ascii="Cambria Math" w:hAnsi="Cambria Math" w:cs="Times New Roman"/>
                <w:sz w:val="21"/>
                <w:szCs w:val="21"/>
                <w:lang w:bidi="ar"/>
              </w:rPr>
            </m:ctrlPr>
          </m:sSubSupPr>
          <m:e>
            <m:d>
              <m:dPr>
                <m:begChr m:val="{"/>
                <m:endChr m:val="}"/>
                <m:ctrlPr>
                  <w:rPr>
                    <w:rFonts w:ascii="Cambria Math" w:hAnsi="Cambria Math" w:cs="Times New Roman"/>
                    <w:sz w:val="21"/>
                    <w:szCs w:val="21"/>
                    <w:lang w:bidi="ar"/>
                  </w:rPr>
                </m:ctrlPr>
              </m:dPr>
              <m:e>
                <m:sSub>
                  <m:sSubPr>
                    <m:ctrlPr>
                      <w:rPr>
                        <w:rFonts w:ascii="Cambria Math" w:hAnsi="Cambria Math" w:cs="Times New Roman"/>
                        <w:sz w:val="21"/>
                        <w:szCs w:val="21"/>
                        <w:lang w:bidi="ar"/>
                      </w:rPr>
                    </m:ctrlPr>
                  </m:sSubPr>
                  <m:e>
                    <m:r>
                      <m:rPr>
                        <m:sty m:val="b"/>
                      </m:rPr>
                      <w:rPr>
                        <w:rFonts w:ascii="Cambria Math" w:hAnsi="Cambria Math" w:cs="Times New Roman"/>
                        <w:sz w:val="21"/>
                        <w:szCs w:val="21"/>
                        <w:lang w:bidi="ar"/>
                      </w:rPr>
                      <m:t>x</m:t>
                    </m:r>
                    <m:ctrlPr>
                      <w:rPr>
                        <w:rFonts w:ascii="Cambria Math" w:hAnsi="Cambria Math" w:cs="Times New Roman"/>
                        <w:sz w:val="21"/>
                        <w:szCs w:val="21"/>
                        <w:lang w:bidi="ar"/>
                      </w:rPr>
                    </m:ctrlPr>
                  </m:e>
                  <m:sub>
                    <m:r>
                      <m:rPr/>
                      <w:rPr>
                        <w:rFonts w:ascii="Cambria Math" w:hAnsi="Cambria Math" w:cs="Times New Roman"/>
                        <w:sz w:val="21"/>
                        <w:szCs w:val="21"/>
                        <w:lang w:bidi="ar"/>
                      </w:rPr>
                      <m:t>i</m:t>
                    </m:r>
                    <m:ctrlPr>
                      <w:rPr>
                        <w:rFonts w:ascii="Cambria Math" w:hAnsi="Cambria Math" w:cs="Times New Roman"/>
                        <w:sz w:val="21"/>
                        <w:szCs w:val="21"/>
                        <w:lang w:bidi="ar"/>
                      </w:rPr>
                    </m:ctrlPr>
                  </m:sub>
                </m:sSub>
                <m:ctrlPr>
                  <w:rPr>
                    <w:rFonts w:ascii="Cambria Math" w:hAnsi="Cambria Math" w:cs="Times New Roman"/>
                    <w:sz w:val="21"/>
                    <w:szCs w:val="21"/>
                    <w:lang w:bidi="ar"/>
                  </w:rPr>
                </m:ctrlPr>
              </m:e>
            </m:d>
            <m:ctrlPr>
              <w:rPr>
                <w:rFonts w:ascii="Cambria Math" w:hAnsi="Cambria Math" w:cs="Times New Roman"/>
                <w:sz w:val="21"/>
                <w:szCs w:val="21"/>
                <w:lang w:bidi="ar"/>
              </w:rPr>
            </m:ctrlPr>
          </m:e>
          <m:sub>
            <m:r>
              <m:rPr/>
              <w:rPr>
                <w:rFonts w:ascii="Cambria Math" w:hAnsi="Cambria Math" w:cs="Times New Roman"/>
                <w:sz w:val="21"/>
                <w:szCs w:val="21"/>
                <w:lang w:bidi="ar"/>
              </w:rPr>
              <m:t>i</m:t>
            </m:r>
            <m:r>
              <m:rPr>
                <m:sty m:val="p"/>
              </m:rPr>
              <w:rPr>
                <w:rFonts w:ascii="Cambria Math" w:hAnsi="Cambria Math" w:cs="Times New Roman"/>
                <w:sz w:val="21"/>
                <w:szCs w:val="21"/>
                <w:lang w:bidi="ar"/>
              </w:rPr>
              <m:t>=1</m:t>
            </m:r>
            <m:ctrlPr>
              <w:rPr>
                <w:rFonts w:ascii="Cambria Math" w:hAnsi="Cambria Math" w:cs="Times New Roman"/>
                <w:sz w:val="21"/>
                <w:szCs w:val="21"/>
                <w:lang w:bidi="ar"/>
              </w:rPr>
            </m:ctrlPr>
          </m:sub>
          <m:sup>
            <m:r>
              <m:rPr/>
              <w:rPr>
                <w:rFonts w:ascii="Cambria Math" w:hAnsi="Cambria Math" w:cs="Times New Roman"/>
                <w:sz w:val="21"/>
                <w:szCs w:val="21"/>
                <w:lang w:bidi="ar"/>
              </w:rPr>
              <m:t>m</m:t>
            </m:r>
            <m:ctrlPr>
              <w:rPr>
                <w:rFonts w:ascii="Cambria Math" w:hAnsi="Cambria Math" w:cs="Times New Roman"/>
                <w:sz w:val="21"/>
                <w:szCs w:val="21"/>
                <w:lang w:bidi="ar"/>
              </w:rPr>
            </m:ctrlPr>
          </m:sup>
        </m:sSubSup>
      </m:oMath>
      <w:r>
        <w:rPr>
          <w:rFonts w:cs="Times New Roman"/>
          <w:sz w:val="21"/>
          <w:szCs w:val="21"/>
          <w:lang w:bidi="ar"/>
        </w:rPr>
        <w:t>，分别使用训练好的SVM和RF模型进行预测，得到SVM的预测结果和RF的预测结果。最终的预测结果是通过对这两个预测结果进行加权求和得到的，具体公式为：</w:t>
      </w:r>
    </w:p>
    <w:p w14:paraId="5283C461">
      <w:pPr>
        <w:ind w:firstLine="420" w:firstLineChars="200"/>
        <w:rPr>
          <w:rFonts w:cs="Times New Roman"/>
          <w:sz w:val="21"/>
          <w:szCs w:val="21"/>
          <w:lang w:bidi="ar"/>
        </w:rPr>
      </w:pPr>
      <m:oMathPara>
        <m:oMath>
          <m:sSubSup>
            <m:sSubSupPr>
              <m:ctrlPr>
                <w:rPr>
                  <w:rFonts w:ascii="Cambria Math" w:hAnsi="Cambria Math" w:cs="Times New Roman"/>
                  <w:sz w:val="21"/>
                  <w:szCs w:val="21"/>
                  <w:lang w:bidi="ar"/>
                </w:rPr>
              </m:ctrlPr>
            </m:sSubSupPr>
            <m:e>
              <m:acc>
                <m:accPr>
                  <m:ctrlPr>
                    <w:rPr>
                      <w:rFonts w:ascii="Cambria Math" w:hAnsi="Cambria Math" w:cs="Times New Roman"/>
                      <w:sz w:val="21"/>
                      <w:szCs w:val="21"/>
                      <w:lang w:bidi="ar"/>
                    </w:rPr>
                  </m:ctrlPr>
                </m:accPr>
                <m:e>
                  <m:r>
                    <m:rPr/>
                    <w:rPr>
                      <w:rFonts w:ascii="Cambria Math" w:hAnsi="Cambria Math" w:cs="Times New Roman"/>
                      <w:sz w:val="21"/>
                      <w:szCs w:val="21"/>
                      <w:lang w:bidi="ar"/>
                    </w:rPr>
                    <m:t>y</m:t>
                  </m:r>
                  <m:ctrlPr>
                    <w:rPr>
                      <w:rFonts w:ascii="Cambria Math" w:hAnsi="Cambria Math" w:cs="Times New Roman"/>
                      <w:sz w:val="21"/>
                      <w:szCs w:val="21"/>
                      <w:lang w:bidi="ar"/>
                    </w:rPr>
                  </m:ctrlPr>
                </m:e>
              </m:acc>
              <m:ctrlPr>
                <w:rPr>
                  <w:rFonts w:ascii="Cambria Math" w:hAnsi="Cambria Math" w:cs="Times New Roman"/>
                  <w:sz w:val="21"/>
                  <w:szCs w:val="21"/>
                  <w:lang w:bidi="ar"/>
                </w:rPr>
              </m:ctrlPr>
            </m:e>
            <m:sub>
              <m:r>
                <m:rPr/>
                <w:rPr>
                  <w:rFonts w:ascii="Cambria Math" w:hAnsi="Cambria Math" w:cs="Times New Roman"/>
                  <w:sz w:val="21"/>
                  <w:szCs w:val="21"/>
                  <w:lang w:bidi="ar"/>
                </w:rPr>
                <m:t>i</m:t>
              </m:r>
              <m:ctrlPr>
                <w:rPr>
                  <w:rFonts w:ascii="Cambria Math" w:hAnsi="Cambria Math" w:cs="Times New Roman"/>
                  <w:sz w:val="21"/>
                  <w:szCs w:val="21"/>
                  <w:lang w:bidi="ar"/>
                </w:rPr>
              </m:ctrlPr>
            </m:sub>
            <m:sup>
              <m:r>
                <m:rPr>
                  <m:nor/>
                  <m:sty m:val="p"/>
                </m:rPr>
                <w:rPr>
                  <w:rFonts w:ascii="Cambria Math" w:hAnsi="Cambria Math" w:cs="Times New Roman"/>
                  <w:sz w:val="21"/>
                  <w:szCs w:val="21"/>
                  <w:lang w:bidi="ar"/>
                </w:rPr>
                <m:t xml:space="preserve">final </m:t>
              </m:r>
              <m:ctrlPr>
                <w:rPr>
                  <w:rFonts w:ascii="Cambria Math" w:hAnsi="Cambria Math" w:cs="Times New Roman"/>
                  <w:sz w:val="21"/>
                  <w:szCs w:val="21"/>
                  <w:lang w:bidi="ar"/>
                </w:rPr>
              </m:ctrlPr>
            </m:sup>
          </m:sSubSup>
          <m:r>
            <m:rPr>
              <m:sty m:val="p"/>
            </m:rPr>
            <w:rPr>
              <w:rFonts w:ascii="Cambria Math" w:hAnsi="Cambria Math" w:cs="Times New Roman"/>
              <w:sz w:val="21"/>
              <w:szCs w:val="21"/>
              <w:lang w:bidi="ar"/>
            </w:rPr>
            <m:t>=</m:t>
          </m:r>
          <m:sSub>
            <m:sSubPr>
              <m:ctrlPr>
                <w:rPr>
                  <w:rFonts w:ascii="Cambria Math" w:hAnsi="Cambria Math" w:cs="Times New Roman"/>
                  <w:sz w:val="21"/>
                  <w:szCs w:val="21"/>
                  <w:lang w:bidi="ar"/>
                </w:rPr>
              </m:ctrlPr>
            </m:sSubPr>
            <m:e>
              <m:r>
                <m:rPr/>
                <w:rPr>
                  <w:rFonts w:ascii="Cambria Math" w:hAnsi="Cambria Math" w:cs="Times New Roman"/>
                  <w:sz w:val="21"/>
                  <w:szCs w:val="21"/>
                  <w:lang w:bidi="ar"/>
                </w:rPr>
                <m:t>W</m:t>
              </m:r>
              <m:ctrlPr>
                <w:rPr>
                  <w:rFonts w:ascii="Cambria Math" w:hAnsi="Cambria Math" w:cs="Times New Roman"/>
                  <w:sz w:val="21"/>
                  <w:szCs w:val="21"/>
                  <w:lang w:bidi="ar"/>
                </w:rPr>
              </m:ctrlPr>
            </m:e>
            <m:sub>
              <m:r>
                <m:rPr>
                  <m:sty m:val="p"/>
                </m:rPr>
                <w:rPr>
                  <w:rFonts w:ascii="Cambria Math" w:hAnsi="Cambria Math" w:cs="Times New Roman"/>
                  <w:sz w:val="21"/>
                  <w:szCs w:val="21"/>
                  <w:lang w:bidi="ar"/>
                </w:rPr>
                <m:t>SVM</m:t>
              </m:r>
              <m:ctrlPr>
                <w:rPr>
                  <w:rFonts w:ascii="Cambria Math" w:hAnsi="Cambria Math" w:cs="Times New Roman"/>
                  <w:sz w:val="21"/>
                  <w:szCs w:val="21"/>
                  <w:lang w:bidi="ar"/>
                </w:rPr>
              </m:ctrlPr>
            </m:sub>
          </m:sSub>
          <m:r>
            <m:rPr>
              <m:sty m:val="p"/>
            </m:rPr>
            <w:rPr>
              <w:rFonts w:ascii="Cambria Math" w:hAnsi="Cambria Math" w:cs="Times New Roman"/>
              <w:sz w:val="21"/>
              <w:szCs w:val="21"/>
              <w:lang w:bidi="ar"/>
            </w:rPr>
            <m:t>⋅</m:t>
          </m:r>
          <m:sSubSup>
            <m:sSubSupPr>
              <m:ctrlPr>
                <w:rPr>
                  <w:rFonts w:ascii="Cambria Math" w:hAnsi="Cambria Math" w:cs="Times New Roman"/>
                  <w:sz w:val="21"/>
                  <w:szCs w:val="21"/>
                  <w:lang w:bidi="ar"/>
                </w:rPr>
              </m:ctrlPr>
            </m:sSubSupPr>
            <m:e>
              <m:acc>
                <m:accPr>
                  <m:ctrlPr>
                    <w:rPr>
                      <w:rFonts w:ascii="Cambria Math" w:hAnsi="Cambria Math" w:cs="Times New Roman"/>
                      <w:sz w:val="21"/>
                      <w:szCs w:val="21"/>
                      <w:lang w:bidi="ar"/>
                    </w:rPr>
                  </m:ctrlPr>
                </m:accPr>
                <m:e>
                  <m:r>
                    <m:rPr/>
                    <w:rPr>
                      <w:rFonts w:ascii="Cambria Math" w:hAnsi="Cambria Math" w:cs="Times New Roman"/>
                      <w:sz w:val="21"/>
                      <w:szCs w:val="21"/>
                      <w:lang w:bidi="ar"/>
                    </w:rPr>
                    <m:t>y</m:t>
                  </m:r>
                  <m:ctrlPr>
                    <w:rPr>
                      <w:rFonts w:ascii="Cambria Math" w:hAnsi="Cambria Math" w:cs="Times New Roman"/>
                      <w:sz w:val="21"/>
                      <w:szCs w:val="21"/>
                      <w:lang w:bidi="ar"/>
                    </w:rPr>
                  </m:ctrlPr>
                </m:e>
              </m:acc>
              <m:ctrlPr>
                <w:rPr>
                  <w:rFonts w:ascii="Cambria Math" w:hAnsi="Cambria Math" w:cs="Times New Roman"/>
                  <w:sz w:val="21"/>
                  <w:szCs w:val="21"/>
                  <w:lang w:bidi="ar"/>
                </w:rPr>
              </m:ctrlPr>
            </m:e>
            <m:sub>
              <m:r>
                <m:rPr/>
                <w:rPr>
                  <w:rFonts w:ascii="Cambria Math" w:hAnsi="Cambria Math" w:cs="Times New Roman"/>
                  <w:sz w:val="21"/>
                  <w:szCs w:val="21"/>
                  <w:lang w:bidi="ar"/>
                </w:rPr>
                <m:t>i</m:t>
              </m:r>
              <m:ctrlPr>
                <w:rPr>
                  <w:rFonts w:ascii="Cambria Math" w:hAnsi="Cambria Math" w:cs="Times New Roman"/>
                  <w:sz w:val="21"/>
                  <w:szCs w:val="21"/>
                  <w:lang w:bidi="ar"/>
                </w:rPr>
              </m:ctrlPr>
            </m:sub>
            <m:sup>
              <m:r>
                <m:rPr>
                  <m:sty m:val="p"/>
                </m:rPr>
                <w:rPr>
                  <w:rFonts w:ascii="Cambria Math" w:hAnsi="Cambria Math" w:cs="Times New Roman"/>
                  <w:sz w:val="21"/>
                  <w:szCs w:val="21"/>
                  <w:lang w:bidi="ar"/>
                </w:rPr>
                <m:t>SVM</m:t>
              </m:r>
              <m:ctrlPr>
                <w:rPr>
                  <w:rFonts w:ascii="Cambria Math" w:hAnsi="Cambria Math" w:cs="Times New Roman"/>
                  <w:sz w:val="21"/>
                  <w:szCs w:val="21"/>
                  <w:lang w:bidi="ar"/>
                </w:rPr>
              </m:ctrlPr>
            </m:sup>
          </m:sSubSup>
          <m:r>
            <m:rPr>
              <m:sty m:val="p"/>
            </m:rPr>
            <w:rPr>
              <w:rFonts w:ascii="Cambria Math" w:hAnsi="Cambria Math" w:cs="Times New Roman"/>
              <w:sz w:val="21"/>
              <w:szCs w:val="21"/>
              <w:lang w:bidi="ar"/>
            </w:rPr>
            <m:t>+ RF⋅</m:t>
          </m:r>
          <m:sSubSup>
            <m:sSubSupPr>
              <m:ctrlPr>
                <w:rPr>
                  <w:rFonts w:ascii="Cambria Math" w:hAnsi="Cambria Math" w:cs="Times New Roman"/>
                  <w:sz w:val="21"/>
                  <w:szCs w:val="21"/>
                  <w:lang w:bidi="ar"/>
                </w:rPr>
              </m:ctrlPr>
            </m:sSubSupPr>
            <m:e>
              <m:acc>
                <m:accPr>
                  <m:ctrlPr>
                    <w:rPr>
                      <w:rFonts w:ascii="Cambria Math" w:hAnsi="Cambria Math" w:cs="Times New Roman"/>
                      <w:sz w:val="21"/>
                      <w:szCs w:val="21"/>
                      <w:lang w:bidi="ar"/>
                    </w:rPr>
                  </m:ctrlPr>
                </m:accPr>
                <m:e>
                  <m:r>
                    <m:rPr/>
                    <w:rPr>
                      <w:rFonts w:ascii="Cambria Math" w:hAnsi="Cambria Math" w:cs="Times New Roman"/>
                      <w:sz w:val="21"/>
                      <w:szCs w:val="21"/>
                      <w:lang w:bidi="ar"/>
                    </w:rPr>
                    <m:t>y</m:t>
                  </m:r>
                  <m:ctrlPr>
                    <w:rPr>
                      <w:rFonts w:ascii="Cambria Math" w:hAnsi="Cambria Math" w:cs="Times New Roman"/>
                      <w:sz w:val="21"/>
                      <w:szCs w:val="21"/>
                      <w:lang w:bidi="ar"/>
                    </w:rPr>
                  </m:ctrlPr>
                </m:e>
              </m:acc>
              <m:ctrlPr>
                <w:rPr>
                  <w:rFonts w:ascii="Cambria Math" w:hAnsi="Cambria Math" w:cs="Times New Roman"/>
                  <w:sz w:val="21"/>
                  <w:szCs w:val="21"/>
                  <w:lang w:bidi="ar"/>
                </w:rPr>
              </m:ctrlPr>
            </m:e>
            <m:sub>
              <m:r>
                <m:rPr/>
                <w:rPr>
                  <w:rFonts w:ascii="Cambria Math" w:hAnsi="Cambria Math" w:cs="Times New Roman"/>
                  <w:sz w:val="21"/>
                  <w:szCs w:val="21"/>
                  <w:lang w:bidi="ar"/>
                </w:rPr>
                <m:t>i</m:t>
              </m:r>
              <m:ctrlPr>
                <w:rPr>
                  <w:rFonts w:ascii="Cambria Math" w:hAnsi="Cambria Math" w:cs="Times New Roman"/>
                  <w:sz w:val="21"/>
                  <w:szCs w:val="21"/>
                  <w:lang w:bidi="ar"/>
                </w:rPr>
              </m:ctrlPr>
            </m:sub>
            <m:sup>
              <m:r>
                <m:rPr>
                  <m:sty m:val="p"/>
                </m:rPr>
                <w:rPr>
                  <w:rFonts w:ascii="Cambria Math" w:hAnsi="Cambria Math" w:cs="Times New Roman"/>
                  <w:sz w:val="21"/>
                  <w:szCs w:val="21"/>
                  <w:lang w:bidi="ar"/>
                </w:rPr>
                <m:t>RF</m:t>
              </m:r>
              <m:ctrlPr>
                <w:rPr>
                  <w:rFonts w:ascii="Cambria Math" w:hAnsi="Cambria Math" w:cs="Times New Roman"/>
                  <w:sz w:val="21"/>
                  <w:szCs w:val="21"/>
                  <w:lang w:bidi="ar"/>
                </w:rPr>
              </m:ctrlPr>
            </m:sup>
          </m:sSubSup>
          <m:r>
            <m:rPr>
              <m:sty m:val="p"/>
            </m:rPr>
            <w:rPr>
              <w:rFonts w:ascii="Cambria Math" w:hAnsi="Cambria Math" w:cs="Times New Roman"/>
              <w:sz w:val="21"/>
              <w:szCs w:val="21"/>
              <w:lang w:bidi="ar"/>
            </w:rPr>
            <m:t>.</m:t>
          </m:r>
        </m:oMath>
      </m:oMathPara>
    </w:p>
    <w:p w14:paraId="24119E0C">
      <w:pPr>
        <w:ind w:firstLine="420" w:firstLineChars="200"/>
        <w:rPr>
          <w:rFonts w:cs="Times New Roman"/>
          <w:sz w:val="21"/>
          <w:szCs w:val="21"/>
          <w:lang w:bidi="ar"/>
        </w:rPr>
      </w:pPr>
      <w:r>
        <w:rPr>
          <w:rFonts w:cs="Times New Roman"/>
          <w:sz w:val="21"/>
          <w:szCs w:val="21"/>
          <w:lang w:bidi="ar"/>
        </w:rPr>
        <w:t>最终的预测结果通过选择加权和的最大值来确定企业的新质生产力类别。</w:t>
      </w:r>
    </w:p>
    <w:p w14:paraId="52E8FFE9">
      <w:pPr>
        <w:pStyle w:val="4"/>
        <w:spacing w:before="0" w:after="0" w:line="240" w:lineRule="auto"/>
        <w:rPr>
          <w:rFonts w:cs="Times New Roman"/>
          <w:sz w:val="21"/>
          <w:szCs w:val="21"/>
        </w:rPr>
      </w:pPr>
      <w:r>
        <w:rPr>
          <w:rFonts w:cs="Times New Roman"/>
          <w:sz w:val="21"/>
          <w:szCs w:val="21"/>
        </w:rPr>
        <w:t>3.2 SHAP解释方法</w:t>
      </w:r>
    </w:p>
    <w:p w14:paraId="4FAE6768">
      <w:pPr>
        <w:ind w:firstLine="420" w:firstLineChars="200"/>
        <w:rPr>
          <w:rFonts w:cs="Times New Roman"/>
          <w:sz w:val="21"/>
          <w:szCs w:val="21"/>
          <w:lang w:bidi="ar"/>
        </w:rPr>
      </w:pPr>
      <w:r>
        <w:rPr>
          <w:rFonts w:cs="Times New Roman"/>
          <w:sz w:val="21"/>
          <w:szCs w:val="21"/>
          <w:lang w:bidi="ar"/>
        </w:rPr>
        <w:t>SHapley Additive exPlanations (SHAP)是Lundberg和Lee</w:t>
      </w:r>
      <w:r>
        <w:rPr>
          <w:rFonts w:cs="Times New Roman"/>
          <w:sz w:val="21"/>
          <w:szCs w:val="21"/>
          <w:vertAlign w:val="superscript"/>
          <w:lang w:bidi="ar"/>
        </w:rPr>
        <w:t>[24]</w:t>
      </w:r>
      <w:r>
        <w:rPr>
          <w:rFonts w:cs="Times New Roman"/>
          <w:sz w:val="21"/>
          <w:szCs w:val="21"/>
          <w:lang w:bidi="ar"/>
        </w:rPr>
        <w:t>在2017年提出的一种基于博弈论和局部解释统一的类加性特征归因方法，它可以用于进一步解释所开发的机器学习模型的行为。SHAP方法的主要思想来自组合博弈论中的Shapley值，该值为多人合作博弈的利益分配问题提供了一种合理的方法。</w:t>
      </w:r>
    </w:p>
    <w:p w14:paraId="70C1F1D8">
      <w:pPr>
        <w:ind w:firstLine="420" w:firstLineChars="200"/>
        <w:rPr>
          <w:rFonts w:cs="Times New Roman"/>
          <w:sz w:val="21"/>
          <w:szCs w:val="21"/>
          <w:lang w:bidi="ar"/>
        </w:rPr>
      </w:pPr>
      <w:r>
        <w:rPr>
          <w:rFonts w:cs="Times New Roman"/>
          <w:sz w:val="21"/>
          <w:szCs w:val="21"/>
          <w:lang w:bidi="ar"/>
        </w:rPr>
        <w:t>SHAP 值可以提高对机器学习模型的可解释性和透明度，深入地了解特征之间的关系。特征的Shapley值是其对预测的贡献，Shapley绝对值越大，表示该特征的贡献越大。因此，SHAP值的一个优点是它能够描述模型预测如何根据模型特征值的变化而变化</w:t>
      </w:r>
      <w:r>
        <w:rPr>
          <w:rFonts w:cs="Times New Roman"/>
          <w:sz w:val="21"/>
          <w:szCs w:val="21"/>
          <w:vertAlign w:val="superscript"/>
          <w:lang w:bidi="ar"/>
        </w:rPr>
        <w:t>[25]</w:t>
      </w:r>
      <w:r>
        <w:rPr>
          <w:rFonts w:cs="Times New Roman"/>
          <w:sz w:val="21"/>
          <w:szCs w:val="21"/>
          <w:lang w:bidi="ar"/>
        </w:rPr>
        <w:t>。SHAP在数值上的定义是：</w:t>
      </w:r>
    </w:p>
    <w:p w14:paraId="5B67EF57">
      <w:pPr>
        <w:pStyle w:val="23"/>
        <w:rPr>
          <w:rFonts w:ascii="Times New Roman" w:hAnsi="Times New Roman"/>
          <w:lang w:bidi="ar"/>
        </w:rPr>
      </w:pPr>
      <w:r>
        <w:rPr>
          <w:rFonts w:ascii="Times New Roman" w:hAnsi="Times New Roman"/>
          <w:i w:val="0"/>
        </w:rPr>
        <w:tab/>
      </w:r>
      <m:oMath>
        <m:r>
          <m:rPr/>
          <m:t>g(x)=</m:t>
        </m:r>
        <m:sSub>
          <m:sSubPr/>
          <m:e>
            <m:r>
              <m:rPr/>
              <m:t>y</m:t>
            </m:r>
          </m:e>
          <m:sub>
            <m:r>
              <m:rPr/>
              <m:t>0</m:t>
            </m:r>
          </m:sub>
        </m:sSub>
        <m:r>
          <m:rPr/>
          <m:t>+</m:t>
        </m:r>
        <m:nary>
          <m:naryPr>
            <m:chr m:val="∑"/>
            <m:limLoc m:val="undOvr"/>
          </m:naryPr>
          <m:sub>
            <m:r>
              <m:rPr/>
              <m:t>i=1</m:t>
            </m:r>
          </m:sub>
          <m:sup>
            <m:r>
              <m:rPr/>
              <m:t>M</m:t>
            </m:r>
          </m:sup>
          <m:e>
            <m:sSub>
              <m:sSubPr/>
              <m:e>
                <m:r>
                  <m:rPr/>
                  <m:t>φ</m:t>
                </m:r>
              </m:e>
              <m:sub>
                <m:r>
                  <m:rPr/>
                  <m:t>i</m:t>
                </m:r>
              </m:sub>
            </m:sSub>
            <m:sSub>
              <m:sSubPr/>
              <m:e>
                <m:r>
                  <m:rPr/>
                  <m:t>x</m:t>
                </m:r>
              </m:e>
              <m:sub>
                <m:r>
                  <m:rPr/>
                  <m:t>i</m:t>
                </m:r>
              </m:sub>
            </m:sSub>
          </m:e>
        </m:nary>
      </m:oMath>
      <w:r>
        <w:rPr>
          <w:rFonts w:ascii="Times New Roman" w:hAnsi="Times New Roman"/>
          <w:i w:val="0"/>
        </w:rPr>
        <w:t>,</w:t>
      </w:r>
      <w:r>
        <w:rPr>
          <w:rFonts w:ascii="Times New Roman" w:hAnsi="Times New Roman"/>
          <w:i w:val="0"/>
          <w:iCs/>
        </w:rPr>
        <w:tab/>
      </w:r>
    </w:p>
    <w:p w14:paraId="3D55D0D2">
      <w:pPr>
        <w:rPr>
          <w:rFonts w:cs="Times New Roman"/>
          <w:sz w:val="21"/>
          <w:szCs w:val="21"/>
          <w:lang w:bidi="ar"/>
        </w:rPr>
      </w:pPr>
      <m:oMath>
        <m:r>
          <m:rPr>
            <m:sty m:val="p"/>
          </m:rPr>
          <w:rPr>
            <w:rFonts w:ascii="Cambria Math" w:hAnsi="Cambria Math" w:cs="Times New Roman"/>
            <w:sz w:val="21"/>
            <w:szCs w:val="21"/>
          </w:rPr>
          <m:t>g</m:t>
        </m:r>
        <m:r>
          <m:rPr/>
          <w:rPr>
            <w:rFonts w:ascii="Cambria Math" w:hAnsi="Cambria Math" w:cs="Times New Roman"/>
            <w:sz w:val="21"/>
            <w:szCs w:val="21"/>
          </w:rPr>
          <m:t>(x)</m:t>
        </m:r>
      </m:oMath>
      <w:r>
        <w:rPr>
          <w:rFonts w:cs="Times New Roman"/>
          <w:sz w:val="21"/>
          <w:szCs w:val="21"/>
          <w:lang w:bidi="ar"/>
        </w:rPr>
        <w:t>为解释模型，</w:t>
      </w:r>
      <m:oMath>
        <m:sSub>
          <m:sSubPr>
            <m:ctrlPr>
              <w:rPr>
                <w:rFonts w:ascii="Cambria Math" w:hAnsi="Cambria Math" w:cs="Times New Roman"/>
                <w:i/>
                <w:sz w:val="21"/>
                <w:szCs w:val="21"/>
              </w:rPr>
            </m:ctrlPr>
          </m:sSubPr>
          <m:e>
            <m:r>
              <m:rPr/>
              <w:rPr>
                <w:rFonts w:ascii="Cambria Math" w:hAnsi="Cambria Math" w:cs="Times New Roman"/>
                <w:sz w:val="21"/>
                <w:szCs w:val="21"/>
              </w:rPr>
              <m:t>y</m:t>
            </m:r>
            <m:ctrlPr>
              <w:rPr>
                <w:rFonts w:ascii="Cambria Math" w:hAnsi="Cambria Math" w:cs="Times New Roman"/>
                <w:i/>
                <w:sz w:val="21"/>
                <w:szCs w:val="21"/>
              </w:rPr>
            </m:ctrlPr>
          </m:e>
          <m:sub>
            <m:r>
              <m:rPr/>
              <w:rPr>
                <w:rFonts w:ascii="Cambria Math" w:hAnsi="Cambria Math" w:cs="Times New Roman"/>
                <w:sz w:val="21"/>
                <w:szCs w:val="21"/>
              </w:rPr>
              <m:t>0</m:t>
            </m:r>
            <m:ctrlPr>
              <w:rPr>
                <w:rFonts w:ascii="Cambria Math" w:hAnsi="Cambria Math" w:cs="Times New Roman"/>
                <w:i/>
                <w:sz w:val="21"/>
                <w:szCs w:val="21"/>
              </w:rPr>
            </m:ctrlPr>
          </m:sub>
        </m:sSub>
      </m:oMath>
      <w:r>
        <w:rPr>
          <w:rFonts w:cs="Times New Roman"/>
          <w:sz w:val="21"/>
          <w:szCs w:val="21"/>
          <w:lang w:bidi="ar"/>
        </w:rPr>
        <w:t>表示未加入输入值时的期望值，</w:t>
      </w:r>
      <m:oMath>
        <m:r>
          <m:rPr/>
          <w:rPr>
            <w:rFonts w:ascii="Cambria Math" w:hAnsi="Cambria Math" w:cs="Times New Roman"/>
            <w:sz w:val="21"/>
            <w:szCs w:val="21"/>
          </w:rPr>
          <m:t>M</m:t>
        </m:r>
      </m:oMath>
      <w:r>
        <w:rPr>
          <w:rFonts w:cs="Times New Roman"/>
          <w:sz w:val="21"/>
          <w:szCs w:val="21"/>
          <w:lang w:bidi="ar"/>
        </w:rPr>
        <w:t>为特征值的最大子集大小，</w:t>
      </w:r>
      <m:oMath>
        <m:sSub>
          <m:sSubPr>
            <m:ctrlPr>
              <w:rPr>
                <w:rFonts w:ascii="Cambria Math" w:hAnsi="Cambria Math" w:cs="Times New Roman"/>
                <w:i/>
                <w:sz w:val="21"/>
                <w:szCs w:val="21"/>
              </w:rPr>
            </m:ctrlPr>
          </m:sSubPr>
          <m:e>
            <m:r>
              <m:rPr/>
              <w:rPr>
                <w:rFonts w:ascii="Cambria Math" w:hAnsi="Cambria Math" w:cs="Times New Roman"/>
                <w:sz w:val="21"/>
                <w:szCs w:val="21"/>
              </w:rPr>
              <m:t>φ</m:t>
            </m:r>
            <m:ctrlPr>
              <w:rPr>
                <w:rFonts w:ascii="Cambria Math" w:hAnsi="Cambria Math" w:cs="Times New Roman"/>
                <w:i/>
                <w:sz w:val="21"/>
                <w:szCs w:val="21"/>
              </w:rPr>
            </m:ctrlPr>
          </m:e>
          <m:sub>
            <m:r>
              <m:rPr/>
              <w:rPr>
                <w:rFonts w:ascii="Cambria Math" w:hAnsi="Cambria Math" w:cs="Times New Roman"/>
                <w:sz w:val="21"/>
                <w:szCs w:val="21"/>
              </w:rPr>
              <m:t>i</m:t>
            </m:r>
            <m:ctrlPr>
              <w:rPr>
                <w:rFonts w:ascii="Cambria Math" w:hAnsi="Cambria Math" w:cs="Times New Roman"/>
                <w:i/>
                <w:sz w:val="21"/>
                <w:szCs w:val="21"/>
              </w:rPr>
            </m:ctrlPr>
          </m:sub>
        </m:sSub>
      </m:oMath>
      <w:r>
        <w:rPr>
          <w:rFonts w:cs="Times New Roman"/>
          <w:sz w:val="21"/>
          <w:szCs w:val="21"/>
          <w:lang w:bidi="ar"/>
        </w:rPr>
        <w:t>为第</w:t>
      </w:r>
      <m:oMath>
        <m:r>
          <m:rPr/>
          <w:rPr>
            <w:rFonts w:ascii="Cambria Math" w:hAnsi="Cambria Math" w:cs="Times New Roman"/>
            <w:sz w:val="21"/>
            <w:szCs w:val="21"/>
          </w:rPr>
          <m:t>i</m:t>
        </m:r>
      </m:oMath>
      <w:r>
        <w:rPr>
          <w:rFonts w:cs="Times New Roman"/>
          <w:sz w:val="21"/>
          <w:szCs w:val="21"/>
          <w:lang w:bidi="ar"/>
        </w:rPr>
        <w:t>个特征的Shapley值，若</w:t>
      </w:r>
      <m:oMath>
        <m:sSub>
          <m:sSubPr>
            <m:ctrlPr>
              <w:rPr>
                <w:rFonts w:ascii="Cambria Math" w:hAnsi="Cambria Math" w:cs="Times New Roman"/>
                <w:i/>
                <w:sz w:val="21"/>
                <w:szCs w:val="21"/>
              </w:rPr>
            </m:ctrlPr>
          </m:sSubPr>
          <m:e>
            <m:r>
              <m:rPr/>
              <w:rPr>
                <w:rFonts w:ascii="Cambria Math" w:hAnsi="Cambria Math" w:cs="Times New Roman"/>
                <w:sz w:val="21"/>
                <w:szCs w:val="21"/>
              </w:rPr>
              <m:t>φ</m:t>
            </m:r>
            <m:ctrlPr>
              <w:rPr>
                <w:rFonts w:ascii="Cambria Math" w:hAnsi="Cambria Math" w:cs="Times New Roman"/>
                <w:i/>
                <w:sz w:val="21"/>
                <w:szCs w:val="21"/>
              </w:rPr>
            </m:ctrlPr>
          </m:e>
          <m:sub>
            <m:r>
              <m:rPr/>
              <w:rPr>
                <w:rFonts w:ascii="Cambria Math" w:hAnsi="Cambria Math" w:cs="Times New Roman"/>
                <w:sz w:val="21"/>
                <w:szCs w:val="21"/>
              </w:rPr>
              <m:t>i</m:t>
            </m:r>
            <m:ctrlPr>
              <w:rPr>
                <w:rFonts w:ascii="Cambria Math" w:hAnsi="Cambria Math" w:cs="Times New Roman"/>
                <w:i/>
                <w:sz w:val="21"/>
                <w:szCs w:val="21"/>
              </w:rPr>
            </m:ctrlPr>
          </m:sub>
        </m:sSub>
      </m:oMath>
      <w:r>
        <w:rPr>
          <w:rFonts w:cs="Times New Roman"/>
          <w:sz w:val="21"/>
          <w:szCs w:val="21"/>
          <w:lang w:bidi="ar"/>
        </w:rPr>
        <w:t>大于0，表明第</w:t>
      </w:r>
      <m:oMath>
        <m:r>
          <m:rPr/>
          <w:rPr>
            <w:rFonts w:ascii="Cambria Math" w:hAnsi="Cambria Math" w:cs="Times New Roman"/>
            <w:sz w:val="21"/>
            <w:szCs w:val="21"/>
          </w:rPr>
          <m:t>i</m:t>
        </m:r>
      </m:oMath>
      <w:r>
        <w:rPr>
          <w:rFonts w:cs="Times New Roman"/>
          <w:sz w:val="21"/>
          <w:szCs w:val="21"/>
          <w:lang w:bidi="ar"/>
        </w:rPr>
        <w:t>个特征对预测结果值能产生积极影响，否则产生负向影响</w:t>
      </w:r>
      <w:r>
        <w:rPr>
          <w:rFonts w:cs="Times New Roman"/>
          <w:sz w:val="21"/>
          <w:szCs w:val="21"/>
          <w:vertAlign w:val="superscript"/>
          <w:lang w:bidi="ar"/>
        </w:rPr>
        <w:t>[26]</w:t>
      </w:r>
      <w:r>
        <w:rPr>
          <w:rFonts w:cs="Times New Roman"/>
          <w:sz w:val="21"/>
          <w:szCs w:val="21"/>
          <w:lang w:bidi="ar"/>
        </w:rPr>
        <w:t>。但SHAP方法在处理包含多特征和复杂结构的模型中效率不高，Lundberg等</w:t>
      </w:r>
      <w:r>
        <w:rPr>
          <w:rFonts w:cs="Times New Roman"/>
          <w:sz w:val="21"/>
          <w:szCs w:val="21"/>
          <w:vertAlign w:val="superscript"/>
          <w:lang w:bidi="ar"/>
        </w:rPr>
        <w:t>[27]</w:t>
      </w:r>
      <w:r>
        <w:rPr>
          <w:rFonts w:cs="Times New Roman"/>
          <w:sz w:val="21"/>
          <w:szCs w:val="21"/>
          <w:lang w:bidi="ar"/>
        </w:rPr>
        <w:t>基于树模型开发了TreeSHAP，降低问题复杂性，提高了求解问题的有效性和稳健性。因此，后文研究的SHAP部分基于TreeSHAP框架进行分析与求解。</w:t>
      </w:r>
    </w:p>
    <w:p w14:paraId="2038D791">
      <w:pPr>
        <w:pStyle w:val="4"/>
        <w:spacing w:before="0" w:after="0" w:line="240" w:lineRule="auto"/>
        <w:rPr>
          <w:rFonts w:hint="default" w:cs="Times New Roman"/>
          <w:color w:val="FF0000"/>
          <w:sz w:val="21"/>
          <w:szCs w:val="21"/>
          <w:lang w:val="en-US"/>
        </w:rPr>
      </w:pPr>
      <w:r>
        <w:rPr>
          <w:rFonts w:hint="eastAsia" w:cs="Times New Roman"/>
          <w:color w:val="FF0000"/>
          <w:sz w:val="21"/>
          <w:szCs w:val="21"/>
        </w:rPr>
        <w:t>3.3</w:t>
      </w:r>
      <w:r>
        <w:rPr>
          <w:rFonts w:hint="eastAsia" w:cs="Times New Roman"/>
          <w:color w:val="FF0000"/>
          <w:sz w:val="21"/>
          <w:szCs w:val="21"/>
          <w:lang w:val="en-US" w:eastAsia="zh-CN"/>
        </w:rPr>
        <w:t xml:space="preserve"> </w:t>
      </w:r>
      <w:r>
        <w:rPr>
          <w:rFonts w:hint="eastAsia" w:cs="Times New Roman"/>
          <w:color w:val="FF0000"/>
          <w:sz w:val="21"/>
          <w:szCs w:val="21"/>
          <w:lang w:val="en-US" w:eastAsia="zh-CN" w:bidi="ar"/>
        </w:rPr>
        <w:t>OPA-熵权测度方法</w:t>
      </w:r>
    </w:p>
    <w:p w14:paraId="709DE459">
      <w:pPr>
        <w:keepNext w:val="0"/>
        <w:keepLines w:val="0"/>
        <w:widowControl/>
        <w:suppressLineNumbers w:val="0"/>
        <w:ind w:firstLine="420" w:firstLineChars="200"/>
        <w:jc w:val="left"/>
        <w:rPr>
          <w:rFonts w:hint="default" w:ascii="Times New Roman" w:hAnsi="Times New Roman" w:cs="Times New Roman"/>
          <w:color w:val="FF0000"/>
          <w:sz w:val="21"/>
          <w:szCs w:val="21"/>
          <w:lang w:val="en-US" w:eastAsia="zh-CN" w:bidi="ar"/>
        </w:rPr>
      </w:pPr>
      <w:r>
        <w:rPr>
          <w:rFonts w:hint="default" w:ascii="Times New Roman" w:hAnsi="Times New Roman" w:cs="Times New Roman"/>
          <w:color w:val="FF0000"/>
          <w:sz w:val="21"/>
          <w:szCs w:val="21"/>
          <w:lang w:val="en-US" w:eastAsia="zh-CN" w:bidi="ar"/>
        </w:rPr>
        <w:t>Ordinal Priority Approach</w:t>
      </w:r>
      <w:r>
        <w:rPr>
          <w:rFonts w:hint="eastAsia" w:cs="Times New Roman"/>
          <w:color w:val="FF0000"/>
          <w:sz w:val="21"/>
          <w:szCs w:val="21"/>
          <w:lang w:val="en-US" w:eastAsia="zh-CN" w:bidi="ar"/>
        </w:rPr>
        <w:t>(</w:t>
      </w:r>
      <w:r>
        <w:rPr>
          <w:rFonts w:hint="default" w:ascii="Times New Roman" w:hAnsi="Times New Roman" w:cs="Times New Roman"/>
          <w:color w:val="FF0000"/>
          <w:sz w:val="21"/>
          <w:szCs w:val="21"/>
          <w:lang w:val="en-US" w:eastAsia="zh-CN" w:bidi="ar"/>
        </w:rPr>
        <w:t>OPA</w:t>
      </w:r>
      <w:r>
        <w:rPr>
          <w:rFonts w:hint="eastAsia" w:cs="Times New Roman"/>
          <w:color w:val="FF0000"/>
          <w:sz w:val="21"/>
          <w:szCs w:val="21"/>
          <w:lang w:val="en-US" w:eastAsia="zh-CN" w:bidi="ar"/>
        </w:rPr>
        <w:t>)是</w:t>
      </w:r>
      <w:r>
        <w:rPr>
          <w:rFonts w:hint="eastAsia" w:ascii="Times New Roman" w:hAnsi="Times New Roman" w:cs="Times New Roman"/>
          <w:color w:val="FF0000"/>
          <w:sz w:val="21"/>
          <w:szCs w:val="21"/>
          <w:lang w:bidi="ar"/>
        </w:rPr>
        <w:t>Ataei</w:t>
      </w:r>
      <w:r>
        <w:rPr>
          <w:rFonts w:hint="default" w:ascii="Times New Roman" w:hAnsi="Times New Roman" w:cs="Times New Roman"/>
          <w:color w:val="FF0000"/>
          <w:sz w:val="21"/>
          <w:szCs w:val="21"/>
          <w:highlight w:val="yellow"/>
          <w:vertAlign w:val="superscript"/>
          <w:lang w:val="en-US" w:eastAsia="zh-CN" w:bidi="ar"/>
        </w:rPr>
        <w:footnoteReference w:id="0"/>
      </w:r>
      <w:r>
        <w:rPr>
          <w:rFonts w:hint="eastAsia" w:cs="Times New Roman"/>
          <w:color w:val="FF0000"/>
          <w:sz w:val="21"/>
          <w:szCs w:val="21"/>
          <w:lang w:val="en-US" w:eastAsia="zh-CN" w:bidi="ar"/>
        </w:rPr>
        <w:t>在2020年提出的一种基于专家指标排序的主观赋权方法，他可以在缺失具体得分的情况下最大化权重差异，实现主观差异化赋权。熵权法是基于指标信息量的大小对指标进行主观赋权。在本文的研究中，邀请了数位行业专家对指标进行排序，构建OPA-熵权测度方法</w:t>
      </w:r>
      <w:r>
        <w:rPr>
          <w:rFonts w:hint="default" w:ascii="Times New Roman" w:hAnsi="Times New Roman" w:cs="Times New Roman"/>
          <w:color w:val="FF0000"/>
          <w:sz w:val="21"/>
          <w:szCs w:val="21"/>
          <w:lang w:val="en-US" w:eastAsia="zh-CN" w:bidi="ar"/>
        </w:rPr>
        <w:t>对指标进行</w:t>
      </w:r>
      <w:r>
        <w:rPr>
          <w:rFonts w:hint="eastAsia" w:cs="Times New Roman"/>
          <w:color w:val="FF0000"/>
          <w:sz w:val="21"/>
          <w:szCs w:val="21"/>
          <w:lang w:val="en-US" w:eastAsia="zh-CN" w:bidi="ar"/>
        </w:rPr>
        <w:t>主客观</w:t>
      </w:r>
      <w:r>
        <w:rPr>
          <w:rFonts w:hint="default" w:ascii="Times New Roman" w:hAnsi="Times New Roman" w:cs="Times New Roman"/>
          <w:color w:val="FF0000"/>
          <w:sz w:val="21"/>
          <w:szCs w:val="21"/>
          <w:lang w:val="en-US" w:eastAsia="zh-CN" w:bidi="ar"/>
        </w:rPr>
        <w:t>赋权</w:t>
      </w:r>
      <w:r>
        <w:rPr>
          <w:rFonts w:hint="eastAsia" w:cs="Times New Roman"/>
          <w:color w:val="FF0000"/>
          <w:sz w:val="21"/>
          <w:szCs w:val="21"/>
          <w:lang w:val="en-US" w:eastAsia="zh-CN" w:bidi="ar"/>
        </w:rPr>
        <w:t>。</w:t>
      </w:r>
    </w:p>
    <w:p w14:paraId="78A15B38">
      <w:pPr>
        <w:keepNext w:val="0"/>
        <w:keepLines w:val="0"/>
        <w:widowControl/>
        <w:suppressLineNumbers w:val="0"/>
        <w:ind w:firstLine="420" w:firstLineChars="200"/>
        <w:jc w:val="left"/>
        <w:rPr>
          <w:rFonts w:hint="eastAsia" w:cs="Times New Roman"/>
          <w:color w:val="FF0000"/>
          <w:sz w:val="21"/>
          <w:szCs w:val="21"/>
          <w:lang w:val="en-US" w:eastAsia="zh-CN" w:bidi="ar"/>
        </w:rPr>
      </w:pPr>
      <w:r>
        <w:rPr>
          <w:rFonts w:hint="eastAsia" w:ascii="Times New Roman" w:hAnsi="Times New Roman" w:cs="Times New Roman"/>
          <w:color w:val="FF0000"/>
          <w:sz w:val="21"/>
          <w:szCs w:val="21"/>
          <w:lang w:val="en-US" w:eastAsia="zh-CN" w:bidi="ar"/>
        </w:rPr>
        <w:t>第一步：指标归一化。</w:t>
      </w:r>
      <w:r>
        <w:rPr>
          <w:rFonts w:hint="default" w:ascii="Times New Roman" w:hAnsi="Times New Roman" w:cs="Times New Roman"/>
          <w:color w:val="FF0000"/>
          <w:sz w:val="21"/>
          <w:szCs w:val="21"/>
          <w:lang w:val="en-US" w:eastAsia="zh-CN" w:bidi="ar"/>
        </w:rPr>
        <w:t>为了消除量纲差异，使各指标在同一尺度上可比，保证分析结果的公平性和有效性，需要对指标进行归一化处理。具体公式如下所示：</w:t>
      </w:r>
      <w:r>
        <w:rPr>
          <w:rFonts w:hint="default" w:ascii="Times New Roman" w:hAnsi="Times New Roman" w:cs="Times New Roman"/>
          <w:color w:val="FF0000"/>
          <w:sz w:val="21"/>
          <w:szCs w:val="21"/>
          <w:lang w:val="en-US" w:eastAsia="zh-CN" w:bidi="ar"/>
        </w:rPr>
        <w:br w:type="textWrapping"/>
      </w:r>
      <m:oMathPara>
        <m:oMath>
          <m:sSubSup>
            <m:sSubSupPr>
              <m:ctrlPr>
                <w:rPr>
                  <w:rFonts w:hint="default" w:ascii="Cambria Math" w:hAnsi="Cambria Math" w:cs="Times New Roman"/>
                  <w:color w:val="FF0000"/>
                  <w:sz w:val="21"/>
                  <w:szCs w:val="21"/>
                  <w:lang w:val="en-US" w:eastAsia="zh-CN" w:bidi="ar"/>
                </w:rPr>
              </m:ctrlPr>
            </m:sSubSupPr>
            <m:e>
              <m:r>
                <m:rPr>
                  <m:sty m:val="p"/>
                </m:rPr>
                <w:rPr>
                  <w:rFonts w:hint="default" w:ascii="Cambria Math" w:hAnsi="Cambria Math" w:cs="Times New Roman"/>
                  <w:color w:val="FF0000"/>
                  <w:sz w:val="21"/>
                  <w:szCs w:val="21"/>
                  <w:lang w:val="en-US" w:eastAsia="zh-CN" w:bidi="ar"/>
                </w:rPr>
                <m:t>y</m:t>
              </m:r>
              <m:ctrlPr>
                <w:rPr>
                  <w:rFonts w:hint="default" w:ascii="Cambria Math" w:hAnsi="Cambria Math" w:cs="Times New Roman"/>
                  <w:color w:val="FF0000"/>
                  <w:sz w:val="21"/>
                  <w:szCs w:val="21"/>
                  <w:lang w:val="en-US" w:eastAsia="zh-CN" w:bidi="ar"/>
                </w:rPr>
              </m:ctrlPr>
            </m:e>
            <m:sub>
              <m:r>
                <m:rPr>
                  <m:sty m:val="p"/>
                </m:rPr>
                <w:rPr>
                  <w:rFonts w:hint="default" w:ascii="Cambria Math" w:hAnsi="Cambria Math" w:cs="Times New Roman"/>
                  <w:color w:val="FF0000"/>
                  <w:sz w:val="21"/>
                  <w:szCs w:val="21"/>
                  <w:lang w:val="en-US" w:eastAsia="zh-CN" w:bidi="ar"/>
                </w:rPr>
                <m:t>jk</m:t>
              </m:r>
              <m:ctrlPr>
                <w:rPr>
                  <w:rFonts w:hint="default" w:ascii="Cambria Math" w:hAnsi="Cambria Math" w:cs="Times New Roman"/>
                  <w:color w:val="FF0000"/>
                  <w:sz w:val="21"/>
                  <w:szCs w:val="21"/>
                  <w:lang w:val="en-US" w:eastAsia="zh-CN" w:bidi="ar"/>
                </w:rPr>
              </m:ctrlPr>
            </m:sub>
            <m:sup>
              <m:r>
                <m:rPr>
                  <m:sty m:val="p"/>
                </m:rPr>
                <w:rPr>
                  <w:rFonts w:hint="default" w:ascii="Cambria Math" w:hAnsi="Cambria Math" w:cs="Times New Roman"/>
                  <w:color w:val="FF0000"/>
                  <w:sz w:val="21"/>
                  <w:szCs w:val="21"/>
                  <w:lang w:val="en-US" w:eastAsia="zh-CN" w:bidi="ar"/>
                </w:rPr>
                <m:t>t</m:t>
              </m:r>
              <m:ctrlPr>
                <w:rPr>
                  <w:rFonts w:hint="default" w:ascii="Cambria Math" w:hAnsi="Cambria Math" w:cs="Times New Roman"/>
                  <w:color w:val="FF0000"/>
                  <w:sz w:val="21"/>
                  <w:szCs w:val="21"/>
                  <w:lang w:val="en-US" w:eastAsia="zh-CN" w:bidi="ar"/>
                </w:rPr>
              </m:ctrlPr>
            </m:sup>
          </m:sSubSup>
          <m:r>
            <m:rPr>
              <m:sty m:val="p"/>
            </m:rPr>
            <w:rPr>
              <w:rFonts w:hint="default" w:ascii="Cambria Math" w:hAnsi="Cambria Math" w:cs="Times New Roman"/>
              <w:color w:val="FF0000"/>
              <w:sz w:val="21"/>
              <w:szCs w:val="21"/>
              <w:lang w:val="en-US" w:eastAsia="zh-CN" w:bidi="ar"/>
            </w:rPr>
            <m:t>=</m:t>
          </m:r>
          <m:f>
            <m:fPr>
              <m:ctrlPr>
                <w:rPr>
                  <w:rFonts w:hint="default" w:ascii="Cambria Math" w:hAnsi="Cambria Math" w:cs="Times New Roman"/>
                  <w:color w:val="FF0000"/>
                  <w:sz w:val="21"/>
                  <w:szCs w:val="21"/>
                  <w:lang w:val="en-US" w:eastAsia="zh-CN" w:bidi="ar"/>
                </w:rPr>
              </m:ctrlPr>
            </m:fPr>
            <m:num>
              <m:sSubSup>
                <m:sSubSupPr>
                  <m:ctrlPr>
                    <w:rPr>
                      <w:rFonts w:hint="default" w:ascii="Cambria Math" w:hAnsi="Cambria Math" w:cs="Times New Roman"/>
                      <w:color w:val="FF0000"/>
                      <w:sz w:val="21"/>
                      <w:szCs w:val="21"/>
                      <w:lang w:val="en-US" w:eastAsia="zh-CN" w:bidi="ar"/>
                    </w:rPr>
                  </m:ctrlPr>
                </m:sSubSupPr>
                <m:e>
                  <m:r>
                    <m:rPr>
                      <m:sty m:val="p"/>
                    </m:rPr>
                    <w:rPr>
                      <w:rFonts w:hint="default" w:ascii="Cambria Math" w:hAnsi="Cambria Math" w:cs="Times New Roman"/>
                      <w:color w:val="FF0000"/>
                      <w:sz w:val="21"/>
                      <w:szCs w:val="21"/>
                      <w:lang w:val="en-US" w:eastAsia="zh-CN" w:bidi="ar"/>
                    </w:rPr>
                    <m:t>x</m:t>
                  </m:r>
                  <m:ctrlPr>
                    <w:rPr>
                      <w:rFonts w:hint="default" w:ascii="Cambria Math" w:hAnsi="Cambria Math" w:cs="Times New Roman"/>
                      <w:color w:val="FF0000"/>
                      <w:sz w:val="21"/>
                      <w:szCs w:val="21"/>
                      <w:lang w:val="en-US" w:eastAsia="zh-CN" w:bidi="ar"/>
                    </w:rPr>
                  </m:ctrlPr>
                </m:e>
                <m:sub>
                  <m:r>
                    <m:rPr>
                      <m:sty m:val="p"/>
                    </m:rPr>
                    <w:rPr>
                      <w:rFonts w:hint="default" w:ascii="Cambria Math" w:hAnsi="Cambria Math" w:cs="Times New Roman"/>
                      <w:color w:val="FF0000"/>
                      <w:sz w:val="21"/>
                      <w:szCs w:val="21"/>
                      <w:lang w:val="en-US" w:eastAsia="zh-CN" w:bidi="ar"/>
                    </w:rPr>
                    <m:t>jk</m:t>
                  </m:r>
                  <m:ctrlPr>
                    <w:rPr>
                      <w:rFonts w:hint="default" w:ascii="Cambria Math" w:hAnsi="Cambria Math" w:cs="Times New Roman"/>
                      <w:color w:val="FF0000"/>
                      <w:sz w:val="21"/>
                      <w:szCs w:val="21"/>
                      <w:lang w:val="en-US" w:eastAsia="zh-CN" w:bidi="ar"/>
                    </w:rPr>
                  </m:ctrlPr>
                </m:sub>
                <m:sup>
                  <m:r>
                    <m:rPr>
                      <m:sty m:val="p"/>
                    </m:rPr>
                    <w:rPr>
                      <w:rFonts w:hint="default" w:ascii="Cambria Math" w:hAnsi="Cambria Math" w:cs="Times New Roman"/>
                      <w:color w:val="FF0000"/>
                      <w:sz w:val="21"/>
                      <w:szCs w:val="21"/>
                      <w:lang w:val="en-US" w:eastAsia="zh-CN" w:bidi="ar"/>
                    </w:rPr>
                    <m:t>t</m:t>
                  </m:r>
                  <m:ctrlPr>
                    <w:rPr>
                      <w:rFonts w:hint="default" w:ascii="Cambria Math" w:hAnsi="Cambria Math" w:cs="Times New Roman"/>
                      <w:color w:val="FF0000"/>
                      <w:sz w:val="21"/>
                      <w:szCs w:val="21"/>
                      <w:lang w:val="en-US" w:eastAsia="zh-CN" w:bidi="ar"/>
                    </w:rPr>
                  </m:ctrlPr>
                </m:sup>
              </m:sSubSup>
              <m:r>
                <m:rPr>
                  <m:sty m:val="p"/>
                </m:rPr>
                <w:rPr>
                  <w:rFonts w:hint="default" w:ascii="Cambria Math" w:hAnsi="Cambria Math" w:cs="Times New Roman"/>
                  <w:color w:val="FF0000"/>
                  <w:sz w:val="21"/>
                  <w:szCs w:val="21"/>
                  <w:lang w:val="en-US" w:eastAsia="zh-CN" w:bidi="ar"/>
                </w:rPr>
                <m:t>−mi</m:t>
              </m:r>
              <m:sSub>
                <m:sSubPr>
                  <m:ctrlPr>
                    <w:rPr>
                      <w:rFonts w:hint="default" w:ascii="Cambria Math" w:hAnsi="Cambria Math" w:cs="Times New Roman"/>
                      <w:color w:val="FF0000"/>
                      <w:sz w:val="21"/>
                      <w:szCs w:val="21"/>
                      <w:lang w:val="en-US" w:eastAsia="zh-CN" w:bidi="ar"/>
                    </w:rPr>
                  </m:ctrlPr>
                </m:sSubPr>
                <m:e>
                  <m:r>
                    <m:rPr>
                      <m:sty m:val="p"/>
                    </m:rPr>
                    <w:rPr>
                      <w:rFonts w:hint="default" w:ascii="Cambria Math" w:hAnsi="Cambria Math" w:cs="Times New Roman"/>
                      <w:color w:val="FF0000"/>
                      <w:sz w:val="21"/>
                      <w:szCs w:val="21"/>
                      <w:lang w:val="en-US" w:eastAsia="zh-CN" w:bidi="ar"/>
                    </w:rPr>
                    <m:t>n</m:t>
                  </m:r>
                  <m:ctrlPr>
                    <w:rPr>
                      <w:rFonts w:hint="default" w:ascii="Cambria Math" w:hAnsi="Cambria Math" w:cs="Times New Roman"/>
                      <w:color w:val="FF0000"/>
                      <w:sz w:val="21"/>
                      <w:szCs w:val="21"/>
                      <w:lang w:val="en-US" w:eastAsia="zh-CN" w:bidi="ar"/>
                    </w:rPr>
                  </m:ctrlPr>
                </m:e>
                <m:sub>
                  <m:r>
                    <m:rPr>
                      <m:sty m:val="p"/>
                    </m:rPr>
                    <w:rPr>
                      <w:rFonts w:hint="default" w:ascii="Cambria Math" w:hAnsi="Cambria Math" w:cs="Times New Roman"/>
                      <w:color w:val="FF0000"/>
                      <w:sz w:val="21"/>
                      <w:szCs w:val="21"/>
                      <w:lang w:val="en-US" w:eastAsia="zh-CN" w:bidi="ar"/>
                    </w:rPr>
                    <m:t>k,t</m:t>
                  </m:r>
                  <m:ctrlPr>
                    <w:rPr>
                      <w:rFonts w:hint="default" w:ascii="Cambria Math" w:hAnsi="Cambria Math" w:cs="Times New Roman"/>
                      <w:color w:val="FF0000"/>
                      <w:sz w:val="21"/>
                      <w:szCs w:val="21"/>
                      <w:lang w:val="en-US" w:eastAsia="zh-CN" w:bidi="ar"/>
                    </w:rPr>
                  </m:ctrlPr>
                </m:sub>
              </m:sSub>
              <m:sSubSup>
                <m:sSubSupPr>
                  <m:ctrlPr>
                    <w:rPr>
                      <w:rFonts w:hint="default" w:ascii="Cambria Math" w:hAnsi="Cambria Math" w:cs="Times New Roman"/>
                      <w:color w:val="FF0000"/>
                      <w:sz w:val="21"/>
                      <w:szCs w:val="21"/>
                      <w:lang w:val="en-US" w:eastAsia="zh-CN" w:bidi="ar"/>
                    </w:rPr>
                  </m:ctrlPr>
                </m:sSubSupPr>
                <m:e>
                  <m:r>
                    <m:rPr>
                      <m:sty m:val="p"/>
                    </m:rPr>
                    <w:rPr>
                      <w:rFonts w:hint="default" w:ascii="Cambria Math" w:hAnsi="Cambria Math" w:cs="Times New Roman"/>
                      <w:color w:val="FF0000"/>
                      <w:sz w:val="21"/>
                      <w:szCs w:val="21"/>
                      <w:lang w:val="en-US" w:eastAsia="zh-CN" w:bidi="ar"/>
                    </w:rPr>
                    <m:t>x</m:t>
                  </m:r>
                  <m:ctrlPr>
                    <w:rPr>
                      <w:rFonts w:hint="default" w:ascii="Cambria Math" w:hAnsi="Cambria Math" w:cs="Times New Roman"/>
                      <w:color w:val="FF0000"/>
                      <w:sz w:val="21"/>
                      <w:szCs w:val="21"/>
                      <w:lang w:val="en-US" w:eastAsia="zh-CN" w:bidi="ar"/>
                    </w:rPr>
                  </m:ctrlPr>
                </m:e>
                <m:sub>
                  <m:r>
                    <m:rPr>
                      <m:sty m:val="p"/>
                    </m:rPr>
                    <w:rPr>
                      <w:rFonts w:hint="default" w:ascii="Cambria Math" w:hAnsi="Cambria Math" w:cs="Times New Roman"/>
                      <w:color w:val="FF0000"/>
                      <w:sz w:val="21"/>
                      <w:szCs w:val="21"/>
                      <w:lang w:val="en-US" w:eastAsia="zh-CN" w:bidi="ar"/>
                    </w:rPr>
                    <m:t>jk</m:t>
                  </m:r>
                  <m:ctrlPr>
                    <w:rPr>
                      <w:rFonts w:hint="default" w:ascii="Cambria Math" w:hAnsi="Cambria Math" w:cs="Times New Roman"/>
                      <w:color w:val="FF0000"/>
                      <w:sz w:val="21"/>
                      <w:szCs w:val="21"/>
                      <w:lang w:val="en-US" w:eastAsia="zh-CN" w:bidi="ar"/>
                    </w:rPr>
                  </m:ctrlPr>
                </m:sub>
                <m:sup>
                  <m:r>
                    <m:rPr>
                      <m:sty m:val="p"/>
                    </m:rPr>
                    <w:rPr>
                      <w:rFonts w:hint="default" w:ascii="Cambria Math" w:hAnsi="Cambria Math" w:cs="Times New Roman"/>
                      <w:color w:val="FF0000"/>
                      <w:sz w:val="21"/>
                      <w:szCs w:val="21"/>
                      <w:lang w:val="en-US" w:eastAsia="zh-CN" w:bidi="ar"/>
                    </w:rPr>
                    <m:t>t</m:t>
                  </m:r>
                  <m:ctrlPr>
                    <w:rPr>
                      <w:rFonts w:hint="default" w:ascii="Cambria Math" w:hAnsi="Cambria Math" w:cs="Times New Roman"/>
                      <w:color w:val="FF0000"/>
                      <w:sz w:val="21"/>
                      <w:szCs w:val="21"/>
                      <w:lang w:val="en-US" w:eastAsia="zh-CN" w:bidi="ar"/>
                    </w:rPr>
                  </m:ctrlPr>
                </m:sup>
              </m:sSubSup>
              <m:ctrlPr>
                <w:rPr>
                  <w:rFonts w:hint="default" w:ascii="Cambria Math" w:hAnsi="Cambria Math" w:cs="Times New Roman"/>
                  <w:color w:val="FF0000"/>
                  <w:sz w:val="21"/>
                  <w:szCs w:val="21"/>
                  <w:lang w:val="en-US" w:eastAsia="zh-CN" w:bidi="ar"/>
                </w:rPr>
              </m:ctrlPr>
            </m:num>
            <m:den>
              <m:r>
                <m:rPr>
                  <m:sty m:val="p"/>
                </m:rPr>
                <w:rPr>
                  <w:rFonts w:hint="default" w:ascii="Cambria Math" w:hAnsi="Cambria Math" w:cs="Times New Roman"/>
                  <w:color w:val="FF0000"/>
                  <w:sz w:val="21"/>
                  <w:szCs w:val="21"/>
                  <w:lang w:val="en-US" w:eastAsia="zh-CN" w:bidi="ar"/>
                </w:rPr>
                <m:t>ma</m:t>
              </m:r>
              <m:sSub>
                <m:sSubPr>
                  <m:ctrlPr>
                    <w:rPr>
                      <w:rFonts w:hint="default" w:ascii="Cambria Math" w:hAnsi="Cambria Math" w:cs="Times New Roman"/>
                      <w:color w:val="FF0000"/>
                      <w:sz w:val="21"/>
                      <w:szCs w:val="21"/>
                      <w:lang w:val="en-US" w:eastAsia="zh-CN" w:bidi="ar"/>
                    </w:rPr>
                  </m:ctrlPr>
                </m:sSubPr>
                <m:e>
                  <m:r>
                    <m:rPr>
                      <m:sty m:val="p"/>
                    </m:rPr>
                    <w:rPr>
                      <w:rFonts w:hint="default" w:ascii="Cambria Math" w:hAnsi="Cambria Math" w:cs="Times New Roman"/>
                      <w:color w:val="FF0000"/>
                      <w:sz w:val="21"/>
                      <w:szCs w:val="21"/>
                      <w:lang w:val="en-US" w:eastAsia="zh-CN" w:bidi="ar"/>
                    </w:rPr>
                    <m:t>x</m:t>
                  </m:r>
                  <m:ctrlPr>
                    <w:rPr>
                      <w:rFonts w:hint="default" w:ascii="Cambria Math" w:hAnsi="Cambria Math" w:cs="Times New Roman"/>
                      <w:color w:val="FF0000"/>
                      <w:sz w:val="21"/>
                      <w:szCs w:val="21"/>
                      <w:lang w:val="en-US" w:eastAsia="zh-CN" w:bidi="ar"/>
                    </w:rPr>
                  </m:ctrlPr>
                </m:e>
                <m:sub>
                  <m:r>
                    <m:rPr>
                      <m:sty m:val="p"/>
                    </m:rPr>
                    <w:rPr>
                      <w:rFonts w:hint="default" w:ascii="Cambria Math" w:hAnsi="Cambria Math" w:cs="Times New Roman"/>
                      <w:color w:val="FF0000"/>
                      <w:sz w:val="21"/>
                      <w:szCs w:val="21"/>
                      <w:lang w:val="en-US" w:eastAsia="zh-CN" w:bidi="ar"/>
                    </w:rPr>
                    <m:t>k,t</m:t>
                  </m:r>
                  <m:ctrlPr>
                    <w:rPr>
                      <w:rFonts w:hint="default" w:ascii="Cambria Math" w:hAnsi="Cambria Math" w:cs="Times New Roman"/>
                      <w:color w:val="FF0000"/>
                      <w:sz w:val="21"/>
                      <w:szCs w:val="21"/>
                      <w:lang w:val="en-US" w:eastAsia="zh-CN" w:bidi="ar"/>
                    </w:rPr>
                  </m:ctrlPr>
                </m:sub>
              </m:sSub>
              <m:sSubSup>
                <m:sSubSupPr>
                  <m:ctrlPr>
                    <w:rPr>
                      <w:rFonts w:hint="default" w:ascii="Cambria Math" w:hAnsi="Cambria Math" w:cs="Times New Roman"/>
                      <w:color w:val="FF0000"/>
                      <w:sz w:val="21"/>
                      <w:szCs w:val="21"/>
                      <w:lang w:val="en-US" w:eastAsia="zh-CN" w:bidi="ar"/>
                    </w:rPr>
                  </m:ctrlPr>
                </m:sSubSupPr>
                <m:e>
                  <m:r>
                    <m:rPr>
                      <m:sty m:val="p"/>
                    </m:rPr>
                    <w:rPr>
                      <w:rFonts w:hint="default" w:ascii="Cambria Math" w:hAnsi="Cambria Math" w:cs="Times New Roman"/>
                      <w:color w:val="FF0000"/>
                      <w:sz w:val="21"/>
                      <w:szCs w:val="21"/>
                      <w:lang w:val="en-US" w:eastAsia="zh-CN" w:bidi="ar"/>
                    </w:rPr>
                    <m:t>x</m:t>
                  </m:r>
                  <m:ctrlPr>
                    <w:rPr>
                      <w:rFonts w:hint="default" w:ascii="Cambria Math" w:hAnsi="Cambria Math" w:cs="Times New Roman"/>
                      <w:color w:val="FF0000"/>
                      <w:sz w:val="21"/>
                      <w:szCs w:val="21"/>
                      <w:lang w:val="en-US" w:eastAsia="zh-CN" w:bidi="ar"/>
                    </w:rPr>
                  </m:ctrlPr>
                </m:e>
                <m:sub>
                  <m:r>
                    <m:rPr>
                      <m:sty m:val="p"/>
                    </m:rPr>
                    <w:rPr>
                      <w:rFonts w:hint="default" w:ascii="Cambria Math" w:hAnsi="Cambria Math" w:cs="Times New Roman"/>
                      <w:color w:val="FF0000"/>
                      <w:sz w:val="21"/>
                      <w:szCs w:val="21"/>
                      <w:lang w:val="en-US" w:eastAsia="zh-CN" w:bidi="ar"/>
                    </w:rPr>
                    <m:t>jk</m:t>
                  </m:r>
                  <m:ctrlPr>
                    <w:rPr>
                      <w:rFonts w:hint="default" w:ascii="Cambria Math" w:hAnsi="Cambria Math" w:cs="Times New Roman"/>
                      <w:color w:val="FF0000"/>
                      <w:sz w:val="21"/>
                      <w:szCs w:val="21"/>
                      <w:lang w:val="en-US" w:eastAsia="zh-CN" w:bidi="ar"/>
                    </w:rPr>
                  </m:ctrlPr>
                </m:sub>
                <m:sup>
                  <m:r>
                    <m:rPr>
                      <m:sty m:val="p"/>
                    </m:rPr>
                    <w:rPr>
                      <w:rFonts w:hint="default" w:ascii="Cambria Math" w:hAnsi="Cambria Math" w:cs="Times New Roman"/>
                      <w:color w:val="FF0000"/>
                      <w:sz w:val="21"/>
                      <w:szCs w:val="21"/>
                      <w:lang w:val="en-US" w:eastAsia="zh-CN" w:bidi="ar"/>
                    </w:rPr>
                    <m:t>t</m:t>
                  </m:r>
                  <m:ctrlPr>
                    <w:rPr>
                      <w:rFonts w:hint="default" w:ascii="Cambria Math" w:hAnsi="Cambria Math" w:cs="Times New Roman"/>
                      <w:color w:val="FF0000"/>
                      <w:sz w:val="21"/>
                      <w:szCs w:val="21"/>
                      <w:lang w:val="en-US" w:eastAsia="zh-CN" w:bidi="ar"/>
                    </w:rPr>
                  </m:ctrlPr>
                </m:sup>
              </m:sSubSup>
              <m:r>
                <m:rPr>
                  <m:sty m:val="p"/>
                </m:rPr>
                <w:rPr>
                  <w:rFonts w:hint="default" w:ascii="Cambria Math" w:hAnsi="Cambria Math" w:cs="Times New Roman"/>
                  <w:color w:val="FF0000"/>
                  <w:sz w:val="21"/>
                  <w:szCs w:val="21"/>
                  <w:lang w:val="en-US" w:eastAsia="zh-CN" w:bidi="ar"/>
                </w:rPr>
                <m:t>−mi</m:t>
              </m:r>
              <m:sSub>
                <m:sSubPr>
                  <m:ctrlPr>
                    <w:rPr>
                      <w:rFonts w:hint="default" w:ascii="Cambria Math" w:hAnsi="Cambria Math" w:cs="Times New Roman"/>
                      <w:color w:val="FF0000"/>
                      <w:sz w:val="21"/>
                      <w:szCs w:val="21"/>
                      <w:lang w:val="en-US" w:eastAsia="zh-CN" w:bidi="ar"/>
                    </w:rPr>
                  </m:ctrlPr>
                </m:sSubPr>
                <m:e>
                  <m:r>
                    <m:rPr>
                      <m:sty m:val="p"/>
                    </m:rPr>
                    <w:rPr>
                      <w:rFonts w:hint="default" w:ascii="Cambria Math" w:hAnsi="Cambria Math" w:cs="Times New Roman"/>
                      <w:color w:val="FF0000"/>
                      <w:sz w:val="21"/>
                      <w:szCs w:val="21"/>
                      <w:lang w:val="en-US" w:eastAsia="zh-CN" w:bidi="ar"/>
                    </w:rPr>
                    <m:t>n</m:t>
                  </m:r>
                  <m:ctrlPr>
                    <w:rPr>
                      <w:rFonts w:hint="default" w:ascii="Cambria Math" w:hAnsi="Cambria Math" w:cs="Times New Roman"/>
                      <w:color w:val="FF0000"/>
                      <w:sz w:val="21"/>
                      <w:szCs w:val="21"/>
                      <w:lang w:val="en-US" w:eastAsia="zh-CN" w:bidi="ar"/>
                    </w:rPr>
                  </m:ctrlPr>
                </m:e>
                <m:sub>
                  <m:r>
                    <m:rPr>
                      <m:sty m:val="p"/>
                    </m:rPr>
                    <w:rPr>
                      <w:rFonts w:hint="default" w:ascii="Cambria Math" w:hAnsi="Cambria Math" w:cs="Times New Roman"/>
                      <w:color w:val="FF0000"/>
                      <w:sz w:val="21"/>
                      <w:szCs w:val="21"/>
                      <w:lang w:val="en-US" w:eastAsia="zh-CN" w:bidi="ar"/>
                    </w:rPr>
                    <m:t>k,t</m:t>
                  </m:r>
                  <m:ctrlPr>
                    <w:rPr>
                      <w:rFonts w:hint="default" w:ascii="Cambria Math" w:hAnsi="Cambria Math" w:cs="Times New Roman"/>
                      <w:color w:val="FF0000"/>
                      <w:sz w:val="21"/>
                      <w:szCs w:val="21"/>
                      <w:lang w:val="en-US" w:eastAsia="zh-CN" w:bidi="ar"/>
                    </w:rPr>
                  </m:ctrlPr>
                </m:sub>
              </m:sSub>
              <m:sSubSup>
                <m:sSubSupPr>
                  <m:ctrlPr>
                    <w:rPr>
                      <w:rFonts w:hint="default" w:ascii="Cambria Math" w:hAnsi="Cambria Math" w:cs="Times New Roman"/>
                      <w:color w:val="FF0000"/>
                      <w:sz w:val="21"/>
                      <w:szCs w:val="21"/>
                      <w:lang w:val="en-US" w:eastAsia="zh-CN" w:bidi="ar"/>
                    </w:rPr>
                  </m:ctrlPr>
                </m:sSubSupPr>
                <m:e>
                  <m:r>
                    <m:rPr>
                      <m:sty m:val="p"/>
                    </m:rPr>
                    <w:rPr>
                      <w:rFonts w:hint="default" w:ascii="Cambria Math" w:hAnsi="Cambria Math" w:cs="Times New Roman"/>
                      <w:color w:val="FF0000"/>
                      <w:sz w:val="21"/>
                      <w:szCs w:val="21"/>
                      <w:lang w:val="en-US" w:eastAsia="zh-CN" w:bidi="ar"/>
                    </w:rPr>
                    <m:t>x</m:t>
                  </m:r>
                  <m:ctrlPr>
                    <w:rPr>
                      <w:rFonts w:hint="default" w:ascii="Cambria Math" w:hAnsi="Cambria Math" w:cs="Times New Roman"/>
                      <w:color w:val="FF0000"/>
                      <w:sz w:val="21"/>
                      <w:szCs w:val="21"/>
                      <w:lang w:val="en-US" w:eastAsia="zh-CN" w:bidi="ar"/>
                    </w:rPr>
                  </m:ctrlPr>
                </m:e>
                <m:sub>
                  <m:r>
                    <m:rPr>
                      <m:sty m:val="p"/>
                    </m:rPr>
                    <w:rPr>
                      <w:rFonts w:hint="default" w:ascii="Cambria Math" w:hAnsi="Cambria Math" w:cs="Times New Roman"/>
                      <w:color w:val="FF0000"/>
                      <w:sz w:val="21"/>
                      <w:szCs w:val="21"/>
                      <w:lang w:val="en-US" w:eastAsia="zh-CN" w:bidi="ar"/>
                    </w:rPr>
                    <m:t>jk</m:t>
                  </m:r>
                  <m:ctrlPr>
                    <w:rPr>
                      <w:rFonts w:hint="default" w:ascii="Cambria Math" w:hAnsi="Cambria Math" w:cs="Times New Roman"/>
                      <w:color w:val="FF0000"/>
                      <w:sz w:val="21"/>
                      <w:szCs w:val="21"/>
                      <w:lang w:val="en-US" w:eastAsia="zh-CN" w:bidi="ar"/>
                    </w:rPr>
                  </m:ctrlPr>
                </m:sub>
                <m:sup>
                  <m:r>
                    <m:rPr>
                      <m:sty m:val="p"/>
                    </m:rPr>
                    <w:rPr>
                      <w:rFonts w:hint="default" w:ascii="Cambria Math" w:hAnsi="Cambria Math" w:cs="Times New Roman"/>
                      <w:color w:val="FF0000"/>
                      <w:sz w:val="21"/>
                      <w:szCs w:val="21"/>
                      <w:lang w:val="en-US" w:eastAsia="zh-CN" w:bidi="ar"/>
                    </w:rPr>
                    <m:t>t</m:t>
                  </m:r>
                  <m:ctrlPr>
                    <w:rPr>
                      <w:rFonts w:hint="default" w:ascii="Cambria Math" w:hAnsi="Cambria Math" w:cs="Times New Roman"/>
                      <w:color w:val="FF0000"/>
                      <w:sz w:val="21"/>
                      <w:szCs w:val="21"/>
                      <w:lang w:val="en-US" w:eastAsia="zh-CN" w:bidi="ar"/>
                    </w:rPr>
                  </m:ctrlPr>
                </m:sup>
              </m:sSubSup>
              <m:ctrlPr>
                <w:rPr>
                  <w:rFonts w:hint="default" w:ascii="Cambria Math" w:hAnsi="Cambria Math" w:cs="Times New Roman"/>
                  <w:color w:val="FF0000"/>
                  <w:sz w:val="21"/>
                  <w:szCs w:val="21"/>
                  <w:lang w:val="en-US" w:eastAsia="zh-CN" w:bidi="ar"/>
                </w:rPr>
              </m:ctrlPr>
            </m:den>
          </m:f>
        </m:oMath>
      </m:oMathPara>
      <w:r>
        <w:rPr>
          <w:rFonts w:hint="default" w:ascii="Times New Roman" w:hAnsi="Times New Roman" w:cs="Times New Roman"/>
          <w:color w:val="FF0000"/>
          <w:sz w:val="21"/>
          <w:szCs w:val="21"/>
          <w:lang w:val="en-US" w:eastAsia="zh-CN" w:bidi="ar"/>
        </w:rPr>
        <w:br w:type="textWrapping"/>
      </w:r>
      <w:r>
        <w:rPr>
          <w:rFonts w:hint="default" w:ascii="Times New Roman" w:hAnsi="Times New Roman" w:cs="Times New Roman"/>
          <w:color w:val="FF0000"/>
          <w:sz w:val="21"/>
          <w:szCs w:val="21"/>
          <w:lang w:val="en-US" w:eastAsia="zh-CN" w:bidi="ar"/>
        </w:rPr>
        <w:t>其</w:t>
      </w:r>
      <w:r>
        <w:rPr>
          <w:rFonts w:hint="eastAsia" w:ascii="Times New Roman" w:hAnsi="Times New Roman" w:cs="Times New Roman"/>
          <w:color w:val="FF0000"/>
          <w:sz w:val="21"/>
          <w:szCs w:val="21"/>
          <w:lang w:val="en-US" w:eastAsia="zh-CN" w:bidi="ar"/>
        </w:rPr>
        <w:t>中</w:t>
      </w:r>
      <m:oMath>
        <m:sSubSup>
          <m:sSubSupPr>
            <m:ctrlPr>
              <w:rPr>
                <w:rFonts w:hint="default" w:ascii="Cambria Math" w:hAnsi="Cambria Math" w:cs="Times New Roman"/>
                <w:color w:val="FF0000"/>
                <w:sz w:val="21"/>
                <w:szCs w:val="21"/>
                <w:lang w:val="en-US" w:eastAsia="zh-CN" w:bidi="ar"/>
              </w:rPr>
            </m:ctrlPr>
          </m:sSubSupPr>
          <m:e>
            <m:r>
              <m:rPr>
                <m:sty m:val="p"/>
              </m:rPr>
              <w:rPr>
                <w:rFonts w:hint="default" w:ascii="Cambria Math" w:hAnsi="Cambria Math" w:cs="Times New Roman"/>
                <w:color w:val="FF0000"/>
                <w:sz w:val="21"/>
                <w:szCs w:val="21"/>
                <w:lang w:val="en-US" w:eastAsia="zh-CN" w:bidi="ar"/>
              </w:rPr>
              <m:t>x</m:t>
            </m:r>
            <m:ctrlPr>
              <w:rPr>
                <w:rFonts w:hint="eastAsia" w:ascii="Cambria Math" w:hAnsi="Cambria Math" w:cs="Times New Roman"/>
                <w:color w:val="FF0000"/>
                <w:sz w:val="21"/>
                <w:szCs w:val="21"/>
                <w:lang w:val="en-US" w:eastAsia="zh-CN" w:bidi="ar"/>
              </w:rPr>
            </m:ctrlPr>
          </m:e>
          <m:sub>
            <m:r>
              <m:rPr>
                <m:sty m:val="p"/>
              </m:rPr>
              <w:rPr>
                <w:rFonts w:hint="default" w:ascii="Cambria Math" w:hAnsi="Cambria Math" w:cs="Times New Roman"/>
                <w:color w:val="FF0000"/>
                <w:sz w:val="21"/>
                <w:szCs w:val="21"/>
                <w:lang w:val="en-US" w:eastAsia="zh-CN" w:bidi="ar"/>
              </w:rPr>
              <m:t>jk</m:t>
            </m:r>
            <m:ctrlPr>
              <w:rPr>
                <w:rFonts w:hint="eastAsia" w:ascii="Cambria Math" w:hAnsi="Cambria Math" w:cs="Times New Roman"/>
                <w:color w:val="FF0000"/>
                <w:sz w:val="21"/>
                <w:szCs w:val="21"/>
                <w:lang w:val="en-US" w:eastAsia="zh-CN" w:bidi="ar"/>
              </w:rPr>
            </m:ctrlPr>
          </m:sub>
          <m:sup>
            <m:r>
              <m:rPr>
                <m:sty m:val="p"/>
              </m:rPr>
              <w:rPr>
                <w:rFonts w:hint="default" w:ascii="Cambria Math" w:hAnsi="Cambria Math" w:cs="Times New Roman"/>
                <w:color w:val="FF0000"/>
                <w:sz w:val="21"/>
                <w:szCs w:val="21"/>
                <w:lang w:val="en-US" w:eastAsia="zh-CN" w:bidi="ar"/>
              </w:rPr>
              <m:t>t</m:t>
            </m:r>
            <m:ctrlPr>
              <w:rPr>
                <w:rFonts w:hint="eastAsia" w:ascii="Cambria Math" w:hAnsi="Cambria Math" w:cs="Times New Roman"/>
                <w:color w:val="FF0000"/>
                <w:sz w:val="21"/>
                <w:szCs w:val="21"/>
                <w:lang w:val="en-US" w:eastAsia="zh-CN" w:bidi="ar"/>
              </w:rPr>
            </m:ctrlPr>
          </m:sup>
        </m:sSubSup>
      </m:oMath>
      <w:r>
        <w:rPr>
          <w:rFonts w:hint="eastAsia" w:ascii="Times New Roman" w:hAnsi="Times New Roman" w:cs="Times New Roman"/>
          <w:color w:val="FF0000"/>
          <w:sz w:val="21"/>
          <w:szCs w:val="21"/>
          <w:lang w:val="en-US" w:eastAsia="zh-CN" w:bidi="ar"/>
        </w:rPr>
        <w:t>表示第</w:t>
      </w:r>
      <m:oMath>
        <m:r>
          <m:rPr>
            <m:sty m:val="p"/>
          </m:rPr>
          <w:rPr>
            <w:rFonts w:hint="eastAsia" w:ascii="Cambria Math" w:hAnsi="Cambria Math" w:cs="Times New Roman"/>
            <w:color w:val="FF0000"/>
            <w:sz w:val="21"/>
            <w:szCs w:val="21"/>
            <w:lang w:val="en-US" w:eastAsia="zh-CN" w:bidi="ar"/>
          </w:rPr>
          <m:t xml:space="preserve"> t </m:t>
        </m:r>
      </m:oMath>
      <w:r>
        <w:rPr>
          <w:rFonts w:hint="eastAsia" w:ascii="Times New Roman" w:hAnsi="Times New Roman" w:cs="Times New Roman"/>
          <w:color w:val="FF0000"/>
          <w:sz w:val="21"/>
          <w:szCs w:val="21"/>
          <w:lang w:val="en-US" w:eastAsia="zh-CN" w:bidi="ar"/>
        </w:rPr>
        <w:t xml:space="preserve">年第 </w:t>
      </w:r>
      <m:oMath>
        <m:r>
          <m:rPr>
            <m:sty m:val="p"/>
          </m:rPr>
          <w:rPr>
            <w:rFonts w:hint="eastAsia" w:ascii="Cambria Math" w:hAnsi="Cambria Math" w:cs="Times New Roman"/>
            <w:color w:val="FF0000"/>
            <w:sz w:val="21"/>
            <w:szCs w:val="21"/>
            <w:lang w:val="en-US" w:eastAsia="zh-CN" w:bidi="ar"/>
          </w:rPr>
          <m:t>k</m:t>
        </m:r>
      </m:oMath>
      <w:r>
        <w:rPr>
          <w:rFonts w:hint="eastAsia" w:ascii="Times New Roman" w:hAnsi="Times New Roman" w:cs="Times New Roman"/>
          <w:color w:val="FF0000"/>
          <w:sz w:val="21"/>
          <w:szCs w:val="21"/>
          <w:lang w:val="en-US" w:eastAsia="zh-CN" w:bidi="ar"/>
        </w:rPr>
        <w:t xml:space="preserve"> 个公司在第 </w:t>
      </w:r>
      <m:oMath>
        <m:r>
          <m:rPr>
            <m:sty m:val="p"/>
          </m:rPr>
          <w:rPr>
            <w:rFonts w:hint="eastAsia" w:ascii="Cambria Math" w:hAnsi="Cambria Math" w:cs="Times New Roman"/>
            <w:color w:val="FF0000"/>
            <w:sz w:val="21"/>
            <w:szCs w:val="21"/>
            <w:lang w:val="en-US" w:eastAsia="zh-CN" w:bidi="ar"/>
          </w:rPr>
          <m:t xml:space="preserve">j </m:t>
        </m:r>
      </m:oMath>
      <w:r>
        <w:rPr>
          <w:rFonts w:hint="eastAsia" w:ascii="Times New Roman" w:hAnsi="Times New Roman" w:cs="Times New Roman"/>
          <w:color w:val="FF0000"/>
          <w:sz w:val="21"/>
          <w:szCs w:val="21"/>
          <w:lang w:val="en-US" w:eastAsia="zh-CN" w:bidi="ar"/>
        </w:rPr>
        <w:t>个指标下的原始值,</w:t>
      </w:r>
      <m:oMath>
        <m:sSubSup>
          <m:sSubSupPr>
            <m:ctrlPr>
              <w:rPr>
                <w:rFonts w:hint="default" w:ascii="Cambria Math" w:hAnsi="Cambria Math" w:cs="Times New Roman"/>
                <w:color w:val="FF0000"/>
                <w:sz w:val="21"/>
                <w:szCs w:val="21"/>
                <w:lang w:val="en-US" w:eastAsia="zh-CN" w:bidi="ar"/>
              </w:rPr>
            </m:ctrlPr>
          </m:sSubSupPr>
          <m:e>
            <m:r>
              <m:rPr>
                <m:sty m:val="p"/>
              </m:rPr>
              <w:rPr>
                <w:rFonts w:hint="default" w:ascii="Cambria Math" w:hAnsi="Cambria Math" w:cs="Times New Roman"/>
                <w:color w:val="FF0000"/>
                <w:sz w:val="21"/>
                <w:szCs w:val="21"/>
                <w:lang w:val="en-US" w:eastAsia="zh-CN" w:bidi="ar"/>
              </w:rPr>
              <m:t>y</m:t>
            </m:r>
            <m:ctrlPr>
              <w:rPr>
                <w:rFonts w:hint="eastAsia" w:ascii="Cambria Math" w:hAnsi="Cambria Math" w:cs="Times New Roman"/>
                <w:color w:val="FF0000"/>
                <w:sz w:val="21"/>
                <w:szCs w:val="21"/>
                <w:lang w:val="en-US" w:eastAsia="zh-CN" w:bidi="ar"/>
              </w:rPr>
            </m:ctrlPr>
          </m:e>
          <m:sub>
            <m:r>
              <m:rPr>
                <m:sty m:val="p"/>
              </m:rPr>
              <w:rPr>
                <w:rFonts w:hint="default" w:ascii="Cambria Math" w:hAnsi="Cambria Math" w:cs="Times New Roman"/>
                <w:color w:val="FF0000"/>
                <w:sz w:val="21"/>
                <w:szCs w:val="21"/>
                <w:lang w:val="en-US" w:eastAsia="zh-CN" w:bidi="ar"/>
              </w:rPr>
              <m:t>jk</m:t>
            </m:r>
            <m:ctrlPr>
              <w:rPr>
                <w:rFonts w:hint="eastAsia" w:ascii="Cambria Math" w:hAnsi="Cambria Math" w:cs="Times New Roman"/>
                <w:color w:val="FF0000"/>
                <w:sz w:val="21"/>
                <w:szCs w:val="21"/>
                <w:lang w:val="en-US" w:eastAsia="zh-CN" w:bidi="ar"/>
              </w:rPr>
            </m:ctrlPr>
          </m:sub>
          <m:sup>
            <m:r>
              <m:rPr>
                <m:sty m:val="p"/>
              </m:rPr>
              <w:rPr>
                <w:rFonts w:hint="default" w:ascii="Cambria Math" w:hAnsi="Cambria Math" w:cs="Times New Roman"/>
                <w:color w:val="FF0000"/>
                <w:sz w:val="21"/>
                <w:szCs w:val="21"/>
                <w:lang w:val="en-US" w:eastAsia="zh-CN" w:bidi="ar"/>
              </w:rPr>
              <m:t>t</m:t>
            </m:r>
            <m:ctrlPr>
              <w:rPr>
                <w:rFonts w:hint="eastAsia" w:ascii="Cambria Math" w:hAnsi="Cambria Math" w:cs="Times New Roman"/>
                <w:color w:val="FF0000"/>
                <w:sz w:val="21"/>
                <w:szCs w:val="21"/>
                <w:lang w:val="en-US" w:eastAsia="zh-CN" w:bidi="ar"/>
              </w:rPr>
            </m:ctrlPr>
          </m:sup>
        </m:sSubSup>
      </m:oMath>
      <w:r>
        <w:rPr>
          <w:rFonts w:hint="eastAsia" w:ascii="Times New Roman" w:hAnsi="Times New Roman" w:cs="Times New Roman"/>
          <w:color w:val="FF0000"/>
          <w:sz w:val="21"/>
          <w:szCs w:val="21"/>
          <w:lang w:val="en-US" w:eastAsia="zh-CN" w:bidi="ar"/>
        </w:rPr>
        <w:t>表示归一化之后的值</w:t>
      </w:r>
      <w:r>
        <w:rPr>
          <w:rFonts w:hint="eastAsia" w:cs="Times New Roman"/>
          <w:color w:val="FF0000"/>
          <w:sz w:val="21"/>
          <w:szCs w:val="21"/>
          <w:lang w:val="en-US" w:eastAsia="zh-CN" w:bidi="ar"/>
        </w:rPr>
        <w:t>。</w:t>
      </w:r>
    </w:p>
    <w:p w14:paraId="51FBD799">
      <w:pPr>
        <w:keepNext w:val="0"/>
        <w:keepLines w:val="0"/>
        <w:widowControl/>
        <w:suppressLineNumbers w:val="0"/>
        <w:ind w:firstLine="420" w:firstLineChars="200"/>
        <w:jc w:val="left"/>
        <w:rPr>
          <w:rFonts w:hint="default" w:ascii="Times New Roman" w:hAnsi="Times New Roman" w:cs="Times New Roman"/>
          <w:color w:val="FF0000"/>
          <w:sz w:val="21"/>
          <w:szCs w:val="21"/>
          <w:lang w:bidi="ar"/>
        </w:rPr>
      </w:pPr>
      <w:r>
        <w:rPr>
          <w:rFonts w:hint="eastAsia" w:ascii="Times New Roman" w:hAnsi="Times New Roman" w:cs="Times New Roman"/>
          <w:color w:val="FF0000"/>
          <w:sz w:val="21"/>
          <w:szCs w:val="21"/>
          <w:lang w:val="en-US" w:eastAsia="zh-CN" w:bidi="ar"/>
        </w:rPr>
        <w:t>第二步：计算指标年度熵权</w:t>
      </w:r>
      <w:r>
        <w:rPr>
          <w:rFonts w:hint="eastAsia" w:cs="Times New Roman"/>
          <w:color w:val="FF0000"/>
          <w:sz w:val="21"/>
          <w:szCs w:val="21"/>
          <w:lang w:val="en-US" w:eastAsia="zh-CN" w:bidi="ar"/>
        </w:rPr>
        <w:t>[</w:t>
      </w:r>
      <m:oMath>
        <m:sSubSup>
          <m:sSubSupPr>
            <m:ctrlPr>
              <w:rPr>
                <w:rFonts w:hint="default" w:ascii="Cambria Math" w:hAnsi="Cambria Math" w:cs="Times New Roman"/>
                <w:color w:val="FF0000"/>
                <w:sz w:val="21"/>
                <w:szCs w:val="21"/>
                <w:lang w:bidi="ar"/>
              </w:rPr>
            </m:ctrlPr>
          </m:sSubSupPr>
          <m:e>
            <m:r>
              <m:rPr>
                <m:sty m:val="p"/>
              </m:rPr>
              <w:rPr>
                <w:rFonts w:hint="default" w:ascii="Cambria Math" w:hAnsi="Cambria Math" w:cs="Times New Roman"/>
                <w:color w:val="FF0000"/>
                <w:sz w:val="21"/>
                <w:szCs w:val="21"/>
                <w:lang w:bidi="ar"/>
              </w:rPr>
              <m:t>w</m:t>
            </m:r>
            <m:ctrlPr>
              <w:rPr>
                <w:rFonts w:hint="default" w:ascii="Cambria Math" w:hAnsi="Cambria Math" w:cs="Times New Roman"/>
                <w:color w:val="FF0000"/>
                <w:sz w:val="21"/>
                <w:szCs w:val="21"/>
                <w:lang w:bidi="ar"/>
              </w:rPr>
            </m:ctrlPr>
          </m:e>
          <m:sub>
            <m:r>
              <m:rPr>
                <m:sty m:val="p"/>
              </m:rPr>
              <w:rPr>
                <w:rFonts w:hint="default" w:ascii="Cambria Math" w:hAnsi="Cambria Math" w:cs="Times New Roman"/>
                <w:color w:val="FF0000"/>
                <w:sz w:val="21"/>
                <w:szCs w:val="21"/>
                <w:lang w:bidi="ar"/>
              </w:rPr>
              <m:t>j</m:t>
            </m:r>
            <m:ctrlPr>
              <w:rPr>
                <w:rFonts w:hint="default" w:ascii="Cambria Math" w:hAnsi="Cambria Math" w:cs="Times New Roman"/>
                <w:color w:val="FF0000"/>
                <w:sz w:val="21"/>
                <w:szCs w:val="21"/>
                <w:lang w:bidi="ar"/>
              </w:rPr>
            </m:ctrlPr>
          </m:sub>
          <m:sup>
            <m:r>
              <m:rPr>
                <m:sty m:val="p"/>
              </m:rPr>
              <w:rPr>
                <w:rFonts w:hint="default" w:ascii="Cambria Math" w:hAnsi="Cambria Math" w:cs="Times New Roman"/>
                <w:color w:val="FF0000"/>
                <w:sz w:val="21"/>
                <w:szCs w:val="21"/>
                <w:lang w:bidi="ar"/>
              </w:rPr>
              <m:t>t</m:t>
            </m:r>
            <m:ctrlPr>
              <w:rPr>
                <w:rFonts w:hint="default" w:ascii="Cambria Math" w:hAnsi="Cambria Math" w:cs="Times New Roman"/>
                <w:color w:val="FF0000"/>
                <w:sz w:val="21"/>
                <w:szCs w:val="21"/>
                <w:lang w:bidi="ar"/>
              </w:rPr>
            </m:ctrlPr>
          </m:sup>
        </m:sSubSup>
        <m:r>
          <m:rPr>
            <m:sty m:val="p"/>
          </m:rPr>
          <w:rPr>
            <w:rFonts w:hint="default" w:ascii="Cambria Math" w:hAnsi="Cambria Math" w:cs="Times New Roman"/>
            <w:color w:val="FF0000"/>
            <w:sz w:val="21"/>
            <w:szCs w:val="21"/>
            <w:lang w:val="en-US" w:eastAsia="zh-CN" w:bidi="ar"/>
          </w:rPr>
          <m:t>]</m:t>
        </m:r>
      </m:oMath>
      <w:r>
        <w:rPr>
          <w:rFonts w:hint="eastAsia" w:ascii="Times New Roman" w:hAnsi="Times New Roman" w:cs="Times New Roman"/>
          <w:color w:val="FF0000"/>
          <w:sz w:val="21"/>
          <w:szCs w:val="21"/>
          <w:lang w:val="en-US" w:eastAsia="zh-CN" w:bidi="ar"/>
        </w:rPr>
        <w:t>。通过熵值法计算每一年度各指标的客观权重，熵权法计算流程如下：</w:t>
      </w:r>
    </w:p>
    <w:p w14:paraId="50B34E58">
      <w:pPr>
        <w:keepNext w:val="0"/>
        <w:keepLines w:val="0"/>
        <w:widowControl/>
        <w:suppressLineNumbers w:val="0"/>
        <w:jc w:val="left"/>
        <w:rPr>
          <w:rFonts w:hint="default" w:hAnsi="Cambria Math" w:cs="Times New Roman"/>
          <w:i w:val="0"/>
          <w:color w:val="FF0000"/>
          <w:sz w:val="21"/>
          <w:szCs w:val="21"/>
          <w:lang w:bidi="ar"/>
        </w:rPr>
      </w:pPr>
      <m:oMathPara>
        <m:oMath>
          <m:sSubSup>
            <m:sSubSupPr>
              <m:ctrlPr>
                <w:rPr>
                  <w:rFonts w:hint="default" w:ascii="Cambria Math" w:hAnsi="Cambria Math" w:cs="Times New Roman"/>
                  <w:color w:val="FF0000"/>
                  <w:sz w:val="21"/>
                  <w:szCs w:val="21"/>
                  <w:lang w:bidi="ar"/>
                </w:rPr>
              </m:ctrlPr>
            </m:sSubSupPr>
            <m:e>
              <m:r>
                <m:rPr>
                  <m:sty m:val="p"/>
                </m:rPr>
                <w:rPr>
                  <w:rFonts w:hint="default" w:ascii="Cambria Math" w:hAnsi="Cambria Math" w:cs="Times New Roman"/>
                  <w:color w:val="FF0000"/>
                  <w:sz w:val="21"/>
                  <w:szCs w:val="21"/>
                  <w:lang w:bidi="ar"/>
                </w:rPr>
                <m:t>p</m:t>
              </m:r>
              <m:ctrlPr>
                <w:rPr>
                  <w:rFonts w:hint="default" w:ascii="Cambria Math" w:hAnsi="Cambria Math" w:cs="Times New Roman"/>
                  <w:color w:val="FF0000"/>
                  <w:sz w:val="21"/>
                  <w:szCs w:val="21"/>
                  <w:lang w:bidi="ar"/>
                </w:rPr>
              </m:ctrlPr>
            </m:e>
            <m:sub>
              <m:r>
                <m:rPr>
                  <m:sty m:val="p"/>
                </m:rPr>
                <w:rPr>
                  <w:rFonts w:hint="default" w:ascii="Cambria Math" w:hAnsi="Cambria Math" w:cs="Times New Roman"/>
                  <w:color w:val="FF0000"/>
                  <w:sz w:val="21"/>
                  <w:szCs w:val="21"/>
                  <w:lang w:bidi="ar"/>
                </w:rPr>
                <m:t>jk</m:t>
              </m:r>
              <m:ctrlPr>
                <w:rPr>
                  <w:rFonts w:hint="default" w:ascii="Cambria Math" w:hAnsi="Cambria Math" w:cs="Times New Roman"/>
                  <w:color w:val="FF0000"/>
                  <w:sz w:val="21"/>
                  <w:szCs w:val="21"/>
                  <w:lang w:bidi="ar"/>
                </w:rPr>
              </m:ctrlPr>
            </m:sub>
            <m:sup>
              <m:r>
                <m:rPr>
                  <m:sty m:val="p"/>
                </m:rPr>
                <w:rPr>
                  <w:rFonts w:hint="default" w:ascii="Cambria Math" w:hAnsi="Cambria Math" w:cs="Times New Roman"/>
                  <w:color w:val="FF0000"/>
                  <w:sz w:val="21"/>
                  <w:szCs w:val="21"/>
                  <w:lang w:bidi="ar"/>
                </w:rPr>
                <m:t>t</m:t>
              </m:r>
              <m:ctrlPr>
                <w:rPr>
                  <w:rFonts w:hint="default" w:ascii="Cambria Math" w:hAnsi="Cambria Math" w:cs="Times New Roman"/>
                  <w:color w:val="FF0000"/>
                  <w:sz w:val="21"/>
                  <w:szCs w:val="21"/>
                  <w:lang w:bidi="ar"/>
                </w:rPr>
              </m:ctrlPr>
            </m:sup>
          </m:sSubSup>
          <m:r>
            <m:rPr>
              <m:sty m:val="p"/>
            </m:rPr>
            <w:rPr>
              <w:rFonts w:hint="default" w:ascii="Cambria Math" w:hAnsi="Cambria Math" w:cs="Times New Roman"/>
              <w:color w:val="FF0000"/>
              <w:sz w:val="21"/>
              <w:szCs w:val="21"/>
              <w:lang w:bidi="ar"/>
            </w:rPr>
            <m:t>=</m:t>
          </m:r>
          <m:f>
            <m:fPr>
              <m:ctrlPr>
                <w:rPr>
                  <w:rFonts w:hint="default" w:ascii="Cambria Math" w:hAnsi="Cambria Math" w:cs="Times New Roman"/>
                  <w:color w:val="FF0000"/>
                  <w:sz w:val="21"/>
                  <w:szCs w:val="21"/>
                  <w:lang w:bidi="ar"/>
                </w:rPr>
              </m:ctrlPr>
            </m:fPr>
            <m:num>
              <m:sSubSup>
                <m:sSubSupPr>
                  <m:ctrlPr>
                    <w:rPr>
                      <w:rFonts w:hint="default" w:ascii="Cambria Math" w:hAnsi="Cambria Math" w:cs="Times New Roman"/>
                      <w:color w:val="FF0000"/>
                      <w:sz w:val="21"/>
                      <w:szCs w:val="21"/>
                      <w:lang w:bidi="ar"/>
                    </w:rPr>
                  </m:ctrlPr>
                </m:sSubSupPr>
                <m:e>
                  <m:r>
                    <m:rPr>
                      <m:sty m:val="p"/>
                    </m:rPr>
                    <w:rPr>
                      <w:rFonts w:hint="default" w:ascii="Cambria Math" w:hAnsi="Cambria Math" w:cs="Times New Roman"/>
                      <w:color w:val="FF0000"/>
                      <w:sz w:val="21"/>
                      <w:szCs w:val="21"/>
                      <w:lang w:bidi="ar"/>
                    </w:rPr>
                    <m:t>y</m:t>
                  </m:r>
                  <m:ctrlPr>
                    <w:rPr>
                      <w:rFonts w:hint="default" w:ascii="Cambria Math" w:hAnsi="Cambria Math" w:cs="Times New Roman"/>
                      <w:color w:val="FF0000"/>
                      <w:sz w:val="21"/>
                      <w:szCs w:val="21"/>
                      <w:lang w:bidi="ar"/>
                    </w:rPr>
                  </m:ctrlPr>
                </m:e>
                <m:sub>
                  <m:r>
                    <m:rPr>
                      <m:sty m:val="p"/>
                    </m:rPr>
                    <w:rPr>
                      <w:rFonts w:hint="default" w:ascii="Cambria Math" w:hAnsi="Cambria Math" w:cs="Times New Roman"/>
                      <w:color w:val="FF0000"/>
                      <w:sz w:val="21"/>
                      <w:szCs w:val="21"/>
                      <w:lang w:bidi="ar"/>
                    </w:rPr>
                    <m:t>jk</m:t>
                  </m:r>
                  <m:ctrlPr>
                    <w:rPr>
                      <w:rFonts w:hint="default" w:ascii="Cambria Math" w:hAnsi="Cambria Math" w:cs="Times New Roman"/>
                      <w:color w:val="FF0000"/>
                      <w:sz w:val="21"/>
                      <w:szCs w:val="21"/>
                      <w:lang w:bidi="ar"/>
                    </w:rPr>
                  </m:ctrlPr>
                </m:sub>
                <m:sup>
                  <m:r>
                    <m:rPr>
                      <m:sty m:val="p"/>
                    </m:rPr>
                    <w:rPr>
                      <w:rFonts w:hint="default" w:ascii="Cambria Math" w:hAnsi="Cambria Math" w:cs="Times New Roman"/>
                      <w:color w:val="FF0000"/>
                      <w:sz w:val="21"/>
                      <w:szCs w:val="21"/>
                      <w:lang w:bidi="ar"/>
                    </w:rPr>
                    <m:t>t</m:t>
                  </m:r>
                  <m:ctrlPr>
                    <w:rPr>
                      <w:rFonts w:hint="default" w:ascii="Cambria Math" w:hAnsi="Cambria Math" w:cs="Times New Roman"/>
                      <w:color w:val="FF0000"/>
                      <w:sz w:val="21"/>
                      <w:szCs w:val="21"/>
                      <w:lang w:bidi="ar"/>
                    </w:rPr>
                  </m:ctrlPr>
                </m:sup>
              </m:sSubSup>
              <m:ctrlPr>
                <w:rPr>
                  <w:rFonts w:hint="default" w:ascii="Cambria Math" w:hAnsi="Cambria Math" w:cs="Times New Roman"/>
                  <w:color w:val="FF0000"/>
                  <w:sz w:val="21"/>
                  <w:szCs w:val="21"/>
                  <w:lang w:bidi="ar"/>
                </w:rPr>
              </m:ctrlPr>
            </m:num>
            <m:den>
              <m:sSubSup>
                <m:sSubSupPr>
                  <m:ctrlPr>
                    <w:rPr>
                      <w:rFonts w:hint="default" w:ascii="Cambria Math" w:hAnsi="Cambria Math" w:cs="Times New Roman"/>
                      <w:color w:val="FF0000"/>
                      <w:sz w:val="21"/>
                      <w:szCs w:val="21"/>
                      <w:lang w:bidi="ar"/>
                    </w:rPr>
                  </m:ctrlPr>
                </m:sSubSupPr>
                <m:e>
                  <m:r>
                    <m:rPr>
                      <m:sty m:val="p"/>
                    </m:rPr>
                    <w:rPr>
                      <w:rFonts w:hint="default" w:ascii="Cambria Math" w:hAnsi="Cambria Math" w:cs="Times New Roman"/>
                      <w:color w:val="FF0000"/>
                      <w:sz w:val="21"/>
                      <w:szCs w:val="21"/>
                      <w:lang w:bidi="ar"/>
                    </w:rPr>
                    <m:t>∑</m:t>
                  </m:r>
                  <m:ctrlPr>
                    <w:rPr>
                      <w:rFonts w:hint="default" w:ascii="Cambria Math" w:hAnsi="Cambria Math" w:cs="Times New Roman"/>
                      <w:color w:val="FF0000"/>
                      <w:sz w:val="21"/>
                      <w:szCs w:val="21"/>
                      <w:lang w:bidi="ar"/>
                    </w:rPr>
                  </m:ctrlPr>
                </m:e>
                <m:sub>
                  <m:r>
                    <m:rPr>
                      <m:sty m:val="p"/>
                    </m:rPr>
                    <w:rPr>
                      <w:rFonts w:hint="default" w:ascii="Cambria Math" w:hAnsi="Cambria Math" w:cs="Times New Roman"/>
                      <w:color w:val="FF0000"/>
                      <w:sz w:val="21"/>
                      <w:szCs w:val="21"/>
                      <w:lang w:bidi="ar"/>
                    </w:rPr>
                    <m:t>k=1</m:t>
                  </m:r>
                  <m:ctrlPr>
                    <w:rPr>
                      <w:rFonts w:hint="default" w:ascii="Cambria Math" w:hAnsi="Cambria Math" w:cs="Times New Roman"/>
                      <w:color w:val="FF0000"/>
                      <w:sz w:val="21"/>
                      <w:szCs w:val="21"/>
                      <w:lang w:bidi="ar"/>
                    </w:rPr>
                  </m:ctrlPr>
                </m:sub>
                <m:sup>
                  <m:r>
                    <m:rPr>
                      <m:sty m:val="p"/>
                    </m:rPr>
                    <w:rPr>
                      <w:rFonts w:hint="default" w:ascii="Cambria Math" w:hAnsi="Cambria Math" w:cs="Times New Roman"/>
                      <w:color w:val="FF0000"/>
                      <w:sz w:val="21"/>
                      <w:szCs w:val="21"/>
                      <w:lang w:bidi="ar"/>
                    </w:rPr>
                    <m:t>K</m:t>
                  </m:r>
                  <m:ctrlPr>
                    <w:rPr>
                      <w:rFonts w:hint="default" w:ascii="Cambria Math" w:hAnsi="Cambria Math" w:cs="Times New Roman"/>
                      <w:color w:val="FF0000"/>
                      <w:sz w:val="21"/>
                      <w:szCs w:val="21"/>
                      <w:lang w:bidi="ar"/>
                    </w:rPr>
                  </m:ctrlPr>
                </m:sup>
              </m:sSubSup>
              <m:sSubSup>
                <m:sSubSupPr>
                  <m:ctrlPr>
                    <w:rPr>
                      <w:rFonts w:hint="default" w:ascii="Cambria Math" w:hAnsi="Cambria Math" w:cs="Times New Roman"/>
                      <w:color w:val="FF0000"/>
                      <w:sz w:val="21"/>
                      <w:szCs w:val="21"/>
                      <w:lang w:bidi="ar"/>
                    </w:rPr>
                  </m:ctrlPr>
                </m:sSubSupPr>
                <m:e>
                  <m:r>
                    <m:rPr>
                      <m:sty m:val="p"/>
                    </m:rPr>
                    <w:rPr>
                      <w:rFonts w:hint="default" w:ascii="Cambria Math" w:hAnsi="Cambria Math" w:cs="Times New Roman"/>
                      <w:color w:val="FF0000"/>
                      <w:sz w:val="21"/>
                      <w:szCs w:val="21"/>
                      <w:lang w:bidi="ar"/>
                    </w:rPr>
                    <m:t>y</m:t>
                  </m:r>
                  <m:ctrlPr>
                    <w:rPr>
                      <w:rFonts w:hint="default" w:ascii="Cambria Math" w:hAnsi="Cambria Math" w:cs="Times New Roman"/>
                      <w:color w:val="FF0000"/>
                      <w:sz w:val="21"/>
                      <w:szCs w:val="21"/>
                      <w:lang w:bidi="ar"/>
                    </w:rPr>
                  </m:ctrlPr>
                </m:e>
                <m:sub>
                  <m:r>
                    <m:rPr>
                      <m:sty m:val="p"/>
                    </m:rPr>
                    <w:rPr>
                      <w:rFonts w:hint="default" w:ascii="Cambria Math" w:hAnsi="Cambria Math" w:cs="Times New Roman"/>
                      <w:color w:val="FF0000"/>
                      <w:sz w:val="21"/>
                      <w:szCs w:val="21"/>
                      <w:lang w:bidi="ar"/>
                    </w:rPr>
                    <m:t>jk</m:t>
                  </m:r>
                  <m:ctrlPr>
                    <w:rPr>
                      <w:rFonts w:hint="default" w:ascii="Cambria Math" w:hAnsi="Cambria Math" w:cs="Times New Roman"/>
                      <w:color w:val="FF0000"/>
                      <w:sz w:val="21"/>
                      <w:szCs w:val="21"/>
                      <w:lang w:bidi="ar"/>
                    </w:rPr>
                  </m:ctrlPr>
                </m:sub>
                <m:sup>
                  <m:r>
                    <m:rPr>
                      <m:sty m:val="p"/>
                    </m:rPr>
                    <w:rPr>
                      <w:rFonts w:hint="default" w:ascii="Cambria Math" w:hAnsi="Cambria Math" w:cs="Times New Roman"/>
                      <w:color w:val="FF0000"/>
                      <w:sz w:val="21"/>
                      <w:szCs w:val="21"/>
                      <w:lang w:bidi="ar"/>
                    </w:rPr>
                    <m:t>t</m:t>
                  </m:r>
                  <m:ctrlPr>
                    <w:rPr>
                      <w:rFonts w:hint="default" w:ascii="Cambria Math" w:hAnsi="Cambria Math" w:cs="Times New Roman"/>
                      <w:color w:val="FF0000"/>
                      <w:sz w:val="21"/>
                      <w:szCs w:val="21"/>
                      <w:lang w:bidi="ar"/>
                    </w:rPr>
                  </m:ctrlPr>
                </m:sup>
              </m:sSubSup>
              <m:ctrlPr>
                <w:rPr>
                  <w:rFonts w:hint="default" w:ascii="Cambria Math" w:hAnsi="Cambria Math" w:cs="Times New Roman"/>
                  <w:color w:val="FF0000"/>
                  <w:sz w:val="21"/>
                  <w:szCs w:val="21"/>
                  <w:lang w:bidi="ar"/>
                </w:rPr>
              </m:ctrlPr>
            </m:den>
          </m:f>
          <m:r>
            <m:rPr>
              <m:sty m:val="p"/>
            </m:rPr>
            <w:rPr>
              <w:rFonts w:hint="default" w:ascii="Cambria Math" w:hAnsi="Cambria Math" w:cs="Times New Roman"/>
              <w:color w:val="FF0000"/>
              <w:sz w:val="21"/>
              <w:szCs w:val="21"/>
              <w:lang w:val="en-US" w:eastAsia="zh-CN" w:bidi="ar"/>
            </w:rPr>
            <m:t xml:space="preserve">, </m:t>
          </m:r>
          <m:sSubSup>
            <m:sSubSupPr>
              <m:ctrlPr>
                <w:rPr>
                  <w:rFonts w:hint="default" w:ascii="Cambria Math" w:hAnsi="Cambria Math" w:cs="Times New Roman"/>
                  <w:color w:val="FF0000"/>
                  <w:sz w:val="21"/>
                  <w:szCs w:val="21"/>
                  <w:lang w:bidi="ar"/>
                </w:rPr>
              </m:ctrlPr>
            </m:sSubSupPr>
            <m:e>
              <m:r>
                <m:rPr>
                  <m:sty m:val="p"/>
                </m:rPr>
                <w:rPr>
                  <w:rFonts w:hint="default" w:ascii="Cambria Math" w:hAnsi="Cambria Math" w:cs="Times New Roman"/>
                  <w:color w:val="FF0000"/>
                  <w:sz w:val="21"/>
                  <w:szCs w:val="21"/>
                  <w:lang w:val="en-US" w:eastAsia="zh-CN" w:bidi="ar"/>
                </w:rPr>
                <m:t xml:space="preserve">     </m:t>
              </m:r>
              <m:r>
                <m:rPr>
                  <m:sty m:val="p"/>
                </m:rPr>
                <w:rPr>
                  <w:rFonts w:hint="default" w:ascii="Cambria Math" w:hAnsi="Cambria Math" w:cs="Times New Roman"/>
                  <w:color w:val="FF0000"/>
                  <w:sz w:val="21"/>
                  <w:szCs w:val="21"/>
                  <w:lang w:bidi="ar"/>
                </w:rPr>
                <m:t>e</m:t>
              </m:r>
              <m:ctrlPr>
                <w:rPr>
                  <w:rFonts w:hint="default" w:ascii="Cambria Math" w:hAnsi="Cambria Math" w:cs="Times New Roman"/>
                  <w:color w:val="FF0000"/>
                  <w:sz w:val="21"/>
                  <w:szCs w:val="21"/>
                  <w:lang w:bidi="ar"/>
                </w:rPr>
              </m:ctrlPr>
            </m:e>
            <m:sub>
              <m:r>
                <m:rPr>
                  <m:sty m:val="p"/>
                </m:rPr>
                <w:rPr>
                  <w:rFonts w:hint="default" w:ascii="Cambria Math" w:hAnsi="Cambria Math" w:cs="Times New Roman"/>
                  <w:color w:val="FF0000"/>
                  <w:sz w:val="21"/>
                  <w:szCs w:val="21"/>
                  <w:lang w:bidi="ar"/>
                </w:rPr>
                <m:t>j</m:t>
              </m:r>
              <m:ctrlPr>
                <w:rPr>
                  <w:rFonts w:hint="default" w:ascii="Cambria Math" w:hAnsi="Cambria Math" w:cs="Times New Roman"/>
                  <w:color w:val="FF0000"/>
                  <w:sz w:val="21"/>
                  <w:szCs w:val="21"/>
                  <w:lang w:bidi="ar"/>
                </w:rPr>
              </m:ctrlPr>
            </m:sub>
            <m:sup>
              <m:r>
                <m:rPr>
                  <m:sty m:val="p"/>
                </m:rPr>
                <w:rPr>
                  <w:rFonts w:hint="default" w:ascii="Cambria Math" w:hAnsi="Cambria Math" w:cs="Times New Roman"/>
                  <w:color w:val="FF0000"/>
                  <w:sz w:val="21"/>
                  <w:szCs w:val="21"/>
                  <w:lang w:bidi="ar"/>
                </w:rPr>
                <m:t>t</m:t>
              </m:r>
              <m:ctrlPr>
                <w:rPr>
                  <w:rFonts w:hint="default" w:ascii="Cambria Math" w:hAnsi="Cambria Math" w:cs="Times New Roman"/>
                  <w:color w:val="FF0000"/>
                  <w:sz w:val="21"/>
                  <w:szCs w:val="21"/>
                  <w:lang w:bidi="ar"/>
                </w:rPr>
              </m:ctrlPr>
            </m:sup>
          </m:sSubSup>
          <m:r>
            <m:rPr>
              <m:sty m:val="p"/>
            </m:rPr>
            <w:rPr>
              <w:rFonts w:hint="default" w:ascii="Cambria Math" w:hAnsi="Cambria Math" w:cs="Times New Roman"/>
              <w:color w:val="FF0000"/>
              <w:sz w:val="21"/>
              <w:szCs w:val="21"/>
              <w:lang w:bidi="ar"/>
            </w:rPr>
            <m:t>=−</m:t>
          </m:r>
          <m:f>
            <m:fPr>
              <m:ctrlPr>
                <w:rPr>
                  <w:rFonts w:hint="default" w:ascii="Cambria Math" w:hAnsi="Cambria Math" w:cs="Times New Roman"/>
                  <w:color w:val="FF0000"/>
                  <w:sz w:val="21"/>
                  <w:szCs w:val="21"/>
                  <w:lang w:bidi="ar"/>
                </w:rPr>
              </m:ctrlPr>
            </m:fPr>
            <m:num>
              <m:r>
                <m:rPr>
                  <m:sty m:val="p"/>
                </m:rPr>
                <w:rPr>
                  <w:rFonts w:hint="default" w:ascii="Cambria Math" w:hAnsi="Cambria Math" w:cs="Times New Roman"/>
                  <w:color w:val="FF0000"/>
                  <w:sz w:val="21"/>
                  <w:szCs w:val="21"/>
                  <w:lang w:bidi="ar"/>
                </w:rPr>
                <m:t>1</m:t>
              </m:r>
              <m:ctrlPr>
                <w:rPr>
                  <w:rFonts w:hint="default" w:ascii="Cambria Math" w:hAnsi="Cambria Math" w:cs="Times New Roman"/>
                  <w:color w:val="FF0000"/>
                  <w:sz w:val="21"/>
                  <w:szCs w:val="21"/>
                  <w:lang w:bidi="ar"/>
                </w:rPr>
              </m:ctrlPr>
            </m:num>
            <m:den>
              <m:r>
                <m:rPr>
                  <m:sty m:val="p"/>
                </m:rPr>
                <w:rPr>
                  <w:rFonts w:hint="default" w:ascii="Cambria Math" w:hAnsi="Cambria Math" w:cs="Times New Roman"/>
                  <w:color w:val="FF0000"/>
                  <w:sz w:val="21"/>
                  <w:szCs w:val="21"/>
                  <w:lang w:bidi="ar"/>
                </w:rPr>
                <m:t>lnK</m:t>
              </m:r>
              <m:ctrlPr>
                <w:rPr>
                  <w:rFonts w:hint="default" w:ascii="Cambria Math" w:hAnsi="Cambria Math" w:cs="Times New Roman"/>
                  <w:color w:val="FF0000"/>
                  <w:sz w:val="21"/>
                  <w:szCs w:val="21"/>
                  <w:lang w:bidi="ar"/>
                </w:rPr>
              </m:ctrlPr>
            </m:den>
          </m:f>
          <m:sSubSup>
            <m:sSubSupPr>
              <m:ctrlPr>
                <w:rPr>
                  <w:rFonts w:hint="default" w:ascii="Cambria Math" w:hAnsi="Cambria Math" w:cs="Times New Roman"/>
                  <w:color w:val="FF0000"/>
                  <w:sz w:val="21"/>
                  <w:szCs w:val="21"/>
                  <w:lang w:bidi="ar"/>
                </w:rPr>
              </m:ctrlPr>
            </m:sSubSupPr>
            <m:e>
              <m:r>
                <m:rPr>
                  <m:sty m:val="p"/>
                </m:rPr>
                <w:rPr>
                  <w:rFonts w:hint="default" w:ascii="Cambria Math" w:hAnsi="Cambria Math" w:cs="Times New Roman"/>
                  <w:color w:val="FF0000"/>
                  <w:sz w:val="21"/>
                  <w:szCs w:val="21"/>
                  <w:lang w:bidi="ar"/>
                </w:rPr>
                <m:t>∑</m:t>
              </m:r>
              <m:ctrlPr>
                <w:rPr>
                  <w:rFonts w:hint="default" w:ascii="Cambria Math" w:hAnsi="Cambria Math" w:cs="Times New Roman"/>
                  <w:color w:val="FF0000"/>
                  <w:sz w:val="21"/>
                  <w:szCs w:val="21"/>
                  <w:lang w:bidi="ar"/>
                </w:rPr>
              </m:ctrlPr>
            </m:e>
            <m:sub>
              <m:r>
                <m:rPr>
                  <m:sty m:val="p"/>
                </m:rPr>
                <w:rPr>
                  <w:rFonts w:hint="default" w:ascii="Cambria Math" w:hAnsi="Cambria Math" w:cs="Times New Roman"/>
                  <w:color w:val="FF0000"/>
                  <w:sz w:val="21"/>
                  <w:szCs w:val="21"/>
                  <w:lang w:bidi="ar"/>
                </w:rPr>
                <m:t>k=1</m:t>
              </m:r>
              <m:ctrlPr>
                <w:rPr>
                  <w:rFonts w:hint="default" w:ascii="Cambria Math" w:hAnsi="Cambria Math" w:cs="Times New Roman"/>
                  <w:color w:val="FF0000"/>
                  <w:sz w:val="21"/>
                  <w:szCs w:val="21"/>
                  <w:lang w:bidi="ar"/>
                </w:rPr>
              </m:ctrlPr>
            </m:sub>
            <m:sup>
              <m:r>
                <m:rPr>
                  <m:sty m:val="p"/>
                </m:rPr>
                <w:rPr>
                  <w:rFonts w:hint="default" w:ascii="Cambria Math" w:hAnsi="Cambria Math" w:cs="Times New Roman"/>
                  <w:color w:val="FF0000"/>
                  <w:sz w:val="21"/>
                  <w:szCs w:val="21"/>
                  <w:lang w:bidi="ar"/>
                </w:rPr>
                <m:t>K</m:t>
              </m:r>
              <m:ctrlPr>
                <w:rPr>
                  <w:rFonts w:hint="default" w:ascii="Cambria Math" w:hAnsi="Cambria Math" w:cs="Times New Roman"/>
                  <w:color w:val="FF0000"/>
                  <w:sz w:val="21"/>
                  <w:szCs w:val="21"/>
                  <w:lang w:bidi="ar"/>
                </w:rPr>
              </m:ctrlPr>
            </m:sup>
          </m:sSubSup>
          <m:r>
            <m:rPr>
              <m:sty m:val="p"/>
            </m:rPr>
            <w:rPr>
              <w:rFonts w:hint="default" w:ascii="Cambria Math" w:hAnsi="Cambria Math" w:cs="Times New Roman"/>
              <w:color w:val="FF0000"/>
              <w:sz w:val="21"/>
              <w:szCs w:val="21"/>
              <w:lang w:bidi="ar"/>
            </w:rPr>
            <m:t>(</m:t>
          </m:r>
          <m:sSubSup>
            <m:sSubSupPr>
              <m:ctrlPr>
                <w:rPr>
                  <w:rFonts w:hint="default" w:ascii="Cambria Math" w:hAnsi="Cambria Math" w:cs="Times New Roman"/>
                  <w:color w:val="FF0000"/>
                  <w:sz w:val="21"/>
                  <w:szCs w:val="21"/>
                  <w:lang w:bidi="ar"/>
                </w:rPr>
              </m:ctrlPr>
            </m:sSubSupPr>
            <m:e>
              <m:r>
                <m:rPr>
                  <m:sty m:val="p"/>
                </m:rPr>
                <w:rPr>
                  <w:rFonts w:hint="default" w:ascii="Cambria Math" w:hAnsi="Cambria Math" w:cs="Times New Roman"/>
                  <w:color w:val="FF0000"/>
                  <w:sz w:val="21"/>
                  <w:szCs w:val="21"/>
                  <w:lang w:bidi="ar"/>
                </w:rPr>
                <m:t>p</m:t>
              </m:r>
              <m:ctrlPr>
                <w:rPr>
                  <w:rFonts w:hint="default" w:ascii="Cambria Math" w:hAnsi="Cambria Math" w:cs="Times New Roman"/>
                  <w:color w:val="FF0000"/>
                  <w:sz w:val="21"/>
                  <w:szCs w:val="21"/>
                  <w:lang w:bidi="ar"/>
                </w:rPr>
              </m:ctrlPr>
            </m:e>
            <m:sub>
              <m:r>
                <m:rPr>
                  <m:sty m:val="p"/>
                </m:rPr>
                <w:rPr>
                  <w:rFonts w:hint="default" w:ascii="Cambria Math" w:hAnsi="Cambria Math" w:cs="Times New Roman"/>
                  <w:color w:val="FF0000"/>
                  <w:sz w:val="21"/>
                  <w:szCs w:val="21"/>
                  <w:lang w:bidi="ar"/>
                </w:rPr>
                <m:t>jk</m:t>
              </m:r>
              <m:ctrlPr>
                <w:rPr>
                  <w:rFonts w:hint="default" w:ascii="Cambria Math" w:hAnsi="Cambria Math" w:cs="Times New Roman"/>
                  <w:color w:val="FF0000"/>
                  <w:sz w:val="21"/>
                  <w:szCs w:val="21"/>
                  <w:lang w:bidi="ar"/>
                </w:rPr>
              </m:ctrlPr>
            </m:sub>
            <m:sup>
              <m:r>
                <m:rPr>
                  <m:sty m:val="p"/>
                </m:rPr>
                <w:rPr>
                  <w:rFonts w:hint="default" w:ascii="Cambria Math" w:hAnsi="Cambria Math" w:cs="Times New Roman"/>
                  <w:color w:val="FF0000"/>
                  <w:sz w:val="21"/>
                  <w:szCs w:val="21"/>
                  <w:lang w:bidi="ar"/>
                </w:rPr>
                <m:t>t</m:t>
              </m:r>
              <m:ctrlPr>
                <w:rPr>
                  <w:rFonts w:hint="default" w:ascii="Cambria Math" w:hAnsi="Cambria Math" w:cs="Times New Roman"/>
                  <w:color w:val="FF0000"/>
                  <w:sz w:val="21"/>
                  <w:szCs w:val="21"/>
                  <w:lang w:bidi="ar"/>
                </w:rPr>
              </m:ctrlPr>
            </m:sup>
          </m:sSubSup>
          <m:r>
            <m:rPr>
              <m:sty m:val="p"/>
            </m:rPr>
            <w:rPr>
              <w:rFonts w:hint="default" w:ascii="Cambria Math" w:hAnsi="Cambria Math" w:cs="Times New Roman"/>
              <w:color w:val="FF0000"/>
              <w:sz w:val="21"/>
              <w:szCs w:val="21"/>
              <w:lang w:bidi="ar"/>
            </w:rPr>
            <m:t>×ln</m:t>
          </m:r>
          <m:sSubSup>
            <m:sSubSupPr>
              <m:ctrlPr>
                <w:rPr>
                  <w:rFonts w:hint="default" w:ascii="Cambria Math" w:hAnsi="Cambria Math" w:cs="Times New Roman"/>
                  <w:color w:val="FF0000"/>
                  <w:sz w:val="21"/>
                  <w:szCs w:val="21"/>
                  <w:lang w:bidi="ar"/>
                </w:rPr>
              </m:ctrlPr>
            </m:sSubSupPr>
            <m:e>
              <m:r>
                <m:rPr>
                  <m:sty m:val="p"/>
                </m:rPr>
                <w:rPr>
                  <w:rFonts w:hint="default" w:ascii="Cambria Math" w:hAnsi="Cambria Math" w:cs="Times New Roman"/>
                  <w:color w:val="FF0000"/>
                  <w:sz w:val="21"/>
                  <w:szCs w:val="21"/>
                  <w:lang w:bidi="ar"/>
                </w:rPr>
                <m:t>p</m:t>
              </m:r>
              <m:ctrlPr>
                <w:rPr>
                  <w:rFonts w:hint="default" w:ascii="Cambria Math" w:hAnsi="Cambria Math" w:cs="Times New Roman"/>
                  <w:color w:val="FF0000"/>
                  <w:sz w:val="21"/>
                  <w:szCs w:val="21"/>
                  <w:lang w:bidi="ar"/>
                </w:rPr>
              </m:ctrlPr>
            </m:e>
            <m:sub>
              <m:r>
                <m:rPr>
                  <m:sty m:val="p"/>
                </m:rPr>
                <w:rPr>
                  <w:rFonts w:hint="default" w:ascii="Cambria Math" w:hAnsi="Cambria Math" w:cs="Times New Roman"/>
                  <w:color w:val="FF0000"/>
                  <w:sz w:val="21"/>
                  <w:szCs w:val="21"/>
                  <w:lang w:bidi="ar"/>
                </w:rPr>
                <m:t>jk</m:t>
              </m:r>
              <m:ctrlPr>
                <w:rPr>
                  <w:rFonts w:hint="default" w:ascii="Cambria Math" w:hAnsi="Cambria Math" w:cs="Times New Roman"/>
                  <w:color w:val="FF0000"/>
                  <w:sz w:val="21"/>
                  <w:szCs w:val="21"/>
                  <w:lang w:bidi="ar"/>
                </w:rPr>
              </m:ctrlPr>
            </m:sub>
            <m:sup>
              <m:r>
                <m:rPr>
                  <m:sty m:val="p"/>
                </m:rPr>
                <w:rPr>
                  <w:rFonts w:hint="default" w:ascii="Cambria Math" w:hAnsi="Cambria Math" w:cs="Times New Roman"/>
                  <w:color w:val="FF0000"/>
                  <w:sz w:val="21"/>
                  <w:szCs w:val="21"/>
                  <w:lang w:bidi="ar"/>
                </w:rPr>
                <m:t>t</m:t>
              </m:r>
              <m:ctrlPr>
                <w:rPr>
                  <w:rFonts w:hint="default" w:ascii="Cambria Math" w:hAnsi="Cambria Math" w:cs="Times New Roman"/>
                  <w:color w:val="FF0000"/>
                  <w:sz w:val="21"/>
                  <w:szCs w:val="21"/>
                  <w:lang w:bidi="ar"/>
                </w:rPr>
              </m:ctrlPr>
            </m:sup>
          </m:sSubSup>
          <m:r>
            <m:rPr>
              <m:sty m:val="p"/>
            </m:rPr>
            <w:rPr>
              <w:rFonts w:hint="default" w:ascii="Cambria Math" w:hAnsi="Cambria Math" w:cs="Times New Roman"/>
              <w:color w:val="FF0000"/>
              <w:sz w:val="21"/>
              <w:szCs w:val="21"/>
              <w:lang w:bidi="ar"/>
            </w:rPr>
            <m:t>)</m:t>
          </m:r>
          <m:r>
            <m:rPr>
              <m:sty m:val="p"/>
            </m:rPr>
            <w:rPr>
              <w:rFonts w:hint="default" w:ascii="Cambria Math" w:hAnsi="Cambria Math" w:cs="Times New Roman"/>
              <w:color w:val="FF0000"/>
              <w:sz w:val="21"/>
              <w:szCs w:val="21"/>
              <w:lang w:val="en-US" w:eastAsia="zh-CN" w:bidi="ar"/>
            </w:rPr>
            <m:t xml:space="preserve">,    </m:t>
          </m:r>
          <m:sSubSup>
            <m:sSubSupPr>
              <m:ctrlPr>
                <w:rPr>
                  <w:rFonts w:hint="default" w:ascii="Cambria Math" w:hAnsi="Cambria Math" w:cs="Times New Roman"/>
                  <w:color w:val="FF0000"/>
                  <w:sz w:val="21"/>
                  <w:szCs w:val="21"/>
                  <w:lang w:bidi="ar"/>
                </w:rPr>
              </m:ctrlPr>
            </m:sSubSupPr>
            <m:e>
              <m:r>
                <m:rPr>
                  <m:sty m:val="p"/>
                </m:rPr>
                <w:rPr>
                  <w:rFonts w:hint="default" w:ascii="Cambria Math" w:hAnsi="Cambria Math" w:cs="Times New Roman"/>
                  <w:color w:val="FF0000"/>
                  <w:sz w:val="21"/>
                  <w:szCs w:val="21"/>
                  <w:lang w:bidi="ar"/>
                </w:rPr>
                <m:t>d</m:t>
              </m:r>
              <m:ctrlPr>
                <w:rPr>
                  <w:rFonts w:hint="default" w:ascii="Cambria Math" w:hAnsi="Cambria Math" w:cs="Times New Roman"/>
                  <w:color w:val="FF0000"/>
                  <w:sz w:val="21"/>
                  <w:szCs w:val="21"/>
                  <w:lang w:bidi="ar"/>
                </w:rPr>
              </m:ctrlPr>
            </m:e>
            <m:sub>
              <m:r>
                <m:rPr>
                  <m:sty m:val="p"/>
                </m:rPr>
                <w:rPr>
                  <w:rFonts w:hint="default" w:ascii="Cambria Math" w:hAnsi="Cambria Math" w:cs="Times New Roman"/>
                  <w:color w:val="FF0000"/>
                  <w:sz w:val="21"/>
                  <w:szCs w:val="21"/>
                  <w:lang w:bidi="ar"/>
                </w:rPr>
                <m:t>j</m:t>
              </m:r>
              <m:ctrlPr>
                <w:rPr>
                  <w:rFonts w:hint="default" w:ascii="Cambria Math" w:hAnsi="Cambria Math" w:cs="Times New Roman"/>
                  <w:color w:val="FF0000"/>
                  <w:sz w:val="21"/>
                  <w:szCs w:val="21"/>
                  <w:lang w:bidi="ar"/>
                </w:rPr>
              </m:ctrlPr>
            </m:sub>
            <m:sup>
              <m:r>
                <m:rPr>
                  <m:sty m:val="p"/>
                </m:rPr>
                <w:rPr>
                  <w:rFonts w:hint="default" w:ascii="Cambria Math" w:hAnsi="Cambria Math" w:cs="Times New Roman"/>
                  <w:color w:val="FF0000"/>
                  <w:sz w:val="21"/>
                  <w:szCs w:val="21"/>
                  <w:lang w:bidi="ar"/>
                </w:rPr>
                <m:t>t</m:t>
              </m:r>
              <m:ctrlPr>
                <w:rPr>
                  <w:rFonts w:hint="default" w:ascii="Cambria Math" w:hAnsi="Cambria Math" w:cs="Times New Roman"/>
                  <w:color w:val="FF0000"/>
                  <w:sz w:val="21"/>
                  <w:szCs w:val="21"/>
                  <w:lang w:bidi="ar"/>
                </w:rPr>
              </m:ctrlPr>
            </m:sup>
          </m:sSubSup>
          <m:r>
            <m:rPr>
              <m:sty m:val="p"/>
            </m:rPr>
            <w:rPr>
              <w:rFonts w:hint="default" w:ascii="Cambria Math" w:hAnsi="Cambria Math" w:cs="Times New Roman"/>
              <w:color w:val="FF0000"/>
              <w:sz w:val="21"/>
              <w:szCs w:val="21"/>
              <w:lang w:bidi="ar"/>
            </w:rPr>
            <m:t>=1−</m:t>
          </m:r>
          <m:sSubSup>
            <m:sSubSupPr>
              <m:ctrlPr>
                <w:rPr>
                  <w:rFonts w:hint="default" w:ascii="Cambria Math" w:hAnsi="Cambria Math" w:cs="Times New Roman"/>
                  <w:color w:val="FF0000"/>
                  <w:sz w:val="21"/>
                  <w:szCs w:val="21"/>
                  <w:lang w:bidi="ar"/>
                </w:rPr>
              </m:ctrlPr>
            </m:sSubSupPr>
            <m:e>
              <m:r>
                <m:rPr>
                  <m:sty m:val="p"/>
                </m:rPr>
                <w:rPr>
                  <w:rFonts w:hint="default" w:ascii="Cambria Math" w:hAnsi="Cambria Math" w:cs="Times New Roman"/>
                  <w:color w:val="FF0000"/>
                  <w:sz w:val="21"/>
                  <w:szCs w:val="21"/>
                  <w:lang w:bidi="ar"/>
                </w:rPr>
                <m:t>e</m:t>
              </m:r>
              <m:ctrlPr>
                <w:rPr>
                  <w:rFonts w:hint="default" w:ascii="Cambria Math" w:hAnsi="Cambria Math" w:cs="Times New Roman"/>
                  <w:color w:val="FF0000"/>
                  <w:sz w:val="21"/>
                  <w:szCs w:val="21"/>
                  <w:lang w:bidi="ar"/>
                </w:rPr>
              </m:ctrlPr>
            </m:e>
            <m:sub>
              <m:r>
                <m:rPr>
                  <m:sty m:val="p"/>
                </m:rPr>
                <w:rPr>
                  <w:rFonts w:hint="default" w:ascii="Cambria Math" w:hAnsi="Cambria Math" w:cs="Times New Roman"/>
                  <w:color w:val="FF0000"/>
                  <w:sz w:val="21"/>
                  <w:szCs w:val="21"/>
                  <w:lang w:bidi="ar"/>
                </w:rPr>
                <m:t>j</m:t>
              </m:r>
              <m:ctrlPr>
                <w:rPr>
                  <w:rFonts w:hint="default" w:ascii="Cambria Math" w:hAnsi="Cambria Math" w:cs="Times New Roman"/>
                  <w:color w:val="FF0000"/>
                  <w:sz w:val="21"/>
                  <w:szCs w:val="21"/>
                  <w:lang w:bidi="ar"/>
                </w:rPr>
              </m:ctrlPr>
            </m:sub>
            <m:sup>
              <m:r>
                <m:rPr>
                  <m:sty m:val="p"/>
                </m:rPr>
                <w:rPr>
                  <w:rFonts w:hint="default" w:ascii="Cambria Math" w:hAnsi="Cambria Math" w:cs="Times New Roman"/>
                  <w:color w:val="FF0000"/>
                  <w:sz w:val="21"/>
                  <w:szCs w:val="21"/>
                  <w:lang w:bidi="ar"/>
                </w:rPr>
                <m:t>t</m:t>
              </m:r>
              <m:ctrlPr>
                <w:rPr>
                  <w:rFonts w:hint="default" w:ascii="Cambria Math" w:hAnsi="Cambria Math" w:cs="Times New Roman"/>
                  <w:color w:val="FF0000"/>
                  <w:sz w:val="21"/>
                  <w:szCs w:val="21"/>
                  <w:lang w:bidi="ar"/>
                </w:rPr>
              </m:ctrlPr>
            </m:sup>
          </m:sSubSup>
        </m:oMath>
      </m:oMathPara>
    </w:p>
    <w:p w14:paraId="3E2443FB">
      <w:pPr>
        <w:keepNext w:val="0"/>
        <w:keepLines w:val="0"/>
        <w:widowControl/>
        <w:suppressLineNumbers w:val="0"/>
        <w:jc w:val="left"/>
        <w:rPr>
          <w:rFonts w:hint="default" w:hAnsi="Cambria Math" w:cs="Times New Roman"/>
          <w:i w:val="0"/>
          <w:color w:val="FF0000"/>
          <w:sz w:val="21"/>
          <w:szCs w:val="21"/>
          <w:lang w:bidi="ar"/>
        </w:rPr>
      </w:pPr>
      <m:oMathPara>
        <m:oMath>
          <m:sSubSup>
            <m:sSubSupPr>
              <m:ctrlPr>
                <w:rPr>
                  <w:rFonts w:hint="default" w:ascii="Cambria Math" w:hAnsi="Cambria Math" w:cs="Times New Roman"/>
                  <w:color w:val="FF0000"/>
                  <w:sz w:val="21"/>
                  <w:szCs w:val="21"/>
                  <w:lang w:bidi="ar"/>
                </w:rPr>
              </m:ctrlPr>
            </m:sSubSupPr>
            <m:e>
              <m:r>
                <m:rPr>
                  <m:sty m:val="p"/>
                </m:rPr>
                <w:rPr>
                  <w:rFonts w:hint="default" w:ascii="Cambria Math" w:hAnsi="Cambria Math" w:cs="Times New Roman"/>
                  <w:color w:val="FF0000"/>
                  <w:sz w:val="21"/>
                  <w:szCs w:val="21"/>
                  <w:lang w:bidi="ar"/>
                </w:rPr>
                <m:t>w</m:t>
              </m:r>
              <m:ctrlPr>
                <w:rPr>
                  <w:rFonts w:hint="default" w:ascii="Cambria Math" w:hAnsi="Cambria Math" w:cs="Times New Roman"/>
                  <w:color w:val="FF0000"/>
                  <w:sz w:val="21"/>
                  <w:szCs w:val="21"/>
                  <w:lang w:bidi="ar"/>
                </w:rPr>
              </m:ctrlPr>
            </m:e>
            <m:sub>
              <m:r>
                <m:rPr>
                  <m:sty m:val="p"/>
                </m:rPr>
                <w:rPr>
                  <w:rFonts w:hint="default" w:ascii="Cambria Math" w:hAnsi="Cambria Math" w:cs="Times New Roman"/>
                  <w:color w:val="FF0000"/>
                  <w:sz w:val="21"/>
                  <w:szCs w:val="21"/>
                  <w:lang w:bidi="ar"/>
                </w:rPr>
                <m:t>j</m:t>
              </m:r>
              <m:ctrlPr>
                <w:rPr>
                  <w:rFonts w:hint="default" w:ascii="Cambria Math" w:hAnsi="Cambria Math" w:cs="Times New Roman"/>
                  <w:color w:val="FF0000"/>
                  <w:sz w:val="21"/>
                  <w:szCs w:val="21"/>
                  <w:lang w:bidi="ar"/>
                </w:rPr>
              </m:ctrlPr>
            </m:sub>
            <m:sup>
              <m:r>
                <m:rPr>
                  <m:sty m:val="p"/>
                </m:rPr>
                <w:rPr>
                  <w:rFonts w:hint="default" w:ascii="Cambria Math" w:hAnsi="Cambria Math" w:cs="Times New Roman"/>
                  <w:color w:val="FF0000"/>
                  <w:sz w:val="21"/>
                  <w:szCs w:val="21"/>
                  <w:lang w:bidi="ar"/>
                </w:rPr>
                <m:t>t</m:t>
              </m:r>
              <m:ctrlPr>
                <w:rPr>
                  <w:rFonts w:hint="default" w:ascii="Cambria Math" w:hAnsi="Cambria Math" w:cs="Times New Roman"/>
                  <w:color w:val="FF0000"/>
                  <w:sz w:val="21"/>
                  <w:szCs w:val="21"/>
                  <w:lang w:bidi="ar"/>
                </w:rPr>
              </m:ctrlPr>
            </m:sup>
          </m:sSubSup>
          <m:r>
            <m:rPr>
              <m:sty m:val="p"/>
            </m:rPr>
            <w:rPr>
              <w:rFonts w:hint="default" w:ascii="Cambria Math" w:hAnsi="Cambria Math" w:cs="Times New Roman"/>
              <w:color w:val="FF0000"/>
              <w:sz w:val="21"/>
              <w:szCs w:val="21"/>
              <w:lang w:bidi="ar"/>
            </w:rPr>
            <m:t>=</m:t>
          </m:r>
          <m:f>
            <m:fPr>
              <m:ctrlPr>
                <w:rPr>
                  <w:rFonts w:hint="default" w:ascii="Cambria Math" w:hAnsi="Cambria Math" w:cs="Times New Roman"/>
                  <w:color w:val="FF0000"/>
                  <w:sz w:val="21"/>
                  <w:szCs w:val="21"/>
                  <w:lang w:bidi="ar"/>
                </w:rPr>
              </m:ctrlPr>
            </m:fPr>
            <m:num>
              <m:sSubSup>
                <m:sSubSupPr>
                  <m:ctrlPr>
                    <w:rPr>
                      <w:rFonts w:hint="default" w:ascii="Cambria Math" w:hAnsi="Cambria Math" w:cs="Times New Roman"/>
                      <w:color w:val="FF0000"/>
                      <w:sz w:val="21"/>
                      <w:szCs w:val="21"/>
                      <w:lang w:bidi="ar"/>
                    </w:rPr>
                  </m:ctrlPr>
                </m:sSubSupPr>
                <m:e>
                  <m:r>
                    <m:rPr>
                      <m:sty m:val="p"/>
                    </m:rPr>
                    <w:rPr>
                      <w:rFonts w:hint="default" w:ascii="Cambria Math" w:hAnsi="Cambria Math" w:cs="Times New Roman"/>
                      <w:color w:val="FF0000"/>
                      <w:sz w:val="21"/>
                      <w:szCs w:val="21"/>
                      <w:lang w:bidi="ar"/>
                    </w:rPr>
                    <m:t>d</m:t>
                  </m:r>
                  <m:ctrlPr>
                    <w:rPr>
                      <w:rFonts w:hint="default" w:ascii="Cambria Math" w:hAnsi="Cambria Math" w:cs="Times New Roman"/>
                      <w:color w:val="FF0000"/>
                      <w:sz w:val="21"/>
                      <w:szCs w:val="21"/>
                      <w:lang w:bidi="ar"/>
                    </w:rPr>
                  </m:ctrlPr>
                </m:e>
                <m:sub>
                  <m:r>
                    <m:rPr>
                      <m:sty m:val="p"/>
                    </m:rPr>
                    <w:rPr>
                      <w:rFonts w:hint="default" w:ascii="Cambria Math" w:hAnsi="Cambria Math" w:cs="Times New Roman"/>
                      <w:color w:val="FF0000"/>
                      <w:sz w:val="21"/>
                      <w:szCs w:val="21"/>
                      <w:lang w:bidi="ar"/>
                    </w:rPr>
                    <m:t>j</m:t>
                  </m:r>
                  <m:ctrlPr>
                    <w:rPr>
                      <w:rFonts w:hint="default" w:ascii="Cambria Math" w:hAnsi="Cambria Math" w:cs="Times New Roman"/>
                      <w:color w:val="FF0000"/>
                      <w:sz w:val="21"/>
                      <w:szCs w:val="21"/>
                      <w:lang w:bidi="ar"/>
                    </w:rPr>
                  </m:ctrlPr>
                </m:sub>
                <m:sup>
                  <m:r>
                    <m:rPr>
                      <m:sty m:val="p"/>
                    </m:rPr>
                    <w:rPr>
                      <w:rFonts w:hint="default" w:ascii="Cambria Math" w:hAnsi="Cambria Math" w:cs="Times New Roman"/>
                      <w:color w:val="FF0000"/>
                      <w:sz w:val="21"/>
                      <w:szCs w:val="21"/>
                      <w:lang w:bidi="ar"/>
                    </w:rPr>
                    <m:t>t</m:t>
                  </m:r>
                  <m:ctrlPr>
                    <w:rPr>
                      <w:rFonts w:hint="default" w:ascii="Cambria Math" w:hAnsi="Cambria Math" w:cs="Times New Roman"/>
                      <w:color w:val="FF0000"/>
                      <w:sz w:val="21"/>
                      <w:szCs w:val="21"/>
                      <w:lang w:bidi="ar"/>
                    </w:rPr>
                  </m:ctrlPr>
                </m:sup>
              </m:sSubSup>
              <m:ctrlPr>
                <w:rPr>
                  <w:rFonts w:hint="default" w:ascii="Cambria Math" w:hAnsi="Cambria Math" w:cs="Times New Roman"/>
                  <w:color w:val="FF0000"/>
                  <w:sz w:val="21"/>
                  <w:szCs w:val="21"/>
                  <w:lang w:bidi="ar"/>
                </w:rPr>
              </m:ctrlPr>
            </m:num>
            <m:den>
              <m:sSubSup>
                <m:sSubSupPr>
                  <m:ctrlPr>
                    <w:rPr>
                      <w:rFonts w:hint="default" w:ascii="Cambria Math" w:hAnsi="Cambria Math" w:cs="Times New Roman"/>
                      <w:color w:val="FF0000"/>
                      <w:sz w:val="21"/>
                      <w:szCs w:val="21"/>
                      <w:lang w:bidi="ar"/>
                    </w:rPr>
                  </m:ctrlPr>
                </m:sSubSupPr>
                <m:e>
                  <m:r>
                    <m:rPr>
                      <m:sty m:val="p"/>
                    </m:rPr>
                    <w:rPr>
                      <w:rFonts w:hint="default" w:ascii="Cambria Math" w:hAnsi="Cambria Math" w:cs="Times New Roman"/>
                      <w:color w:val="FF0000"/>
                      <w:sz w:val="21"/>
                      <w:szCs w:val="21"/>
                      <w:lang w:bidi="ar"/>
                    </w:rPr>
                    <m:t>∑</m:t>
                  </m:r>
                  <m:ctrlPr>
                    <w:rPr>
                      <w:rFonts w:hint="default" w:ascii="Cambria Math" w:hAnsi="Cambria Math" w:cs="Times New Roman"/>
                      <w:color w:val="FF0000"/>
                      <w:sz w:val="21"/>
                      <w:szCs w:val="21"/>
                      <w:lang w:bidi="ar"/>
                    </w:rPr>
                  </m:ctrlPr>
                </m:e>
                <m:sub>
                  <m:r>
                    <m:rPr>
                      <m:sty m:val="p"/>
                    </m:rPr>
                    <w:rPr>
                      <w:rFonts w:hint="default" w:ascii="Cambria Math" w:hAnsi="Cambria Math" w:cs="Times New Roman"/>
                      <w:color w:val="FF0000"/>
                      <w:sz w:val="21"/>
                      <w:szCs w:val="21"/>
                      <w:lang w:bidi="ar"/>
                    </w:rPr>
                    <m:t>j=1</m:t>
                  </m:r>
                  <m:ctrlPr>
                    <w:rPr>
                      <w:rFonts w:hint="default" w:ascii="Cambria Math" w:hAnsi="Cambria Math" w:cs="Times New Roman"/>
                      <w:color w:val="FF0000"/>
                      <w:sz w:val="21"/>
                      <w:szCs w:val="21"/>
                      <w:lang w:bidi="ar"/>
                    </w:rPr>
                  </m:ctrlPr>
                </m:sub>
                <m:sup>
                  <m:r>
                    <m:rPr>
                      <m:sty m:val="p"/>
                    </m:rPr>
                    <w:rPr>
                      <w:rFonts w:hint="default" w:ascii="Cambria Math" w:hAnsi="Cambria Math" w:cs="Times New Roman"/>
                      <w:color w:val="FF0000"/>
                      <w:sz w:val="21"/>
                      <w:szCs w:val="21"/>
                      <w:lang w:bidi="ar"/>
                    </w:rPr>
                    <m:t>J</m:t>
                  </m:r>
                  <m:ctrlPr>
                    <w:rPr>
                      <w:rFonts w:hint="default" w:ascii="Cambria Math" w:hAnsi="Cambria Math" w:cs="Times New Roman"/>
                      <w:color w:val="FF0000"/>
                      <w:sz w:val="21"/>
                      <w:szCs w:val="21"/>
                      <w:lang w:bidi="ar"/>
                    </w:rPr>
                  </m:ctrlPr>
                </m:sup>
              </m:sSubSup>
              <m:sSubSup>
                <m:sSubSupPr>
                  <m:ctrlPr>
                    <w:rPr>
                      <w:rFonts w:hint="default" w:ascii="Cambria Math" w:hAnsi="Cambria Math" w:cs="Times New Roman"/>
                      <w:color w:val="FF0000"/>
                      <w:sz w:val="21"/>
                      <w:szCs w:val="21"/>
                      <w:lang w:bidi="ar"/>
                    </w:rPr>
                  </m:ctrlPr>
                </m:sSubSupPr>
                <m:e>
                  <m:r>
                    <m:rPr>
                      <m:sty m:val="p"/>
                    </m:rPr>
                    <w:rPr>
                      <w:rFonts w:hint="default" w:ascii="Cambria Math" w:hAnsi="Cambria Math" w:cs="Times New Roman"/>
                      <w:color w:val="FF0000"/>
                      <w:sz w:val="21"/>
                      <w:szCs w:val="21"/>
                      <w:lang w:bidi="ar"/>
                    </w:rPr>
                    <m:t>d</m:t>
                  </m:r>
                  <m:ctrlPr>
                    <w:rPr>
                      <w:rFonts w:hint="default" w:ascii="Cambria Math" w:hAnsi="Cambria Math" w:cs="Times New Roman"/>
                      <w:color w:val="FF0000"/>
                      <w:sz w:val="21"/>
                      <w:szCs w:val="21"/>
                      <w:lang w:bidi="ar"/>
                    </w:rPr>
                  </m:ctrlPr>
                </m:e>
                <m:sub>
                  <m:r>
                    <m:rPr>
                      <m:sty m:val="p"/>
                    </m:rPr>
                    <w:rPr>
                      <w:rFonts w:hint="default" w:ascii="Cambria Math" w:hAnsi="Cambria Math" w:cs="Times New Roman"/>
                      <w:color w:val="FF0000"/>
                      <w:sz w:val="21"/>
                      <w:szCs w:val="21"/>
                      <w:lang w:bidi="ar"/>
                    </w:rPr>
                    <m:t>j</m:t>
                  </m:r>
                  <m:ctrlPr>
                    <w:rPr>
                      <w:rFonts w:hint="default" w:ascii="Cambria Math" w:hAnsi="Cambria Math" w:cs="Times New Roman"/>
                      <w:color w:val="FF0000"/>
                      <w:sz w:val="21"/>
                      <w:szCs w:val="21"/>
                      <w:lang w:bidi="ar"/>
                    </w:rPr>
                  </m:ctrlPr>
                </m:sub>
                <m:sup>
                  <m:r>
                    <m:rPr>
                      <m:sty m:val="p"/>
                    </m:rPr>
                    <w:rPr>
                      <w:rFonts w:hint="default" w:ascii="Cambria Math" w:hAnsi="Cambria Math" w:cs="Times New Roman"/>
                      <w:color w:val="FF0000"/>
                      <w:sz w:val="21"/>
                      <w:szCs w:val="21"/>
                      <w:lang w:bidi="ar"/>
                    </w:rPr>
                    <m:t>t</m:t>
                  </m:r>
                  <m:ctrlPr>
                    <w:rPr>
                      <w:rFonts w:hint="default" w:ascii="Cambria Math" w:hAnsi="Cambria Math" w:cs="Times New Roman"/>
                      <w:color w:val="FF0000"/>
                      <w:sz w:val="21"/>
                      <w:szCs w:val="21"/>
                      <w:lang w:bidi="ar"/>
                    </w:rPr>
                  </m:ctrlPr>
                </m:sup>
              </m:sSubSup>
              <m:ctrlPr>
                <w:rPr>
                  <w:rFonts w:hint="default" w:ascii="Cambria Math" w:hAnsi="Cambria Math" w:cs="Times New Roman"/>
                  <w:color w:val="FF0000"/>
                  <w:sz w:val="21"/>
                  <w:szCs w:val="21"/>
                  <w:lang w:bidi="ar"/>
                </w:rPr>
              </m:ctrlPr>
            </m:den>
          </m:f>
        </m:oMath>
      </m:oMathPara>
    </w:p>
    <w:p w14:paraId="1C588523">
      <w:pPr>
        <w:keepNext w:val="0"/>
        <w:keepLines w:val="0"/>
        <w:widowControl/>
        <w:suppressLineNumbers w:val="0"/>
        <w:jc w:val="left"/>
        <w:rPr>
          <w:rFonts w:hint="default" w:ascii="Times New Roman" w:hAnsi="Times New Roman" w:cs="Times New Roman"/>
          <w:color w:val="FF0000"/>
          <w:sz w:val="21"/>
          <w:szCs w:val="21"/>
          <w:lang w:bidi="ar"/>
        </w:rPr>
      </w:pPr>
      <w:r>
        <w:rPr>
          <w:rFonts w:hint="default" w:ascii="Times New Roman" w:hAnsi="Times New Roman" w:cs="Times New Roman"/>
          <w:color w:val="FF0000"/>
          <w:sz w:val="21"/>
          <w:szCs w:val="21"/>
          <w:lang w:bidi="ar"/>
        </w:rPr>
        <w:t>其中</w:t>
      </w:r>
      <m:oMath>
        <m:sSubSup>
          <m:sSubSupPr>
            <m:ctrlPr>
              <w:rPr>
                <w:rFonts w:hint="default" w:ascii="Cambria Math" w:hAnsi="Cambria Math" w:cs="Times New Roman"/>
                <w:color w:val="FF0000"/>
                <w:sz w:val="21"/>
                <w:szCs w:val="21"/>
                <w:lang w:bidi="ar"/>
              </w:rPr>
            </m:ctrlPr>
          </m:sSubSupPr>
          <m:e>
            <m:r>
              <m:rPr>
                <m:sty m:val="p"/>
              </m:rPr>
              <w:rPr>
                <w:rFonts w:hint="default" w:ascii="Cambria Math" w:hAnsi="Cambria Math" w:cs="Times New Roman"/>
                <w:color w:val="FF0000"/>
                <w:sz w:val="21"/>
                <w:szCs w:val="21"/>
                <w:lang w:bidi="ar"/>
              </w:rPr>
              <m:t>p</m:t>
            </m:r>
            <m:ctrlPr>
              <w:rPr>
                <w:rFonts w:hint="default" w:ascii="Cambria Math" w:hAnsi="Cambria Math" w:cs="Times New Roman"/>
                <w:color w:val="FF0000"/>
                <w:sz w:val="21"/>
                <w:szCs w:val="21"/>
                <w:lang w:bidi="ar"/>
              </w:rPr>
            </m:ctrlPr>
          </m:e>
          <m:sub>
            <m:r>
              <m:rPr>
                <m:sty m:val="p"/>
              </m:rPr>
              <w:rPr>
                <w:rFonts w:hint="default" w:ascii="Cambria Math" w:hAnsi="Cambria Math" w:cs="Times New Roman"/>
                <w:color w:val="FF0000"/>
                <w:sz w:val="21"/>
                <w:szCs w:val="21"/>
                <w:lang w:bidi="ar"/>
              </w:rPr>
              <m:t>jk</m:t>
            </m:r>
            <m:ctrlPr>
              <w:rPr>
                <w:rFonts w:hint="default" w:ascii="Cambria Math" w:hAnsi="Cambria Math" w:cs="Times New Roman"/>
                <w:color w:val="FF0000"/>
                <w:sz w:val="21"/>
                <w:szCs w:val="21"/>
                <w:lang w:bidi="ar"/>
              </w:rPr>
            </m:ctrlPr>
          </m:sub>
          <m:sup>
            <m:r>
              <m:rPr>
                <m:sty m:val="p"/>
              </m:rPr>
              <w:rPr>
                <w:rFonts w:hint="default" w:ascii="Cambria Math" w:hAnsi="Cambria Math" w:cs="Times New Roman"/>
                <w:color w:val="FF0000"/>
                <w:sz w:val="21"/>
                <w:szCs w:val="21"/>
                <w:lang w:bidi="ar"/>
              </w:rPr>
              <m:t>t</m:t>
            </m:r>
            <m:ctrlPr>
              <w:rPr>
                <w:rFonts w:hint="default" w:ascii="Cambria Math" w:hAnsi="Cambria Math" w:cs="Times New Roman"/>
                <w:color w:val="FF0000"/>
                <w:sz w:val="21"/>
                <w:szCs w:val="21"/>
                <w:lang w:bidi="ar"/>
              </w:rPr>
            </m:ctrlPr>
          </m:sup>
        </m:sSubSup>
      </m:oMath>
      <w:r>
        <w:rPr>
          <w:rFonts w:hint="default" w:ascii="Times New Roman" w:hAnsi="Times New Roman" w:cs="Times New Roman"/>
          <w:color w:val="FF0000"/>
          <w:sz w:val="21"/>
          <w:szCs w:val="21"/>
          <w:lang w:bidi="ar"/>
        </w:rPr>
        <w:t>第t年公司k在指标j下所占比重</w:t>
      </w:r>
      <w:r>
        <w:rPr>
          <w:rFonts w:hint="eastAsia" w:ascii="Times New Roman" w:hAnsi="Times New Roman" w:cs="Times New Roman"/>
          <w:color w:val="FF0000"/>
          <w:sz w:val="21"/>
          <w:szCs w:val="21"/>
          <w:lang w:val="en-US" w:eastAsia="zh-CN" w:bidi="ar"/>
        </w:rPr>
        <w:t>,</w:t>
      </w:r>
      <m:oMath>
        <m:sSubSup>
          <m:sSubSupPr>
            <m:ctrlPr>
              <w:rPr>
                <w:rFonts w:hint="default" w:ascii="Cambria Math" w:hAnsi="Cambria Math" w:cs="Times New Roman"/>
                <w:color w:val="FF0000"/>
                <w:sz w:val="21"/>
                <w:szCs w:val="21"/>
                <w:lang w:bidi="ar"/>
              </w:rPr>
            </m:ctrlPr>
          </m:sSubSupPr>
          <m:e>
            <m:r>
              <m:rPr>
                <m:sty m:val="p"/>
              </m:rPr>
              <w:rPr>
                <w:rFonts w:hint="default" w:ascii="Cambria Math" w:hAnsi="Cambria Math" w:cs="Times New Roman"/>
                <w:color w:val="FF0000"/>
                <w:sz w:val="21"/>
                <w:szCs w:val="21"/>
                <w:lang w:bidi="ar"/>
              </w:rPr>
              <m:t>e</m:t>
            </m:r>
            <m:ctrlPr>
              <w:rPr>
                <w:rFonts w:hint="default" w:ascii="Cambria Math" w:hAnsi="Cambria Math" w:cs="Times New Roman"/>
                <w:color w:val="FF0000"/>
                <w:sz w:val="21"/>
                <w:szCs w:val="21"/>
                <w:lang w:bidi="ar"/>
              </w:rPr>
            </m:ctrlPr>
          </m:e>
          <m:sub>
            <m:r>
              <m:rPr>
                <m:sty m:val="p"/>
              </m:rPr>
              <w:rPr>
                <w:rFonts w:hint="default" w:ascii="Cambria Math" w:hAnsi="Cambria Math" w:cs="Times New Roman"/>
                <w:color w:val="FF0000"/>
                <w:sz w:val="21"/>
                <w:szCs w:val="21"/>
                <w:lang w:bidi="ar"/>
              </w:rPr>
              <m:t>j</m:t>
            </m:r>
            <m:ctrlPr>
              <w:rPr>
                <w:rFonts w:hint="default" w:ascii="Cambria Math" w:hAnsi="Cambria Math" w:cs="Times New Roman"/>
                <w:color w:val="FF0000"/>
                <w:sz w:val="21"/>
                <w:szCs w:val="21"/>
                <w:lang w:bidi="ar"/>
              </w:rPr>
            </m:ctrlPr>
          </m:sub>
          <m:sup>
            <m:r>
              <m:rPr>
                <m:sty m:val="p"/>
              </m:rPr>
              <w:rPr>
                <w:rFonts w:hint="default" w:ascii="Cambria Math" w:hAnsi="Cambria Math" w:cs="Times New Roman"/>
                <w:color w:val="FF0000"/>
                <w:sz w:val="21"/>
                <w:szCs w:val="21"/>
                <w:lang w:bidi="ar"/>
              </w:rPr>
              <m:t>t</m:t>
            </m:r>
            <m:ctrlPr>
              <w:rPr>
                <w:rFonts w:hint="default" w:ascii="Cambria Math" w:hAnsi="Cambria Math" w:cs="Times New Roman"/>
                <w:color w:val="FF0000"/>
                <w:sz w:val="21"/>
                <w:szCs w:val="21"/>
                <w:lang w:bidi="ar"/>
              </w:rPr>
            </m:ctrlPr>
          </m:sup>
        </m:sSubSup>
      </m:oMath>
      <w:r>
        <w:rPr>
          <w:rFonts w:hint="default" w:ascii="Times New Roman" w:hAnsi="Times New Roman" w:cs="Times New Roman"/>
          <w:color w:val="FF0000"/>
          <w:sz w:val="21"/>
          <w:szCs w:val="21"/>
          <w:lang w:bidi="ar"/>
        </w:rPr>
        <w:t>指标j在第t年的信息熵</w:t>
      </w:r>
      <w:r>
        <w:rPr>
          <w:rFonts w:hint="eastAsia" w:ascii="Times New Roman" w:hAnsi="Times New Roman" w:cs="Times New Roman"/>
          <w:color w:val="FF0000"/>
          <w:sz w:val="21"/>
          <w:szCs w:val="21"/>
          <w:lang w:val="en-US" w:eastAsia="zh-CN" w:bidi="ar"/>
        </w:rPr>
        <w:t>,</w:t>
      </w:r>
      <m:oMath>
        <m:sSubSup>
          <m:sSubSupPr>
            <m:ctrlPr>
              <w:rPr>
                <w:rFonts w:hint="default" w:ascii="Cambria Math" w:hAnsi="Cambria Math" w:cs="Times New Roman"/>
                <w:color w:val="FF0000"/>
                <w:sz w:val="21"/>
                <w:szCs w:val="21"/>
                <w:lang w:bidi="ar"/>
              </w:rPr>
            </m:ctrlPr>
          </m:sSubSupPr>
          <m:e>
            <m:r>
              <m:rPr>
                <m:sty m:val="p"/>
              </m:rPr>
              <w:rPr>
                <w:rFonts w:hint="default" w:ascii="Cambria Math" w:hAnsi="Cambria Math" w:cs="Times New Roman"/>
                <w:color w:val="FF0000"/>
                <w:sz w:val="21"/>
                <w:szCs w:val="21"/>
                <w:lang w:bidi="ar"/>
              </w:rPr>
              <m:t>d</m:t>
            </m:r>
            <m:ctrlPr>
              <w:rPr>
                <w:rFonts w:hint="default" w:ascii="Cambria Math" w:hAnsi="Cambria Math" w:cs="Times New Roman"/>
                <w:color w:val="FF0000"/>
                <w:sz w:val="21"/>
                <w:szCs w:val="21"/>
                <w:lang w:bidi="ar"/>
              </w:rPr>
            </m:ctrlPr>
          </m:e>
          <m:sub>
            <m:r>
              <m:rPr>
                <m:sty m:val="p"/>
              </m:rPr>
              <w:rPr>
                <w:rFonts w:hint="default" w:ascii="Cambria Math" w:hAnsi="Cambria Math" w:cs="Times New Roman"/>
                <w:color w:val="FF0000"/>
                <w:sz w:val="21"/>
                <w:szCs w:val="21"/>
                <w:lang w:bidi="ar"/>
              </w:rPr>
              <m:t>j</m:t>
            </m:r>
            <m:ctrlPr>
              <w:rPr>
                <w:rFonts w:hint="default" w:ascii="Cambria Math" w:hAnsi="Cambria Math" w:cs="Times New Roman"/>
                <w:color w:val="FF0000"/>
                <w:sz w:val="21"/>
                <w:szCs w:val="21"/>
                <w:lang w:bidi="ar"/>
              </w:rPr>
            </m:ctrlPr>
          </m:sub>
          <m:sup>
            <m:r>
              <m:rPr>
                <m:sty m:val="p"/>
              </m:rPr>
              <w:rPr>
                <w:rFonts w:hint="default" w:ascii="Cambria Math" w:hAnsi="Cambria Math" w:cs="Times New Roman"/>
                <w:color w:val="FF0000"/>
                <w:sz w:val="21"/>
                <w:szCs w:val="21"/>
                <w:lang w:bidi="ar"/>
              </w:rPr>
              <m:t>t</m:t>
            </m:r>
            <m:ctrlPr>
              <w:rPr>
                <w:rFonts w:hint="default" w:ascii="Cambria Math" w:hAnsi="Cambria Math" w:cs="Times New Roman"/>
                <w:color w:val="FF0000"/>
                <w:sz w:val="21"/>
                <w:szCs w:val="21"/>
                <w:lang w:bidi="ar"/>
              </w:rPr>
            </m:ctrlPr>
          </m:sup>
        </m:sSubSup>
      </m:oMath>
      <w:r>
        <w:rPr>
          <w:rFonts w:hint="default" w:ascii="Times New Roman" w:hAnsi="Times New Roman" w:cs="Times New Roman"/>
          <w:color w:val="FF0000"/>
          <w:sz w:val="21"/>
          <w:szCs w:val="21"/>
          <w:lang w:bidi="ar"/>
        </w:rPr>
        <w:t>指标j在第t年的冗余度</w:t>
      </w:r>
      <w:r>
        <w:rPr>
          <w:rFonts w:hint="eastAsia" w:ascii="Times New Roman" w:hAnsi="Times New Roman" w:cs="Times New Roman"/>
          <w:color w:val="FF0000"/>
          <w:sz w:val="21"/>
          <w:szCs w:val="21"/>
          <w:lang w:val="en-US" w:eastAsia="zh-CN" w:bidi="ar"/>
        </w:rPr>
        <w:t>,</w:t>
      </w:r>
      <w:r>
        <w:rPr>
          <w:rFonts w:hint="default" w:ascii="Times New Roman" w:hAnsi="Times New Roman" w:cs="Times New Roman"/>
          <w:color w:val="FF0000"/>
          <w:sz w:val="21"/>
          <w:szCs w:val="21"/>
          <w:lang w:bidi="ar"/>
        </w:rPr>
        <w:t xml:space="preserve"> </w:t>
      </w:r>
      <m:oMath>
        <m:sSubSup>
          <m:sSubSupPr>
            <m:ctrlPr>
              <w:rPr>
                <w:rFonts w:hint="default" w:ascii="Cambria Math" w:hAnsi="Cambria Math" w:cs="Times New Roman"/>
                <w:color w:val="FF0000"/>
                <w:sz w:val="21"/>
                <w:szCs w:val="21"/>
                <w:lang w:bidi="ar"/>
              </w:rPr>
            </m:ctrlPr>
          </m:sSubSupPr>
          <m:e>
            <m:r>
              <m:rPr>
                <m:sty m:val="p"/>
              </m:rPr>
              <w:rPr>
                <w:rFonts w:hint="default" w:ascii="Cambria Math" w:hAnsi="Cambria Math" w:cs="Times New Roman"/>
                <w:color w:val="FF0000"/>
                <w:sz w:val="21"/>
                <w:szCs w:val="21"/>
                <w:lang w:bidi="ar"/>
              </w:rPr>
              <m:t>w</m:t>
            </m:r>
            <m:ctrlPr>
              <w:rPr>
                <w:rFonts w:hint="default" w:ascii="Cambria Math" w:hAnsi="Cambria Math" w:cs="Times New Roman"/>
                <w:color w:val="FF0000"/>
                <w:sz w:val="21"/>
                <w:szCs w:val="21"/>
                <w:lang w:bidi="ar"/>
              </w:rPr>
            </m:ctrlPr>
          </m:e>
          <m:sub>
            <m:r>
              <m:rPr>
                <m:sty m:val="p"/>
              </m:rPr>
              <w:rPr>
                <w:rFonts w:hint="default" w:ascii="Cambria Math" w:hAnsi="Cambria Math" w:cs="Times New Roman"/>
                <w:color w:val="FF0000"/>
                <w:sz w:val="21"/>
                <w:szCs w:val="21"/>
                <w:lang w:bidi="ar"/>
              </w:rPr>
              <m:t>j</m:t>
            </m:r>
            <m:ctrlPr>
              <w:rPr>
                <w:rFonts w:hint="default" w:ascii="Cambria Math" w:hAnsi="Cambria Math" w:cs="Times New Roman"/>
                <w:color w:val="FF0000"/>
                <w:sz w:val="21"/>
                <w:szCs w:val="21"/>
                <w:lang w:bidi="ar"/>
              </w:rPr>
            </m:ctrlPr>
          </m:sub>
          <m:sup>
            <m:r>
              <m:rPr>
                <m:sty m:val="p"/>
              </m:rPr>
              <w:rPr>
                <w:rFonts w:hint="default" w:ascii="Cambria Math" w:hAnsi="Cambria Math" w:cs="Times New Roman"/>
                <w:color w:val="FF0000"/>
                <w:sz w:val="21"/>
                <w:szCs w:val="21"/>
                <w:lang w:bidi="ar"/>
              </w:rPr>
              <m:t>t</m:t>
            </m:r>
            <m:ctrlPr>
              <w:rPr>
                <w:rFonts w:hint="default" w:ascii="Cambria Math" w:hAnsi="Cambria Math" w:cs="Times New Roman"/>
                <w:color w:val="FF0000"/>
                <w:sz w:val="21"/>
                <w:szCs w:val="21"/>
                <w:lang w:bidi="ar"/>
              </w:rPr>
            </m:ctrlPr>
          </m:sup>
        </m:sSubSup>
      </m:oMath>
      <w:r>
        <w:rPr>
          <w:rFonts w:hint="default" w:ascii="Times New Roman" w:hAnsi="Times New Roman" w:cs="Times New Roman"/>
          <w:color w:val="FF0000"/>
          <w:sz w:val="21"/>
          <w:szCs w:val="21"/>
          <w:lang w:bidi="ar"/>
        </w:rPr>
        <w:t>指标 j在第t年的熵权。</w:t>
      </w:r>
    </w:p>
    <w:p w14:paraId="2A69C274">
      <w:pPr>
        <w:keepNext w:val="0"/>
        <w:keepLines w:val="0"/>
        <w:widowControl/>
        <w:suppressLineNumbers w:val="0"/>
        <w:ind w:firstLine="420" w:firstLineChars="200"/>
        <w:jc w:val="left"/>
        <w:rPr>
          <w:rFonts w:hint="default" w:hAnsi="Cambria Math"/>
          <w:i w:val="0"/>
          <w:color w:val="FF0000"/>
          <w:sz w:val="21"/>
          <w:lang w:val="en-US" w:eastAsia="zh-CN"/>
        </w:rPr>
      </w:pPr>
      <w:r>
        <w:rPr>
          <w:rFonts w:hint="eastAsia" w:hAnsi="Cambria Math"/>
          <w:i w:val="0"/>
          <w:color w:val="FF0000"/>
          <w:sz w:val="21"/>
          <w:lang w:val="en-US" w:eastAsia="zh-CN"/>
        </w:rPr>
        <w:t>第三步，收集专家对指标的排序</w:t>
      </w:r>
      <m:oMath>
        <m:r>
          <m:rPr/>
          <w:rPr>
            <w:rFonts w:hint="default" w:ascii="Cambria Math" w:hAnsi="Cambria Math"/>
            <w:color w:val="FF0000"/>
            <w:sz w:val="21"/>
          </w:rPr>
          <m:t>[</m:t>
        </m:r>
        <m:sSub>
          <m:sSubPr>
            <m:ctrlPr>
              <w:rPr>
                <w:rFonts w:hint="default" w:ascii="Cambria Math" w:hAnsi="Cambria Math"/>
                <w:color w:val="FF0000"/>
                <w:sz w:val="21"/>
              </w:rPr>
            </m:ctrlPr>
          </m:sSubPr>
          <m:e>
            <m:r>
              <m:rPr/>
              <w:rPr>
                <w:rFonts w:hint="default" w:ascii="Cambria Math" w:hAnsi="Cambria Math"/>
                <w:color w:val="FF0000"/>
                <w:sz w:val="21"/>
              </w:rPr>
              <m:t>b</m:t>
            </m:r>
            <m:ctrlPr>
              <w:rPr>
                <w:rFonts w:ascii="Cambria Math" w:hAnsi="Cambria Math"/>
                <w:color w:val="FF0000"/>
                <w:sz w:val="21"/>
              </w:rPr>
            </m:ctrlPr>
          </m:e>
          <m:sub>
            <m:r>
              <m:rPr/>
              <w:rPr>
                <w:rFonts w:hint="default" w:ascii="Cambria Math" w:hAnsi="Cambria Math"/>
                <w:color w:val="FF0000"/>
                <w:sz w:val="21"/>
              </w:rPr>
              <m:t>ij</m:t>
            </m:r>
            <m:ctrlPr>
              <w:rPr>
                <w:rFonts w:ascii="Cambria Math" w:hAnsi="Cambria Math"/>
                <w:color w:val="FF0000"/>
                <w:sz w:val="21"/>
              </w:rPr>
            </m:ctrlPr>
          </m:sub>
        </m:sSub>
        <m:r>
          <m:rPr/>
          <w:rPr>
            <w:rFonts w:hint="default" w:ascii="Cambria Math" w:hAnsi="Cambria Math"/>
            <w:color w:val="FF0000"/>
            <w:sz w:val="21"/>
          </w:rPr>
          <m:t>]</m:t>
        </m:r>
      </m:oMath>
      <w:r>
        <m:rPr/>
        <w:rPr>
          <w:rFonts w:hint="eastAsia" w:hAnsi="Cambria Math"/>
          <w:i w:val="0"/>
          <w:color w:val="FF0000"/>
          <w:sz w:val="21"/>
          <w:lang w:val="en-US" w:eastAsia="zh-CN"/>
        </w:rPr>
        <w:t>和专家排序</w:t>
      </w:r>
      <m:oMath>
        <m:r>
          <m:rPr/>
          <w:rPr>
            <w:rFonts w:hint="default" w:ascii="Cambria Math" w:hAnsi="Cambria Math"/>
            <w:color w:val="FF0000"/>
            <w:sz w:val="21"/>
          </w:rPr>
          <m:t>[</m:t>
        </m:r>
        <m:sSub>
          <m:sSubPr>
            <m:ctrlPr>
              <w:rPr>
                <w:rFonts w:hint="default" w:ascii="Cambria Math" w:hAnsi="Cambria Math"/>
                <w:color w:val="FF0000"/>
                <w:sz w:val="21"/>
              </w:rPr>
            </m:ctrlPr>
          </m:sSubPr>
          <m:e>
            <m:r>
              <m:rPr/>
              <w:rPr>
                <w:rFonts w:hint="default" w:ascii="Cambria Math" w:hAnsi="Cambria Math"/>
                <w:color w:val="FF0000"/>
                <w:sz w:val="21"/>
              </w:rPr>
              <m:t>a</m:t>
            </m:r>
            <m:ctrlPr>
              <w:rPr>
                <w:rFonts w:ascii="Cambria Math" w:hAnsi="Cambria Math"/>
                <w:color w:val="FF0000"/>
                <w:sz w:val="21"/>
              </w:rPr>
            </m:ctrlPr>
          </m:e>
          <m:sub>
            <m:r>
              <m:rPr/>
              <w:rPr>
                <w:rFonts w:hint="default" w:ascii="Cambria Math" w:hAnsi="Cambria Math"/>
                <w:color w:val="FF0000"/>
                <w:sz w:val="21"/>
              </w:rPr>
              <m:t>i</m:t>
            </m:r>
            <m:ctrlPr>
              <w:rPr>
                <w:rFonts w:ascii="Cambria Math" w:hAnsi="Cambria Math"/>
                <w:color w:val="FF0000"/>
                <w:sz w:val="21"/>
              </w:rPr>
            </m:ctrlPr>
          </m:sub>
        </m:sSub>
        <m:r>
          <m:rPr/>
          <w:rPr>
            <w:rFonts w:hint="default" w:ascii="Cambria Math" w:hAnsi="Cambria Math"/>
            <w:color w:val="FF0000"/>
            <w:sz w:val="21"/>
          </w:rPr>
          <m:t>]</m:t>
        </m:r>
      </m:oMath>
      <w:r>
        <w:rPr>
          <w:rFonts w:hint="eastAsia" w:hAnsi="Cambria Math"/>
          <w:i w:val="0"/>
          <w:color w:val="FF0000"/>
          <w:sz w:val="21"/>
          <w:lang w:val="en-US" w:eastAsia="zh-CN"/>
        </w:rPr>
        <w:t>。假设有I个专家，专家对指标进行排序，得到排序矩阵</w:t>
      </w:r>
      <m:oMath>
        <m:r>
          <m:rPr/>
          <w:rPr>
            <w:rFonts w:hint="default" w:ascii="Cambria Math" w:hAnsi="Cambria Math"/>
            <w:color w:val="FF0000"/>
            <w:sz w:val="21"/>
          </w:rPr>
          <m:t>[</m:t>
        </m:r>
        <m:sSub>
          <m:sSubPr>
            <m:ctrlPr>
              <w:rPr>
                <w:rFonts w:hint="default" w:ascii="Cambria Math" w:hAnsi="Cambria Math"/>
                <w:color w:val="FF0000"/>
                <w:sz w:val="21"/>
              </w:rPr>
            </m:ctrlPr>
          </m:sSubPr>
          <m:e>
            <m:r>
              <m:rPr/>
              <w:rPr>
                <w:rFonts w:hint="default" w:ascii="Cambria Math" w:hAnsi="Cambria Math"/>
                <w:color w:val="FF0000"/>
                <w:sz w:val="21"/>
              </w:rPr>
              <m:t>b</m:t>
            </m:r>
            <m:ctrlPr>
              <w:rPr>
                <w:rFonts w:ascii="Cambria Math" w:hAnsi="Cambria Math"/>
                <w:color w:val="FF0000"/>
                <w:sz w:val="21"/>
              </w:rPr>
            </m:ctrlPr>
          </m:e>
          <m:sub>
            <m:r>
              <m:rPr/>
              <w:rPr>
                <w:rFonts w:hint="default" w:ascii="Cambria Math" w:hAnsi="Cambria Math"/>
                <w:color w:val="FF0000"/>
                <w:sz w:val="21"/>
              </w:rPr>
              <m:t>ij</m:t>
            </m:r>
            <m:ctrlPr>
              <w:rPr>
                <w:rFonts w:ascii="Cambria Math" w:hAnsi="Cambria Math"/>
                <w:color w:val="FF0000"/>
                <w:sz w:val="21"/>
              </w:rPr>
            </m:ctrlPr>
          </m:sub>
        </m:sSub>
        <m:r>
          <m:rPr/>
          <w:rPr>
            <w:rFonts w:hint="default" w:ascii="Cambria Math" w:hAnsi="Cambria Math"/>
            <w:color w:val="FF0000"/>
            <w:sz w:val="21"/>
          </w:rPr>
          <m:t>]</m:t>
        </m:r>
      </m:oMath>
      <w:r>
        <w:rPr>
          <w:rFonts w:hint="eastAsia" w:hAnsi="Cambria Math"/>
          <w:i w:val="0"/>
          <w:color w:val="FF0000"/>
          <w:sz w:val="21"/>
          <w:lang w:val="en-US" w:eastAsia="zh-CN"/>
        </w:rPr>
        <w:t>,其中</w:t>
      </w:r>
      <m:oMath>
        <m:sSub>
          <m:sSubPr>
            <m:ctrlPr>
              <w:rPr>
                <w:rFonts w:hint="default" w:ascii="Cambria Math" w:hAnsi="Cambria Math"/>
                <w:color w:val="FF0000"/>
                <w:sz w:val="21"/>
              </w:rPr>
            </m:ctrlPr>
          </m:sSubPr>
          <m:e>
            <m:r>
              <m:rPr/>
              <w:rPr>
                <w:rFonts w:hint="default" w:ascii="Cambria Math" w:hAnsi="Cambria Math"/>
                <w:color w:val="FF0000"/>
                <w:sz w:val="21"/>
              </w:rPr>
              <m:t>b</m:t>
            </m:r>
            <m:ctrlPr>
              <w:rPr>
                <w:rFonts w:ascii="Cambria Math" w:hAnsi="Cambria Math"/>
                <w:color w:val="FF0000"/>
                <w:sz w:val="21"/>
              </w:rPr>
            </m:ctrlPr>
          </m:e>
          <m:sub>
            <m:r>
              <m:rPr/>
              <w:rPr>
                <w:rFonts w:hint="default" w:ascii="Cambria Math" w:hAnsi="Cambria Math"/>
                <w:color w:val="FF0000"/>
                <w:sz w:val="21"/>
              </w:rPr>
              <m:t>ij</m:t>
            </m:r>
            <m:ctrlPr>
              <w:rPr>
                <w:rFonts w:ascii="Cambria Math" w:hAnsi="Cambria Math"/>
                <w:color w:val="FF0000"/>
                <w:sz w:val="21"/>
              </w:rPr>
            </m:ctrlPr>
          </m:sub>
        </m:sSub>
        <m:r>
          <m:rPr/>
          <w:rPr>
            <w:rFonts w:hint="default" w:ascii="Cambria Math" w:hAnsi="Cambria Math"/>
            <w:color w:val="FF0000"/>
            <w:sz w:val="21"/>
          </w:rPr>
          <m:t>∈{1,2,⋯,J}</m:t>
        </m:r>
      </m:oMath>
      <w:r>
        <w:rPr>
          <w:rFonts w:hint="eastAsia" w:hAnsi="Cambria Math"/>
          <w:i w:val="0"/>
          <w:color w:val="FF0000"/>
          <w:sz w:val="21"/>
          <w:lang w:val="en-US" w:eastAsia="zh-CN"/>
        </w:rPr>
        <w:t>.同时决策者根据专家的从业时长，专业程度，知识储备对专家进行排序，得到排序向量</w:t>
      </w:r>
      <m:oMath>
        <m:r>
          <m:rPr/>
          <w:rPr>
            <w:rFonts w:hint="default" w:ascii="Cambria Math" w:hAnsi="Cambria Math"/>
            <w:color w:val="FF0000"/>
            <w:sz w:val="21"/>
          </w:rPr>
          <m:t>[</m:t>
        </m:r>
        <m:sSub>
          <m:sSubPr>
            <m:ctrlPr>
              <w:rPr>
                <w:rFonts w:hint="default" w:ascii="Cambria Math" w:hAnsi="Cambria Math"/>
                <w:color w:val="FF0000"/>
                <w:sz w:val="21"/>
              </w:rPr>
            </m:ctrlPr>
          </m:sSubPr>
          <m:e>
            <m:r>
              <m:rPr/>
              <w:rPr>
                <w:rFonts w:hint="default" w:ascii="Cambria Math" w:hAnsi="Cambria Math"/>
                <w:color w:val="FF0000"/>
                <w:sz w:val="21"/>
              </w:rPr>
              <m:t>a</m:t>
            </m:r>
            <m:ctrlPr>
              <w:rPr>
                <w:rFonts w:ascii="Cambria Math" w:hAnsi="Cambria Math"/>
                <w:color w:val="FF0000"/>
                <w:sz w:val="21"/>
              </w:rPr>
            </m:ctrlPr>
          </m:e>
          <m:sub>
            <m:r>
              <m:rPr/>
              <w:rPr>
                <w:rFonts w:hint="default" w:ascii="Cambria Math" w:hAnsi="Cambria Math"/>
                <w:color w:val="FF0000"/>
                <w:sz w:val="21"/>
              </w:rPr>
              <m:t>i</m:t>
            </m:r>
            <m:ctrlPr>
              <w:rPr>
                <w:rFonts w:ascii="Cambria Math" w:hAnsi="Cambria Math"/>
                <w:color w:val="FF0000"/>
                <w:sz w:val="21"/>
              </w:rPr>
            </m:ctrlPr>
          </m:sub>
        </m:sSub>
        <m:r>
          <m:rPr/>
          <w:rPr>
            <w:rFonts w:hint="default" w:ascii="Cambria Math" w:hAnsi="Cambria Math"/>
            <w:color w:val="FF0000"/>
            <w:sz w:val="21"/>
          </w:rPr>
          <m:t>]</m:t>
        </m:r>
      </m:oMath>
      <w:r>
        <w:rPr>
          <w:rFonts w:hint="eastAsia" w:hAnsi="Cambria Math"/>
          <w:i w:val="0"/>
          <w:color w:val="FF0000"/>
          <w:sz w:val="21"/>
          <w:lang w:val="en-US" w:eastAsia="zh-CN"/>
        </w:rPr>
        <w:t>,其中</w:t>
      </w:r>
      <m:oMath>
        <m:sSub>
          <m:sSubPr>
            <m:ctrlPr>
              <w:rPr>
                <w:rFonts w:hint="default" w:ascii="Cambria Math" w:hAnsi="Cambria Math"/>
                <w:color w:val="FF0000"/>
                <w:sz w:val="21"/>
              </w:rPr>
            </m:ctrlPr>
          </m:sSubPr>
          <m:e>
            <m:r>
              <m:rPr/>
              <w:rPr>
                <w:rFonts w:hint="default" w:ascii="Cambria Math" w:hAnsi="Cambria Math"/>
                <w:color w:val="FF0000"/>
                <w:sz w:val="21"/>
              </w:rPr>
              <m:t>a</m:t>
            </m:r>
            <m:ctrlPr>
              <w:rPr>
                <w:rFonts w:ascii="Cambria Math" w:hAnsi="Cambria Math"/>
                <w:color w:val="FF0000"/>
                <w:sz w:val="21"/>
              </w:rPr>
            </m:ctrlPr>
          </m:e>
          <m:sub>
            <m:r>
              <m:rPr/>
              <w:rPr>
                <w:rFonts w:hint="default" w:ascii="Cambria Math" w:hAnsi="Cambria Math"/>
                <w:color w:val="FF0000"/>
                <w:sz w:val="21"/>
              </w:rPr>
              <m:t>i</m:t>
            </m:r>
            <m:ctrlPr>
              <w:rPr>
                <w:rFonts w:ascii="Cambria Math" w:hAnsi="Cambria Math"/>
                <w:color w:val="FF0000"/>
                <w:sz w:val="21"/>
              </w:rPr>
            </m:ctrlPr>
          </m:sub>
        </m:sSub>
        <m:r>
          <m:rPr/>
          <w:rPr>
            <w:rFonts w:hint="default" w:ascii="Cambria Math" w:hAnsi="Cambria Math"/>
            <w:color w:val="FF0000"/>
            <w:sz w:val="21"/>
          </w:rPr>
          <m:t>∈{1,2,⋯,I}</m:t>
        </m:r>
      </m:oMath>
      <w:r>
        <w:rPr>
          <w:rFonts w:hint="eastAsia" w:hAnsi="Cambria Math"/>
          <w:i w:val="0"/>
          <w:color w:val="FF0000"/>
          <w:sz w:val="21"/>
          <w:lang w:val="en-US" w:eastAsia="zh-CN"/>
        </w:rPr>
        <w:t>.</w:t>
      </w:r>
    </w:p>
    <w:p w14:paraId="3CDC4AD0">
      <w:pPr>
        <w:keepNext w:val="0"/>
        <w:keepLines w:val="0"/>
        <w:widowControl/>
        <w:suppressLineNumbers w:val="0"/>
        <w:ind w:firstLine="420" w:firstLineChars="200"/>
        <w:jc w:val="left"/>
        <w:rPr>
          <w:rFonts w:hint="default" w:hAnsi="Cambria Math" w:cstheme="minorBidi"/>
          <w:i w:val="0"/>
          <w:color w:val="FF0000"/>
          <w:kern w:val="2"/>
          <w:sz w:val="21"/>
          <w:szCs w:val="24"/>
          <w:lang w:val="en-US" w:eastAsia="zh-CN" w:bidi="ar-SA"/>
        </w:rPr>
      </w:pPr>
      <w:r>
        <w:rPr>
          <w:rFonts w:hint="eastAsia" w:hAnsi="Cambria Math" w:cstheme="minorBidi"/>
          <w:i w:val="0"/>
          <w:color w:val="FF0000"/>
          <w:kern w:val="2"/>
          <w:sz w:val="21"/>
          <w:szCs w:val="24"/>
          <w:lang w:val="en-US" w:eastAsia="zh-CN" w:bidi="ar-SA"/>
        </w:rPr>
        <w:t>第四步，求解指标权重</w:t>
      </w:r>
      <w:r>
        <m:rPr/>
        <w:rPr>
          <w:rFonts w:hint="eastAsia" w:hAnsi="Cambria Math" w:cstheme="minorBidi"/>
          <w:i w:val="0"/>
          <w:color w:val="FF0000"/>
          <w:kern w:val="2"/>
          <w:sz w:val="21"/>
          <w:szCs w:val="24"/>
          <w:lang w:val="en-US" w:eastAsia="zh-CN" w:bidi="ar-SA"/>
        </w:rPr>
        <w:t>.</w:t>
      </w:r>
      <w:r>
        <w:rPr>
          <w:rFonts w:hint="eastAsia" w:hAnsi="Cambria Math" w:cstheme="minorBidi"/>
          <w:i w:val="0"/>
          <w:color w:val="FF0000"/>
          <w:kern w:val="2"/>
          <w:sz w:val="21"/>
          <w:szCs w:val="24"/>
          <w:lang w:val="en-US" w:eastAsia="zh-CN" w:bidi="ar-SA"/>
        </w:rPr>
        <w:t>为在保持主客观融合权重变化范围可控的前提下最大化指标加权差异，建立如下优化模型，</w:t>
      </w:r>
    </w:p>
    <w:p w14:paraId="31C0767E">
      <w:pPr>
        <w:keepNext w:val="0"/>
        <w:keepLines w:val="0"/>
        <w:widowControl/>
        <w:suppressLineNumbers w:val="0"/>
        <w:jc w:val="left"/>
        <w:rPr>
          <w:rFonts w:hAnsi="Cambria Math"/>
          <w:i w:val="0"/>
          <w:color w:val="FF0000"/>
          <w:sz w:val="21"/>
        </w:rPr>
      </w:pPr>
      <m:oMathPara>
        <m:oMath>
          <m:m>
            <m:mPr>
              <m:mcs>
                <m:mc>
                  <m:mcPr>
                    <m:count m:val="2"/>
                    <m:mcJc m:val="left"/>
                  </m:mcPr>
                </m:mc>
              </m:mcs>
              <m:plcHide m:val="1"/>
              <m:ctrlPr>
                <w:rPr>
                  <w:rFonts w:hint="default" w:ascii="Cambria Math" w:hAnsi="Cambria Math"/>
                  <w:color w:val="FF0000"/>
                  <w:sz w:val="21"/>
                </w:rPr>
              </m:ctrlPr>
            </m:mPr>
            <m:mr>
              <m:e>
                <m:r>
                  <m:rPr>
                    <m:sty m:val="p"/>
                  </m:rPr>
                  <w:rPr>
                    <w:rFonts w:hint="default" w:ascii="Cambria Math" w:hAnsi="Cambria Math"/>
                    <w:color w:val="FF0000"/>
                    <w:sz w:val="21"/>
                    <w:lang w:val="en-US" w:eastAsia="zh-CN"/>
                  </w:rPr>
                  <m:t>max</m:t>
                </m:r>
                <m:ctrlPr>
                  <w:rPr>
                    <w:rFonts w:hint="default" w:ascii="Cambria Math" w:hAnsi="Cambria Math"/>
                    <w:color w:val="FF0000"/>
                    <w:sz w:val="21"/>
                  </w:rPr>
                </m:ctrlPr>
              </m:e>
              <m:e>
                <m:r>
                  <m:rPr/>
                  <w:rPr>
                    <w:rFonts w:hint="default" w:ascii="Cambria Math" w:hAnsi="Cambria Math"/>
                    <w:color w:val="FF0000"/>
                    <w:sz w:val="21"/>
                  </w:rPr>
                  <m:t>z</m:t>
                </m:r>
                <m:ctrlPr>
                  <w:rPr>
                    <w:rFonts w:hint="default" w:ascii="Cambria Math" w:hAnsi="Cambria Math"/>
                    <w:color w:val="FF0000"/>
                    <w:sz w:val="21"/>
                  </w:rPr>
                </m:ctrlPr>
              </m:e>
            </m:mr>
            <m:mr>
              <m:e>
                <m:r>
                  <m:rPr>
                    <m:sty m:val="p"/>
                  </m:rPr>
                  <w:rPr>
                    <w:rFonts w:hint="default" w:ascii="Cambria Math" w:hAnsi="Cambria Math"/>
                    <w:color w:val="FF0000"/>
                    <w:sz w:val="21"/>
                  </w:rPr>
                  <m:t>s.t.</m:t>
                </m:r>
                <m:ctrlPr>
                  <w:rPr>
                    <w:rFonts w:hint="default" w:ascii="Cambria Math" w:hAnsi="Cambria Math"/>
                    <w:color w:val="FF0000"/>
                    <w:sz w:val="21"/>
                  </w:rPr>
                </m:ctrlPr>
              </m:e>
              <m:e>
                <m:r>
                  <m:rPr/>
                  <w:rPr>
                    <w:rFonts w:hint="default" w:ascii="Cambria Math" w:hAnsi="Cambria Math"/>
                    <w:color w:val="FF0000"/>
                    <w:sz w:val="21"/>
                  </w:rPr>
                  <m:t>z≤</m:t>
                </m:r>
                <m:sSub>
                  <m:sSubPr>
                    <m:ctrlPr>
                      <w:rPr>
                        <w:rFonts w:hint="default" w:ascii="Cambria Math" w:hAnsi="Cambria Math"/>
                        <w:color w:val="FF0000"/>
                        <w:sz w:val="21"/>
                      </w:rPr>
                    </m:ctrlPr>
                  </m:sSubPr>
                  <m:e>
                    <m:r>
                      <m:rPr/>
                      <w:rPr>
                        <w:rFonts w:hint="default" w:ascii="Cambria Math" w:hAnsi="Cambria Math"/>
                        <w:color w:val="FF0000"/>
                        <w:sz w:val="21"/>
                      </w:rPr>
                      <m:t>a</m:t>
                    </m:r>
                    <m:ctrlPr>
                      <w:rPr>
                        <w:rFonts w:ascii="Cambria Math" w:hAnsi="Cambria Math"/>
                        <w:color w:val="FF0000"/>
                        <w:sz w:val="21"/>
                      </w:rPr>
                    </m:ctrlPr>
                  </m:e>
                  <m:sub>
                    <m:r>
                      <m:rPr/>
                      <w:rPr>
                        <w:rFonts w:hint="default" w:ascii="Cambria Math" w:hAnsi="Cambria Math"/>
                        <w:color w:val="FF0000"/>
                        <w:sz w:val="21"/>
                      </w:rPr>
                      <m:t>i</m:t>
                    </m:r>
                    <m:ctrlPr>
                      <w:rPr>
                        <w:rFonts w:ascii="Cambria Math" w:hAnsi="Cambria Math"/>
                        <w:color w:val="FF0000"/>
                        <w:sz w:val="21"/>
                      </w:rPr>
                    </m:ctrlPr>
                  </m:sub>
                </m:sSub>
                <m:sSub>
                  <m:sSubPr>
                    <m:ctrlPr>
                      <w:rPr>
                        <w:rFonts w:hint="default" w:ascii="Cambria Math" w:hAnsi="Cambria Math"/>
                        <w:color w:val="FF0000"/>
                        <w:sz w:val="21"/>
                      </w:rPr>
                    </m:ctrlPr>
                  </m:sSubPr>
                  <m:e>
                    <m:r>
                      <m:rPr/>
                      <w:rPr>
                        <w:rFonts w:hint="default" w:ascii="Cambria Math" w:hAnsi="Cambria Math"/>
                        <w:color w:val="FF0000"/>
                        <w:sz w:val="21"/>
                      </w:rPr>
                      <m:t>b</m:t>
                    </m:r>
                    <m:ctrlPr>
                      <w:rPr>
                        <w:rFonts w:ascii="Cambria Math" w:hAnsi="Cambria Math"/>
                        <w:color w:val="FF0000"/>
                        <w:sz w:val="21"/>
                      </w:rPr>
                    </m:ctrlPr>
                  </m:e>
                  <m:sub>
                    <m:r>
                      <m:rPr/>
                      <w:rPr>
                        <w:rFonts w:hint="default" w:ascii="Cambria Math" w:hAnsi="Cambria Math"/>
                        <w:color w:val="FF0000"/>
                        <w:sz w:val="21"/>
                      </w:rPr>
                      <m:t>ij</m:t>
                    </m:r>
                    <m:ctrlPr>
                      <w:rPr>
                        <w:rFonts w:ascii="Cambria Math" w:hAnsi="Cambria Math"/>
                        <w:color w:val="FF0000"/>
                        <w:sz w:val="21"/>
                      </w:rPr>
                    </m:ctrlPr>
                  </m:sub>
                </m:sSub>
                <m:r>
                  <m:rPr/>
                  <w:rPr>
                    <w:rFonts w:hint="default" w:ascii="Cambria Math" w:hAnsi="Cambria Math"/>
                    <w:color w:val="FF0000"/>
                    <w:sz w:val="21"/>
                  </w:rPr>
                  <m:t>(</m:t>
                </m:r>
                <m:sSub>
                  <m:sSubPr>
                    <m:ctrlPr>
                      <w:rPr>
                        <w:rFonts w:hint="default" w:ascii="Cambria Math" w:hAnsi="Cambria Math"/>
                        <w:color w:val="FF0000"/>
                        <w:sz w:val="21"/>
                      </w:rPr>
                    </m:ctrlPr>
                  </m:sSubPr>
                  <m:e>
                    <m:r>
                      <m:rPr/>
                      <w:rPr>
                        <w:rFonts w:hint="default" w:ascii="Cambria Math" w:hAnsi="Cambria Math"/>
                        <w:color w:val="FF0000"/>
                        <w:sz w:val="21"/>
                      </w:rPr>
                      <m:t>x</m:t>
                    </m:r>
                    <m:ctrlPr>
                      <w:rPr>
                        <w:rFonts w:ascii="Cambria Math" w:hAnsi="Cambria Math"/>
                        <w:color w:val="FF0000"/>
                        <w:sz w:val="21"/>
                      </w:rPr>
                    </m:ctrlPr>
                  </m:e>
                  <m:sub>
                    <m:r>
                      <m:rPr/>
                      <w:rPr>
                        <w:rFonts w:hint="default" w:ascii="Cambria Math" w:hAnsi="Cambria Math"/>
                        <w:color w:val="FF0000"/>
                        <w:sz w:val="21"/>
                      </w:rPr>
                      <m:t>ij</m:t>
                    </m:r>
                    <m:ctrlPr>
                      <w:rPr>
                        <w:rFonts w:ascii="Cambria Math" w:hAnsi="Cambria Math"/>
                        <w:color w:val="FF0000"/>
                        <w:sz w:val="21"/>
                      </w:rPr>
                    </m:ctrlPr>
                  </m:sub>
                </m:sSub>
                <m:r>
                  <m:rPr/>
                  <w:rPr>
                    <w:rFonts w:hint="default" w:ascii="Cambria Math" w:hAnsi="Cambria Math"/>
                    <w:color w:val="FF0000"/>
                    <w:sz w:val="21"/>
                  </w:rPr>
                  <m:t>−</m:t>
                </m:r>
                <m:sSub>
                  <m:sSubPr>
                    <m:ctrlPr>
                      <w:rPr>
                        <w:rFonts w:hint="default" w:ascii="Cambria Math" w:hAnsi="Cambria Math"/>
                        <w:color w:val="FF0000"/>
                        <w:sz w:val="21"/>
                      </w:rPr>
                    </m:ctrlPr>
                  </m:sSubPr>
                  <m:e>
                    <m:r>
                      <m:rPr/>
                      <w:rPr>
                        <w:rFonts w:hint="default" w:ascii="Cambria Math" w:hAnsi="Cambria Math"/>
                        <w:color w:val="FF0000"/>
                        <w:sz w:val="21"/>
                      </w:rPr>
                      <m:t>x</m:t>
                    </m:r>
                    <m:ctrlPr>
                      <w:rPr>
                        <w:rFonts w:ascii="Cambria Math" w:hAnsi="Cambria Math"/>
                        <w:color w:val="FF0000"/>
                        <w:sz w:val="21"/>
                      </w:rPr>
                    </m:ctrlPr>
                  </m:e>
                  <m:sub>
                    <m:r>
                      <m:rPr/>
                      <w:rPr>
                        <w:rFonts w:hint="default" w:ascii="Cambria Math" w:hAnsi="Cambria Math"/>
                        <w:color w:val="FF0000"/>
                        <w:sz w:val="21"/>
                      </w:rPr>
                      <m:t>il</m:t>
                    </m:r>
                    <m:ctrlPr>
                      <w:rPr>
                        <w:rFonts w:ascii="Cambria Math" w:hAnsi="Cambria Math"/>
                        <w:color w:val="FF0000"/>
                        <w:sz w:val="21"/>
                      </w:rPr>
                    </m:ctrlPr>
                  </m:sub>
                </m:sSub>
                <m:r>
                  <m:rPr/>
                  <w:rPr>
                    <w:rFonts w:hint="default" w:ascii="Cambria Math" w:hAnsi="Cambria Math"/>
                    <w:color w:val="FF0000"/>
                    <w:sz w:val="21"/>
                  </w:rPr>
                  <m:t>),∀i∈{1,⋯,I},j,l∈{1,⋯,J},</m:t>
                </m:r>
                <m:sSub>
                  <m:sSubPr>
                    <m:ctrlPr>
                      <w:rPr>
                        <w:rFonts w:hint="default" w:ascii="Cambria Math" w:hAnsi="Cambria Math"/>
                        <w:color w:val="FF0000"/>
                        <w:sz w:val="21"/>
                      </w:rPr>
                    </m:ctrlPr>
                  </m:sSubPr>
                  <m:e>
                    <m:r>
                      <m:rPr/>
                      <w:rPr>
                        <w:rFonts w:hint="default" w:ascii="Cambria Math" w:hAnsi="Cambria Math"/>
                        <w:color w:val="FF0000"/>
                        <w:sz w:val="21"/>
                      </w:rPr>
                      <m:t>b</m:t>
                    </m:r>
                    <m:ctrlPr>
                      <w:rPr>
                        <w:rFonts w:ascii="Cambria Math" w:hAnsi="Cambria Math"/>
                        <w:color w:val="FF0000"/>
                        <w:sz w:val="21"/>
                      </w:rPr>
                    </m:ctrlPr>
                  </m:e>
                  <m:sub>
                    <m:r>
                      <m:rPr/>
                      <w:rPr>
                        <w:rFonts w:hint="default" w:ascii="Cambria Math" w:hAnsi="Cambria Math"/>
                        <w:color w:val="FF0000"/>
                        <w:sz w:val="21"/>
                      </w:rPr>
                      <m:t>il</m:t>
                    </m:r>
                    <m:ctrlPr>
                      <w:rPr>
                        <w:rFonts w:ascii="Cambria Math" w:hAnsi="Cambria Math"/>
                        <w:color w:val="FF0000"/>
                        <w:sz w:val="21"/>
                      </w:rPr>
                    </m:ctrlPr>
                  </m:sub>
                </m:sSub>
                <m:r>
                  <m:rPr/>
                  <w:rPr>
                    <w:rFonts w:hint="default" w:ascii="Cambria Math" w:hAnsi="Cambria Math"/>
                    <w:color w:val="FF0000"/>
                    <w:sz w:val="21"/>
                  </w:rPr>
                  <m:t>&gt;</m:t>
                </m:r>
                <m:sSub>
                  <m:sSubPr>
                    <m:ctrlPr>
                      <w:rPr>
                        <w:rFonts w:hint="default" w:ascii="Cambria Math" w:hAnsi="Cambria Math"/>
                        <w:color w:val="FF0000"/>
                        <w:sz w:val="21"/>
                      </w:rPr>
                    </m:ctrlPr>
                  </m:sSubPr>
                  <m:e>
                    <m:r>
                      <m:rPr/>
                      <w:rPr>
                        <w:rFonts w:hint="default" w:ascii="Cambria Math" w:hAnsi="Cambria Math"/>
                        <w:color w:val="FF0000"/>
                        <w:sz w:val="21"/>
                      </w:rPr>
                      <m:t>b</m:t>
                    </m:r>
                    <m:ctrlPr>
                      <w:rPr>
                        <w:rFonts w:ascii="Cambria Math" w:hAnsi="Cambria Math"/>
                        <w:color w:val="FF0000"/>
                        <w:sz w:val="21"/>
                      </w:rPr>
                    </m:ctrlPr>
                  </m:e>
                  <m:sub>
                    <m:r>
                      <m:rPr/>
                      <w:rPr>
                        <w:rFonts w:hint="default" w:ascii="Cambria Math" w:hAnsi="Cambria Math"/>
                        <w:color w:val="FF0000"/>
                        <w:sz w:val="21"/>
                      </w:rPr>
                      <m:t>ij</m:t>
                    </m:r>
                    <m:ctrlPr>
                      <w:rPr>
                        <w:rFonts w:ascii="Cambria Math" w:hAnsi="Cambria Math"/>
                        <w:color w:val="FF0000"/>
                        <w:sz w:val="21"/>
                      </w:rPr>
                    </m:ctrlPr>
                  </m:sub>
                </m:sSub>
                <m:ctrlPr>
                  <w:rPr>
                    <w:rFonts w:hint="default" w:ascii="Cambria Math" w:hAnsi="Cambria Math"/>
                    <w:color w:val="FF0000"/>
                    <w:sz w:val="21"/>
                  </w:rPr>
                </m:ctrlPr>
              </m:e>
            </m:mr>
            <m:mr>
              <m:e>
                <m:ctrlPr>
                  <w:rPr>
                    <w:rFonts w:hint="default" w:ascii="Cambria Math" w:hAnsi="Cambria Math"/>
                    <w:color w:val="FF0000"/>
                    <w:sz w:val="21"/>
                  </w:rPr>
                </m:ctrlPr>
              </m:e>
              <m:e>
                <m:rad>
                  <m:radPr>
                    <m:degHide m:val="1"/>
                    <m:ctrlPr>
                      <w:rPr>
                        <w:rFonts w:hint="default" w:ascii="Cambria Math" w:hAnsi="Cambria Math"/>
                        <w:i/>
                        <w:color w:val="FF0000"/>
                        <w:sz w:val="21"/>
                      </w:rPr>
                    </m:ctrlPr>
                  </m:radPr>
                  <m:deg>
                    <m:ctrlPr>
                      <w:rPr>
                        <w:rFonts w:ascii="Cambria Math" w:hAnsi="Cambria Math"/>
                        <w:color w:val="FF0000"/>
                        <w:sz w:val="21"/>
                      </w:rPr>
                    </m:ctrlPr>
                  </m:deg>
                  <m:e>
                    <m:nary>
                      <m:naryPr>
                        <m:chr m:val="∑"/>
                        <m:limLoc m:val="undOvr"/>
                        <m:ctrlPr>
                          <w:rPr>
                            <w:rFonts w:ascii="Cambria Math" w:hAnsi="Cambria Math"/>
                            <w:color w:val="FF0000"/>
                            <w:sz w:val="21"/>
                          </w:rPr>
                        </m:ctrlPr>
                      </m:naryPr>
                      <m:sub>
                        <m:r>
                          <m:rPr>
                            <m:sty m:val="p"/>
                          </m:rPr>
                          <w:rPr>
                            <w:rFonts w:hint="default" w:ascii="Cambria Math" w:hAnsi="Cambria Math"/>
                            <w:color w:val="FF0000"/>
                            <w:sz w:val="21"/>
                            <w:lang w:val="en-US" w:eastAsia="zh-CN"/>
                          </w:rPr>
                          <m:t>j=1</m:t>
                        </m:r>
                        <m:ctrlPr>
                          <w:rPr>
                            <w:rFonts w:ascii="Cambria Math" w:hAnsi="Cambria Math"/>
                            <w:color w:val="FF0000"/>
                            <w:sz w:val="21"/>
                          </w:rPr>
                        </m:ctrlPr>
                      </m:sub>
                      <m:sup>
                        <m:r>
                          <m:rPr>
                            <m:sty m:val="p"/>
                          </m:rPr>
                          <w:rPr>
                            <w:rFonts w:hint="default" w:ascii="Cambria Math" w:hAnsi="Cambria Math"/>
                            <w:color w:val="FF0000"/>
                            <w:sz w:val="21"/>
                            <w:lang w:val="en-US" w:eastAsia="zh-CN"/>
                          </w:rPr>
                          <m:t>J</m:t>
                        </m:r>
                        <m:ctrlPr>
                          <w:rPr>
                            <w:rFonts w:ascii="Cambria Math" w:hAnsi="Cambria Math"/>
                            <w:color w:val="FF0000"/>
                            <w:sz w:val="21"/>
                          </w:rPr>
                        </m:ctrlPr>
                      </m:sup>
                      <m:e>
                        <m:sSup>
                          <m:sSupPr>
                            <m:ctrlPr>
                              <w:rPr>
                                <w:rFonts w:ascii="Cambria Math" w:hAnsi="Cambria Math"/>
                                <w:color w:val="FF0000"/>
                                <w:sz w:val="21"/>
                              </w:rPr>
                            </m:ctrlPr>
                          </m:sSupPr>
                          <m:e>
                            <m:d>
                              <m:dPr>
                                <m:ctrlPr>
                                  <w:rPr>
                                    <w:rFonts w:ascii="Cambria Math" w:hAnsi="Cambria Math"/>
                                    <w:color w:val="FF0000"/>
                                    <w:sz w:val="21"/>
                                  </w:rPr>
                                </m:ctrlPr>
                              </m:dPr>
                              <m:e>
                                <m:nary>
                                  <m:naryPr>
                                    <m:chr m:val="∑"/>
                                    <m:limLoc m:val="undOvr"/>
                                    <m:ctrlPr>
                                      <w:rPr>
                                        <w:rFonts w:ascii="Cambria Math" w:hAnsi="Cambria Math"/>
                                        <w:i w:val="0"/>
                                        <w:color w:val="FF0000"/>
                                        <w:sz w:val="21"/>
                                      </w:rPr>
                                    </m:ctrlPr>
                                  </m:naryPr>
                                  <m:sub>
                                    <m:r>
                                      <m:rPr>
                                        <m:sty m:val="p"/>
                                      </m:rPr>
                                      <w:rPr>
                                        <w:rFonts w:hint="eastAsia" w:ascii="Cambria Math" w:hAnsi="Cambria Math"/>
                                        <w:color w:val="FF0000"/>
                                        <w:sz w:val="21"/>
                                        <w:lang w:val="en-US" w:eastAsia="zh-CN"/>
                                      </w:rPr>
                                      <m:t>i</m:t>
                                    </m:r>
                                    <m:r>
                                      <m:rPr>
                                        <m:sty m:val="p"/>
                                      </m:rPr>
                                      <w:rPr>
                                        <w:rFonts w:hint="default" w:ascii="Cambria Math" w:hAnsi="Cambria Math"/>
                                        <w:color w:val="FF0000"/>
                                        <w:sz w:val="21"/>
                                        <w:lang w:val="en-US" w:eastAsia="zh-CN"/>
                                      </w:rPr>
                                      <m:t>=1</m:t>
                                    </m:r>
                                    <m:ctrlPr>
                                      <w:rPr>
                                        <w:rFonts w:ascii="Cambria Math" w:hAnsi="Cambria Math"/>
                                        <w:i w:val="0"/>
                                        <w:color w:val="FF0000"/>
                                        <w:sz w:val="21"/>
                                      </w:rPr>
                                    </m:ctrlPr>
                                  </m:sub>
                                  <m:sup>
                                    <m:r>
                                      <m:rPr>
                                        <m:sty m:val="p"/>
                                      </m:rPr>
                                      <w:rPr>
                                        <w:rFonts w:hint="default" w:ascii="Cambria Math" w:hAnsi="Cambria Math"/>
                                        <w:color w:val="FF0000"/>
                                        <w:sz w:val="21"/>
                                        <w:lang w:val="en-US" w:eastAsia="zh-CN"/>
                                      </w:rPr>
                                      <m:t>I</m:t>
                                    </m:r>
                                    <m:ctrlPr>
                                      <w:rPr>
                                        <w:rFonts w:ascii="Cambria Math" w:hAnsi="Cambria Math"/>
                                        <w:i w:val="0"/>
                                        <w:color w:val="FF0000"/>
                                        <w:sz w:val="21"/>
                                      </w:rPr>
                                    </m:ctrlPr>
                                  </m:sup>
                                  <m:e>
                                    <m:sSub>
                                      <m:sSubPr>
                                        <m:ctrlPr>
                                          <w:rPr>
                                            <w:rFonts w:ascii="Cambria Math" w:hAnsi="Cambria Math"/>
                                            <w:i w:val="0"/>
                                            <w:color w:val="FF0000"/>
                                            <w:sz w:val="21"/>
                                          </w:rPr>
                                        </m:ctrlPr>
                                      </m:sSubPr>
                                      <m:e>
                                        <m:r>
                                          <m:rPr>
                                            <m:sty m:val="p"/>
                                          </m:rPr>
                                          <w:rPr>
                                            <w:rFonts w:hint="default" w:ascii="Cambria Math" w:hAnsi="Cambria Math"/>
                                            <w:color w:val="FF0000"/>
                                            <w:sz w:val="21"/>
                                            <w:lang w:val="en-US" w:eastAsia="zh-CN"/>
                                          </w:rPr>
                                          <m:t>x</m:t>
                                        </m:r>
                                        <m:ctrlPr>
                                          <w:rPr>
                                            <w:rFonts w:ascii="Cambria Math" w:hAnsi="Cambria Math"/>
                                            <w:i w:val="0"/>
                                            <w:color w:val="FF0000"/>
                                            <w:sz w:val="21"/>
                                          </w:rPr>
                                        </m:ctrlPr>
                                      </m:e>
                                      <m:sub>
                                        <m:r>
                                          <m:rPr>
                                            <m:sty m:val="p"/>
                                          </m:rPr>
                                          <w:rPr>
                                            <w:rFonts w:hint="default" w:ascii="Cambria Math" w:hAnsi="Cambria Math"/>
                                            <w:color w:val="FF0000"/>
                                            <w:sz w:val="21"/>
                                            <w:lang w:val="en-US" w:eastAsia="zh-CN"/>
                                          </w:rPr>
                                          <m:t>ij</m:t>
                                        </m:r>
                                        <m:ctrlPr>
                                          <w:rPr>
                                            <w:rFonts w:ascii="Cambria Math" w:hAnsi="Cambria Math"/>
                                            <w:i w:val="0"/>
                                            <w:color w:val="FF0000"/>
                                            <w:sz w:val="21"/>
                                          </w:rPr>
                                        </m:ctrlPr>
                                      </m:sub>
                                    </m:sSub>
                                    <m:ctrlPr>
                                      <w:rPr>
                                        <w:rFonts w:ascii="Cambria Math" w:hAnsi="Cambria Math"/>
                                        <w:i w:val="0"/>
                                        <w:color w:val="FF0000"/>
                                        <w:sz w:val="21"/>
                                      </w:rPr>
                                    </m:ctrlPr>
                                  </m:e>
                                </m:nary>
                                <m:r>
                                  <m:rPr>
                                    <m:sty m:val="p"/>
                                  </m:rPr>
                                  <w:rPr>
                                    <w:rFonts w:hint="default" w:ascii="Cambria Math" w:hAnsi="Cambria Math"/>
                                    <w:color w:val="FF0000"/>
                                    <w:sz w:val="21"/>
                                    <w:lang w:val="en-US" w:eastAsia="zh-CN"/>
                                  </w:rPr>
                                  <m:t>−</m:t>
                                </m:r>
                                <m:sSubSup>
                                  <m:sSubSupPr>
                                    <m:ctrlPr>
                                      <w:rPr>
                                        <w:rFonts w:hint="default" w:ascii="Cambria Math" w:hAnsi="Cambria Math"/>
                                        <w:color w:val="FF0000"/>
                                        <w:sz w:val="21"/>
                                        <w:lang w:val="en-US" w:eastAsia="zh-CN"/>
                                      </w:rPr>
                                    </m:ctrlPr>
                                  </m:sSubSupPr>
                                  <m:e>
                                    <m:r>
                                      <m:rPr>
                                        <m:sty m:val="p"/>
                                      </m:rPr>
                                      <w:rPr>
                                        <w:rFonts w:hint="default" w:ascii="Cambria Math" w:hAnsi="Cambria Math"/>
                                        <w:color w:val="FF0000"/>
                                        <w:sz w:val="21"/>
                                        <w:lang w:val="en-US" w:eastAsia="zh-CN"/>
                                      </w:rPr>
                                      <m:t>w</m:t>
                                    </m:r>
                                    <m:ctrlPr>
                                      <w:rPr>
                                        <w:rFonts w:hint="default" w:ascii="Cambria Math" w:hAnsi="Cambria Math"/>
                                        <w:color w:val="FF0000"/>
                                        <w:sz w:val="21"/>
                                        <w:lang w:val="en-US" w:eastAsia="zh-CN"/>
                                      </w:rPr>
                                    </m:ctrlPr>
                                  </m:e>
                                  <m:sub>
                                    <m:r>
                                      <m:rPr>
                                        <m:sty m:val="p"/>
                                      </m:rPr>
                                      <w:rPr>
                                        <w:rFonts w:hint="default" w:ascii="Cambria Math" w:hAnsi="Cambria Math"/>
                                        <w:color w:val="FF0000"/>
                                        <w:sz w:val="21"/>
                                        <w:lang w:val="en-US" w:eastAsia="zh-CN"/>
                                      </w:rPr>
                                      <m:t>j</m:t>
                                    </m:r>
                                    <m:ctrlPr>
                                      <w:rPr>
                                        <w:rFonts w:hint="default" w:ascii="Cambria Math" w:hAnsi="Cambria Math"/>
                                        <w:color w:val="FF0000"/>
                                        <w:sz w:val="21"/>
                                        <w:lang w:val="en-US" w:eastAsia="zh-CN"/>
                                      </w:rPr>
                                    </m:ctrlPr>
                                  </m:sub>
                                  <m:sup>
                                    <m:r>
                                      <m:rPr>
                                        <m:sty m:val="p"/>
                                      </m:rPr>
                                      <w:rPr>
                                        <w:rFonts w:hint="default" w:ascii="Cambria Math" w:hAnsi="Cambria Math"/>
                                        <w:color w:val="FF0000"/>
                                        <w:sz w:val="21"/>
                                        <w:lang w:val="en-US" w:eastAsia="zh-CN"/>
                                      </w:rPr>
                                      <m:t>t</m:t>
                                    </m:r>
                                    <m:ctrlPr>
                                      <w:rPr>
                                        <w:rFonts w:hint="default" w:ascii="Cambria Math" w:hAnsi="Cambria Math"/>
                                        <w:color w:val="FF0000"/>
                                        <w:sz w:val="21"/>
                                        <w:lang w:val="en-US" w:eastAsia="zh-CN"/>
                                      </w:rPr>
                                    </m:ctrlPr>
                                  </m:sup>
                                </m:sSubSup>
                                <m:ctrlPr>
                                  <w:rPr>
                                    <w:rFonts w:ascii="Cambria Math" w:hAnsi="Cambria Math"/>
                                    <w:color w:val="FF0000"/>
                                    <w:sz w:val="21"/>
                                  </w:rPr>
                                </m:ctrlPr>
                              </m:e>
                            </m:d>
                            <m:ctrlPr>
                              <w:rPr>
                                <w:rFonts w:ascii="Cambria Math" w:hAnsi="Cambria Math"/>
                                <w:color w:val="FF0000"/>
                                <w:sz w:val="21"/>
                              </w:rPr>
                            </m:ctrlPr>
                          </m:e>
                          <m:sup>
                            <m:r>
                              <m:rPr>
                                <m:sty m:val="p"/>
                              </m:rPr>
                              <w:rPr>
                                <w:rFonts w:hint="default" w:ascii="Cambria Math" w:hAnsi="Cambria Math"/>
                                <w:color w:val="FF0000"/>
                                <w:sz w:val="21"/>
                                <w:lang w:val="en-US" w:eastAsia="zh-CN"/>
                              </w:rPr>
                              <m:t>2</m:t>
                            </m:r>
                            <m:ctrlPr>
                              <w:rPr>
                                <w:rFonts w:ascii="Cambria Math" w:hAnsi="Cambria Math"/>
                                <w:color w:val="FF0000"/>
                                <w:sz w:val="21"/>
                              </w:rPr>
                            </m:ctrlPr>
                          </m:sup>
                        </m:sSup>
                        <m:ctrlPr>
                          <w:rPr>
                            <w:rFonts w:ascii="Cambria Math" w:hAnsi="Cambria Math"/>
                            <w:color w:val="FF0000"/>
                            <w:sz w:val="21"/>
                          </w:rPr>
                        </m:ctrlPr>
                      </m:e>
                    </m:nary>
                    <m:ctrlPr>
                      <w:rPr>
                        <w:rFonts w:hint="default" w:ascii="Cambria Math" w:hAnsi="Cambria Math"/>
                        <w:color w:val="FF0000"/>
                        <w:sz w:val="21"/>
                      </w:rPr>
                    </m:ctrlPr>
                  </m:e>
                </m:rad>
                <m:r>
                  <m:rPr/>
                  <w:rPr>
                    <w:rFonts w:hint="default" w:ascii="Cambria Math" w:hAnsi="Cambria Math"/>
                    <w:color w:val="FF0000"/>
                    <w:sz w:val="21"/>
                  </w:rPr>
                  <m:t>≤ε,∀t∈[T]</m:t>
                </m:r>
                <m:ctrlPr>
                  <w:rPr>
                    <w:rFonts w:hint="default" w:ascii="Cambria Math" w:hAnsi="Cambria Math"/>
                    <w:i/>
                    <w:color w:val="FF0000"/>
                    <w:sz w:val="21"/>
                  </w:rPr>
                </m:ctrlPr>
              </m:e>
            </m:mr>
            <m:mr>
              <m:e>
                <m:ctrlPr>
                  <w:rPr>
                    <w:rFonts w:hint="default" w:ascii="Cambria Math" w:hAnsi="Cambria Math"/>
                    <w:i/>
                    <w:color w:val="FF0000"/>
                    <w:sz w:val="21"/>
                  </w:rPr>
                </m:ctrlPr>
              </m:e>
              <m:e>
                <m:nary>
                  <m:naryPr>
                    <m:chr m:val="∑"/>
                    <m:limLoc m:val="undOvr"/>
                    <m:ctrlPr>
                      <w:rPr>
                        <w:rFonts w:hint="default" w:ascii="Cambria Math" w:hAnsi="Cambria Math"/>
                        <w:color w:val="FF0000"/>
                        <w:sz w:val="21"/>
                      </w:rPr>
                    </m:ctrlPr>
                  </m:naryPr>
                  <m:sub>
                    <m:r>
                      <m:rPr/>
                      <w:rPr>
                        <w:rFonts w:hint="default" w:ascii="Cambria Math" w:hAnsi="Cambria Math"/>
                        <w:color w:val="FF0000"/>
                        <w:sz w:val="21"/>
                      </w:rPr>
                      <m:t>i=1</m:t>
                    </m:r>
                    <m:ctrlPr>
                      <w:rPr>
                        <w:rFonts w:hint="default" w:ascii="Cambria Math" w:hAnsi="Cambria Math"/>
                        <w:color w:val="FF0000"/>
                        <w:sz w:val="21"/>
                      </w:rPr>
                    </m:ctrlPr>
                  </m:sub>
                  <m:sup>
                    <m:r>
                      <m:rPr/>
                      <w:rPr>
                        <w:rFonts w:hint="default" w:ascii="Cambria Math" w:hAnsi="Cambria Math"/>
                        <w:color w:val="FF0000"/>
                        <w:sz w:val="21"/>
                      </w:rPr>
                      <m:t>I</m:t>
                    </m:r>
                    <m:ctrlPr>
                      <w:rPr>
                        <w:rFonts w:hint="default" w:ascii="Cambria Math" w:hAnsi="Cambria Math"/>
                        <w:color w:val="FF0000"/>
                        <w:sz w:val="21"/>
                      </w:rPr>
                    </m:ctrlPr>
                  </m:sup>
                  <m:e>
                    <m:nary>
                      <m:naryPr>
                        <m:chr m:val="∑"/>
                        <m:limLoc m:val="undOvr"/>
                        <m:ctrlPr>
                          <w:rPr>
                            <w:rFonts w:hint="default" w:ascii="Cambria Math" w:hAnsi="Cambria Math"/>
                            <w:color w:val="FF0000"/>
                            <w:sz w:val="21"/>
                          </w:rPr>
                        </m:ctrlPr>
                      </m:naryPr>
                      <m:sub>
                        <m:r>
                          <m:rPr/>
                          <w:rPr>
                            <w:rFonts w:hint="default" w:ascii="Cambria Math" w:hAnsi="Cambria Math"/>
                            <w:color w:val="FF0000"/>
                            <w:sz w:val="21"/>
                          </w:rPr>
                          <m:t>j=1</m:t>
                        </m:r>
                        <m:ctrlPr>
                          <w:rPr>
                            <w:rFonts w:hint="default" w:ascii="Cambria Math" w:hAnsi="Cambria Math"/>
                            <w:color w:val="FF0000"/>
                            <w:sz w:val="21"/>
                          </w:rPr>
                        </m:ctrlPr>
                      </m:sub>
                      <m:sup>
                        <m:r>
                          <m:rPr/>
                          <w:rPr>
                            <w:rFonts w:hint="default" w:ascii="Cambria Math" w:hAnsi="Cambria Math"/>
                            <w:color w:val="FF0000"/>
                            <w:sz w:val="21"/>
                          </w:rPr>
                          <m:t>J</m:t>
                        </m:r>
                        <m:ctrlPr>
                          <w:rPr>
                            <w:rFonts w:hint="default" w:ascii="Cambria Math" w:hAnsi="Cambria Math"/>
                            <w:color w:val="FF0000"/>
                            <w:sz w:val="21"/>
                          </w:rPr>
                        </m:ctrlPr>
                      </m:sup>
                      <m:e>
                        <m:sSub>
                          <m:sSubPr>
                            <m:ctrlPr>
                              <w:rPr>
                                <w:rFonts w:hint="default" w:ascii="Cambria Math" w:hAnsi="Cambria Math"/>
                                <w:color w:val="FF0000"/>
                                <w:sz w:val="21"/>
                              </w:rPr>
                            </m:ctrlPr>
                          </m:sSubPr>
                          <m:e>
                            <m:r>
                              <m:rPr/>
                              <w:rPr>
                                <w:rFonts w:hint="default" w:ascii="Cambria Math" w:hAnsi="Cambria Math"/>
                                <w:color w:val="FF0000"/>
                                <w:sz w:val="21"/>
                              </w:rPr>
                              <m:t>x</m:t>
                            </m:r>
                            <m:ctrlPr>
                              <w:rPr>
                                <w:rFonts w:ascii="Cambria Math" w:hAnsi="Cambria Math"/>
                                <w:color w:val="FF0000"/>
                                <w:sz w:val="21"/>
                              </w:rPr>
                            </m:ctrlPr>
                          </m:e>
                          <m:sub>
                            <m:r>
                              <m:rPr/>
                              <w:rPr>
                                <w:rFonts w:hint="default" w:ascii="Cambria Math" w:hAnsi="Cambria Math"/>
                                <w:color w:val="FF0000"/>
                                <w:sz w:val="21"/>
                              </w:rPr>
                              <m:t>ij</m:t>
                            </m:r>
                            <m:ctrlPr>
                              <w:rPr>
                                <w:rFonts w:ascii="Cambria Math" w:hAnsi="Cambria Math"/>
                                <w:color w:val="FF0000"/>
                                <w:sz w:val="21"/>
                              </w:rPr>
                            </m:ctrlPr>
                          </m:sub>
                        </m:sSub>
                        <m:ctrlPr>
                          <w:rPr>
                            <w:rFonts w:hint="default" w:ascii="Cambria Math" w:hAnsi="Cambria Math"/>
                            <w:color w:val="FF0000"/>
                            <w:sz w:val="21"/>
                          </w:rPr>
                        </m:ctrlPr>
                      </m:e>
                    </m:nary>
                    <m:ctrlPr>
                      <w:rPr>
                        <w:rFonts w:hint="default" w:ascii="Cambria Math" w:hAnsi="Cambria Math"/>
                        <w:color w:val="FF0000"/>
                        <w:sz w:val="21"/>
                      </w:rPr>
                    </m:ctrlPr>
                  </m:e>
                </m:nary>
                <m:r>
                  <m:rPr/>
                  <w:rPr>
                    <w:rFonts w:hint="default" w:ascii="Cambria Math" w:hAnsi="Cambria Math"/>
                    <w:color w:val="FF0000"/>
                    <w:sz w:val="21"/>
                  </w:rPr>
                  <m:t>=1</m:t>
                </m:r>
                <m:ctrlPr>
                  <w:rPr>
                    <w:rFonts w:hint="default" w:ascii="Cambria Math" w:hAnsi="Cambria Math"/>
                    <w:color w:val="FF0000"/>
                    <w:sz w:val="21"/>
                  </w:rPr>
                </m:ctrlPr>
              </m:e>
            </m:mr>
            <m:mr>
              <m:e>
                <m:ctrlPr>
                  <w:rPr>
                    <w:rFonts w:hint="default" w:ascii="Cambria Math" w:hAnsi="Cambria Math"/>
                    <w:color w:val="FF0000"/>
                    <w:sz w:val="21"/>
                  </w:rPr>
                </m:ctrlPr>
              </m:e>
              <m:e>
                <m:sSub>
                  <m:sSubPr>
                    <m:ctrlPr>
                      <w:rPr>
                        <w:rFonts w:hint="default" w:ascii="Cambria Math" w:hAnsi="Cambria Math"/>
                        <w:color w:val="FF0000"/>
                        <w:sz w:val="21"/>
                      </w:rPr>
                    </m:ctrlPr>
                  </m:sSubPr>
                  <m:e>
                    <m:r>
                      <m:rPr/>
                      <w:rPr>
                        <w:rFonts w:hint="default" w:ascii="Cambria Math" w:hAnsi="Cambria Math"/>
                        <w:color w:val="FF0000"/>
                        <w:sz w:val="21"/>
                      </w:rPr>
                      <m:t>x</m:t>
                    </m:r>
                    <m:ctrlPr>
                      <w:rPr>
                        <w:rFonts w:hint="default" w:ascii="Cambria Math" w:hAnsi="Cambria Math"/>
                        <w:color w:val="FF0000"/>
                        <w:sz w:val="21"/>
                      </w:rPr>
                    </m:ctrlPr>
                  </m:e>
                  <m:sub>
                    <m:r>
                      <m:rPr/>
                      <w:rPr>
                        <w:rFonts w:hint="default" w:ascii="Cambria Math" w:hAnsi="Cambria Math"/>
                        <w:color w:val="FF0000"/>
                        <w:sz w:val="21"/>
                      </w:rPr>
                      <m:t>ij</m:t>
                    </m:r>
                    <m:ctrlPr>
                      <w:rPr>
                        <w:rFonts w:hint="default" w:ascii="Cambria Math" w:hAnsi="Cambria Math"/>
                        <w:color w:val="FF0000"/>
                        <w:sz w:val="21"/>
                      </w:rPr>
                    </m:ctrlPr>
                  </m:sub>
                </m:sSub>
                <m:r>
                  <m:rPr/>
                  <w:rPr>
                    <w:rFonts w:hint="default" w:ascii="Cambria Math" w:hAnsi="Cambria Math"/>
                    <w:color w:val="FF0000"/>
                    <w:sz w:val="21"/>
                  </w:rPr>
                  <m:t>≥0</m:t>
                </m:r>
                <m:ctrlPr>
                  <w:rPr>
                    <w:rFonts w:hint="default" w:ascii="Cambria Math" w:hAnsi="Cambria Math"/>
                    <w:color w:val="FF0000"/>
                    <w:sz w:val="21"/>
                  </w:rPr>
                </m:ctrlPr>
              </m:e>
            </m:mr>
          </m:m>
        </m:oMath>
      </m:oMathPara>
    </w:p>
    <w:p w14:paraId="03E6A3D8">
      <w:pPr>
        <w:keepNext w:val="0"/>
        <w:keepLines w:val="0"/>
        <w:widowControl/>
        <w:suppressLineNumbers w:val="0"/>
        <w:jc w:val="left"/>
        <m:rPr/>
        <w:rPr>
          <w:rFonts w:hAnsi="Cambria Math" w:cs="Times New Roman"/>
          <w:i w:val="0"/>
          <w:color w:val="FF0000"/>
          <w:sz w:val="21"/>
          <w:szCs w:val="21"/>
          <w:lang w:bidi="ar"/>
        </w:rPr>
      </w:pPr>
      <w:r>
        <w:rPr>
          <w:rFonts w:hint="eastAsia" w:hAnsi="Cambria Math" w:cstheme="minorBidi"/>
          <w:i w:val="0"/>
          <w:color w:val="FF0000"/>
          <w:kern w:val="2"/>
          <w:sz w:val="21"/>
          <w:szCs w:val="24"/>
          <w:lang w:val="en-US" w:eastAsia="zh-CN" w:bidi="ar-SA"/>
        </w:rPr>
        <w:t>其中专家-指标主客观赋权权重</w:t>
      </w:r>
      <m:oMath>
        <m:sSub>
          <m:sSubPr>
            <m:ctrlPr>
              <w:rPr>
                <w:rFonts w:hint="default" w:ascii="Cambria Math" w:hAnsi="Cambria Math"/>
                <w:color w:val="FF0000"/>
                <w:sz w:val="21"/>
              </w:rPr>
            </m:ctrlPr>
          </m:sSubPr>
          <m:e>
            <m:r>
              <m:rPr/>
              <w:rPr>
                <w:rFonts w:hint="default" w:ascii="Cambria Math" w:hAnsi="Cambria Math"/>
                <w:color w:val="FF0000"/>
                <w:sz w:val="21"/>
              </w:rPr>
              <m:t>x</m:t>
            </m:r>
            <m:ctrlPr>
              <w:rPr>
                <w:rFonts w:ascii="Cambria Math" w:hAnsi="Cambria Math"/>
                <w:color w:val="FF0000"/>
                <w:sz w:val="21"/>
              </w:rPr>
            </m:ctrlPr>
          </m:e>
          <m:sub>
            <m:r>
              <m:rPr/>
              <w:rPr>
                <w:rFonts w:hint="default" w:ascii="Cambria Math" w:hAnsi="Cambria Math"/>
                <w:color w:val="FF0000"/>
                <w:sz w:val="21"/>
              </w:rPr>
              <m:t>ij</m:t>
            </m:r>
            <m:ctrlPr>
              <w:rPr>
                <w:rFonts w:ascii="Cambria Math" w:hAnsi="Cambria Math"/>
                <w:color w:val="FF0000"/>
                <w:sz w:val="21"/>
              </w:rPr>
            </m:ctrlPr>
          </m:sub>
        </m:sSub>
      </m:oMath>
      <w:r>
        <w:rPr>
          <w:rFonts w:hint="eastAsia" w:hAnsi="Cambria Math"/>
          <w:i w:val="0"/>
          <w:color w:val="FF0000"/>
          <w:sz w:val="21"/>
          <w:lang w:val="en-US" w:eastAsia="zh-CN"/>
        </w:rPr>
        <w:t>和排序差异控制变量</w:t>
      </w:r>
      <m:oMath>
        <m:r>
          <m:rPr/>
          <w:rPr>
            <w:rFonts w:hint="default" w:ascii="Cambria Math" w:hAnsi="Cambria Math"/>
            <w:color w:val="FF0000"/>
            <w:sz w:val="21"/>
            <w:lang w:val="en-US" w:eastAsia="zh-CN"/>
          </w:rPr>
          <m:t>z</m:t>
        </m:r>
      </m:oMath>
      <w:r>
        <w:rPr>
          <w:rFonts w:hint="eastAsia" w:hAnsi="Cambria Math"/>
          <w:i w:val="0"/>
          <w:color w:val="FF0000"/>
          <w:sz w:val="21"/>
          <w:lang w:val="en-US" w:eastAsia="zh-CN"/>
        </w:rPr>
        <w:t>是决策变量，</w:t>
      </w:r>
      <w:r>
        <w:rPr>
          <w:rFonts w:hint="eastAsia" w:hAnsi="Cambria Math" w:cstheme="minorBidi"/>
          <w:i w:val="0"/>
          <w:color w:val="FF0000"/>
          <w:kern w:val="2"/>
          <w:sz w:val="21"/>
          <w:szCs w:val="24"/>
          <w:lang w:val="en-US" w:eastAsia="zh-CN" w:bidi="ar-SA"/>
        </w:rPr>
        <w:t>目标函数是最大化指标权重差异；第一个约束遵循</w:t>
      </w:r>
      <w:r>
        <w:rPr>
          <w:rFonts w:hint="eastAsia" w:ascii="Times New Roman" w:hAnsi="Times New Roman" w:cs="Times New Roman"/>
          <w:color w:val="FF0000"/>
          <w:sz w:val="21"/>
          <w:szCs w:val="21"/>
          <w:lang w:bidi="ar"/>
        </w:rPr>
        <w:t>Ataei</w:t>
      </w:r>
      <w:r>
        <w:rPr>
          <w:rFonts w:hint="eastAsia" w:cs="Times New Roman"/>
          <w:color w:val="FF0000"/>
          <w:sz w:val="21"/>
          <w:szCs w:val="21"/>
          <w:lang w:val="en-US" w:eastAsia="zh-CN" w:bidi="ar"/>
        </w:rPr>
        <w:t>的OPA模型，</w:t>
      </w:r>
      <w:r>
        <w:rPr>
          <w:rFonts w:hint="eastAsia" w:hAnsi="Cambria Math" w:cstheme="minorBidi"/>
          <w:i w:val="0"/>
          <w:color w:val="FF0000"/>
          <w:kern w:val="2"/>
          <w:sz w:val="21"/>
          <w:szCs w:val="24"/>
          <w:lang w:val="en-US" w:eastAsia="zh-CN" w:bidi="ar-SA"/>
        </w:rPr>
        <w:t>确保权重差异符合专家重要性排序；第二个约束属于确定性场景驱动的集合鲁棒性约束，确保</w:t>
      </w:r>
      <m:oMath>
        <m:r>
          <m:rPr>
            <m:sty m:val="p"/>
          </m:rPr>
          <w:rPr>
            <w:rFonts w:hint="default" w:ascii="Cambria Math" w:hAnsi="Cambria Math" w:cstheme="minorBidi"/>
            <w:color w:val="FF0000"/>
            <w:kern w:val="2"/>
            <w:sz w:val="21"/>
            <w:szCs w:val="24"/>
            <w:lang w:val="en-US" w:eastAsia="zh-CN" w:bidi="ar-SA"/>
          </w:rPr>
          <m:t>(</m:t>
        </m:r>
        <m:nary>
          <m:naryPr>
            <m:chr m:val="∑"/>
            <m:limLoc m:val="undOvr"/>
            <m:ctrlPr>
              <w:rPr>
                <w:rFonts w:ascii="Cambria Math" w:hAnsi="Cambria Math"/>
                <w:i w:val="0"/>
                <w:color w:val="FF0000"/>
                <w:sz w:val="21"/>
              </w:rPr>
            </m:ctrlPr>
          </m:naryPr>
          <m:sub>
            <m:r>
              <m:rPr>
                <m:sty m:val="p"/>
              </m:rPr>
              <w:rPr>
                <w:rFonts w:hint="eastAsia" w:ascii="Cambria Math" w:hAnsi="Cambria Math"/>
                <w:color w:val="FF0000"/>
                <w:sz w:val="21"/>
                <w:lang w:val="en-US" w:eastAsia="zh-CN"/>
              </w:rPr>
              <m:t>i</m:t>
            </m:r>
            <m:r>
              <m:rPr>
                <m:sty m:val="p"/>
              </m:rPr>
              <w:rPr>
                <w:rFonts w:hint="default" w:ascii="Cambria Math" w:hAnsi="Cambria Math"/>
                <w:color w:val="FF0000"/>
                <w:sz w:val="21"/>
                <w:lang w:val="en-US" w:eastAsia="zh-CN"/>
              </w:rPr>
              <m:t>=1</m:t>
            </m:r>
            <m:ctrlPr>
              <w:rPr>
                <w:rFonts w:ascii="Cambria Math" w:hAnsi="Cambria Math"/>
                <w:i w:val="0"/>
                <w:color w:val="FF0000"/>
                <w:sz w:val="21"/>
              </w:rPr>
            </m:ctrlPr>
          </m:sub>
          <m:sup>
            <m:r>
              <m:rPr>
                <m:sty m:val="p"/>
              </m:rPr>
              <w:rPr>
                <w:rFonts w:hint="default" w:ascii="Cambria Math" w:hAnsi="Cambria Math"/>
                <w:color w:val="FF0000"/>
                <w:sz w:val="21"/>
                <w:lang w:val="en-US" w:eastAsia="zh-CN"/>
              </w:rPr>
              <m:t>I</m:t>
            </m:r>
            <m:ctrlPr>
              <w:rPr>
                <w:rFonts w:ascii="Cambria Math" w:hAnsi="Cambria Math"/>
                <w:i w:val="0"/>
                <w:color w:val="FF0000"/>
                <w:sz w:val="21"/>
              </w:rPr>
            </m:ctrlPr>
          </m:sup>
          <m:e>
            <m:sSub>
              <m:sSubPr>
                <m:ctrlPr>
                  <w:rPr>
                    <w:rFonts w:ascii="Cambria Math" w:hAnsi="Cambria Math"/>
                    <w:i w:val="0"/>
                    <w:color w:val="FF0000"/>
                    <w:sz w:val="21"/>
                  </w:rPr>
                </m:ctrlPr>
              </m:sSubPr>
              <m:e>
                <m:r>
                  <m:rPr>
                    <m:sty m:val="p"/>
                  </m:rPr>
                  <w:rPr>
                    <w:rFonts w:hint="default" w:ascii="Cambria Math" w:hAnsi="Cambria Math"/>
                    <w:color w:val="FF0000"/>
                    <w:sz w:val="21"/>
                    <w:lang w:val="en-US" w:eastAsia="zh-CN"/>
                  </w:rPr>
                  <m:t>x</m:t>
                </m:r>
                <m:ctrlPr>
                  <w:rPr>
                    <w:rFonts w:ascii="Cambria Math" w:hAnsi="Cambria Math"/>
                    <w:i w:val="0"/>
                    <w:color w:val="FF0000"/>
                    <w:sz w:val="21"/>
                  </w:rPr>
                </m:ctrlPr>
              </m:e>
              <m:sub>
                <m:r>
                  <m:rPr>
                    <m:sty m:val="p"/>
                  </m:rPr>
                  <w:rPr>
                    <w:rFonts w:hint="default" w:ascii="Cambria Math" w:hAnsi="Cambria Math"/>
                    <w:color w:val="FF0000"/>
                    <w:sz w:val="21"/>
                    <w:lang w:val="en-US" w:eastAsia="zh-CN"/>
                  </w:rPr>
                  <m:t>ij</m:t>
                </m:r>
                <m:ctrlPr>
                  <w:rPr>
                    <w:rFonts w:ascii="Cambria Math" w:hAnsi="Cambria Math"/>
                    <w:i w:val="0"/>
                    <w:color w:val="FF0000"/>
                    <w:sz w:val="21"/>
                  </w:rPr>
                </m:ctrlPr>
              </m:sub>
            </m:sSub>
            <m:r>
              <m:rPr>
                <m:sty m:val="p"/>
              </m:rPr>
              <w:rPr>
                <w:rFonts w:hint="default" w:ascii="Cambria Math" w:hAnsi="Cambria Math"/>
                <w:color w:val="FF0000"/>
                <w:sz w:val="21"/>
                <w:lang w:val="en-US" w:eastAsia="zh-CN"/>
              </w:rPr>
              <m:t>)</m:t>
            </m:r>
            <m:ctrlPr>
              <w:rPr>
                <w:rFonts w:ascii="Cambria Math" w:hAnsi="Cambria Math"/>
                <w:i w:val="0"/>
                <w:color w:val="FF0000"/>
                <w:sz w:val="21"/>
              </w:rPr>
            </m:ctrlPr>
          </m:e>
        </m:nary>
      </m:oMath>
      <w:r>
        <w:rPr>
          <w:rFonts w:hint="eastAsia" w:hAnsi="Cambria Math" w:cstheme="minorBidi"/>
          <w:i w:val="0"/>
          <w:color w:val="FF0000"/>
          <w:kern w:val="2"/>
          <w:sz w:val="21"/>
          <w:szCs w:val="24"/>
          <w:lang w:val="en-US" w:eastAsia="zh-CN" w:bidi="ar-SA"/>
        </w:rPr>
        <w:t>与</w:t>
      </w:r>
      <m:oMath>
        <m:sSubSup>
          <m:sSubSupPr>
            <m:ctrlPr>
              <w:rPr>
                <w:rFonts w:hint="default" w:ascii="Cambria Math" w:hAnsi="Cambria Math" w:cstheme="minorBidi"/>
                <w:i w:val="0"/>
                <w:color w:val="FF0000"/>
                <w:kern w:val="2"/>
                <w:sz w:val="21"/>
                <w:szCs w:val="24"/>
                <w:lang w:val="en-US" w:eastAsia="zh-CN" w:bidi="ar-SA"/>
              </w:rPr>
            </m:ctrlPr>
          </m:sSubSupPr>
          <m:e>
            <m:r>
              <m:rPr>
                <m:sty m:val="p"/>
              </m:rPr>
              <w:rPr>
                <w:rFonts w:hint="default" w:ascii="Cambria Math" w:hAnsi="Cambria Math" w:cstheme="minorBidi"/>
                <w:color w:val="FF0000"/>
                <w:kern w:val="2"/>
                <w:sz w:val="21"/>
                <w:szCs w:val="24"/>
                <w:lang w:val="en-US" w:eastAsia="zh-CN" w:bidi="ar-SA"/>
              </w:rPr>
              <m:t>(</m:t>
            </m:r>
            <m:r>
              <m:rPr>
                <m:sty m:val="p"/>
              </m:rPr>
              <w:rPr>
                <w:rFonts w:hint="default" w:ascii="Cambria Math" w:hAnsi="Cambria Math" w:cstheme="minorBidi"/>
                <w:color w:val="FF0000"/>
                <w:kern w:val="2"/>
                <w:sz w:val="21"/>
                <w:szCs w:val="24"/>
                <w:lang w:val="en-US" w:eastAsia="zh-CN" w:bidi="ar-SA"/>
              </w:rPr>
              <m:t>w</m:t>
            </m:r>
            <m:ctrlPr>
              <w:rPr>
                <w:rFonts w:hint="eastAsia" w:ascii="Cambria Math" w:hAnsi="Cambria Math" w:cstheme="minorBidi"/>
                <w:i w:val="0"/>
                <w:color w:val="FF0000"/>
                <w:kern w:val="2"/>
                <w:sz w:val="21"/>
                <w:szCs w:val="24"/>
                <w:lang w:val="en-US" w:eastAsia="zh-CN" w:bidi="ar-SA"/>
              </w:rPr>
            </m:ctrlPr>
          </m:e>
          <m:sub>
            <m:r>
              <m:rPr>
                <m:sty m:val="p"/>
              </m:rPr>
              <w:rPr>
                <w:rFonts w:hint="default" w:ascii="Cambria Math" w:hAnsi="Cambria Math" w:cstheme="minorBidi"/>
                <w:color w:val="FF0000"/>
                <w:kern w:val="2"/>
                <w:sz w:val="21"/>
                <w:szCs w:val="24"/>
                <w:lang w:val="en-US" w:eastAsia="zh-CN" w:bidi="ar-SA"/>
              </w:rPr>
              <m:t>j</m:t>
            </m:r>
            <m:ctrlPr>
              <w:rPr>
                <w:rFonts w:hint="eastAsia" w:ascii="Cambria Math" w:hAnsi="Cambria Math" w:cstheme="minorBidi"/>
                <w:i w:val="0"/>
                <w:color w:val="FF0000"/>
                <w:kern w:val="2"/>
                <w:sz w:val="21"/>
                <w:szCs w:val="24"/>
                <w:lang w:val="en-US" w:eastAsia="zh-CN" w:bidi="ar-SA"/>
              </w:rPr>
            </m:ctrlPr>
          </m:sub>
          <m:sup>
            <m:r>
              <m:rPr>
                <m:sty m:val="p"/>
              </m:rPr>
              <w:rPr>
                <w:rFonts w:hint="default" w:ascii="Cambria Math" w:hAnsi="Cambria Math" w:cstheme="minorBidi"/>
                <w:color w:val="FF0000"/>
                <w:kern w:val="2"/>
                <w:sz w:val="21"/>
                <w:szCs w:val="24"/>
                <w:lang w:val="en-US" w:eastAsia="zh-CN" w:bidi="ar-SA"/>
              </w:rPr>
              <m:t>t</m:t>
            </m:r>
            <m:ctrlPr>
              <w:rPr>
                <w:rFonts w:hint="eastAsia" w:ascii="Cambria Math" w:hAnsi="Cambria Math" w:cstheme="minorBidi"/>
                <w:i w:val="0"/>
                <w:color w:val="FF0000"/>
                <w:kern w:val="2"/>
                <w:sz w:val="21"/>
                <w:szCs w:val="24"/>
                <w:lang w:val="en-US" w:eastAsia="zh-CN" w:bidi="ar-SA"/>
              </w:rPr>
            </m:ctrlPr>
          </m:sup>
        </m:sSubSup>
        <m:r>
          <m:rPr>
            <m:sty m:val="p"/>
          </m:rPr>
          <w:rPr>
            <w:rFonts w:hint="default" w:ascii="Cambria Math" w:hAnsi="Cambria Math" w:cstheme="minorBidi"/>
            <w:color w:val="FF0000"/>
            <w:kern w:val="2"/>
            <w:sz w:val="21"/>
            <w:szCs w:val="24"/>
            <w:lang w:val="en-US" w:eastAsia="zh-CN" w:bidi="ar-SA"/>
          </w:rPr>
          <m:t>)</m:t>
        </m:r>
      </m:oMath>
      <w:r>
        <w:rPr>
          <w:rFonts w:hint="eastAsia" w:hAnsi="Cambria Math" w:cstheme="minorBidi"/>
          <w:i w:val="0"/>
          <w:color w:val="FF0000"/>
          <w:kern w:val="2"/>
          <w:sz w:val="21"/>
          <w:szCs w:val="24"/>
          <w:lang w:val="en-US" w:eastAsia="zh-CN" w:bidi="ar-SA"/>
        </w:rPr>
        <w:t>的差异不超过容差</w:t>
      </w:r>
      <m:oMath>
        <m:r>
          <m:rPr>
            <m:sty m:val="p"/>
          </m:rPr>
          <w:rPr>
            <w:rFonts w:hint="default" w:ascii="Cambria Math" w:hAnsi="Cambria Math" w:cstheme="minorBidi"/>
            <w:color w:val="FF0000"/>
            <w:kern w:val="2"/>
            <w:sz w:val="21"/>
            <w:szCs w:val="24"/>
            <w:lang w:val="en-US" w:eastAsia="zh-CN" w:bidi="ar-SA"/>
          </w:rPr>
          <m:t>ε</m:t>
        </m:r>
      </m:oMath>
      <w:r>
        <w:rPr>
          <w:rFonts w:hint="eastAsia" w:hAnsi="Cambria Math" w:cstheme="minorBidi"/>
          <w:i w:val="0"/>
          <w:color w:val="FF0000"/>
          <w:kern w:val="2"/>
          <w:sz w:val="21"/>
          <w:szCs w:val="24"/>
          <w:lang w:val="en-US" w:eastAsia="zh-CN" w:bidi="ar-SA"/>
        </w:rPr>
        <w:t xml:space="preserve">; </w:t>
      </w:r>
      <w:r>
        <w:rPr>
          <w:rFonts w:hint="eastAsia" w:ascii="Times New Roman" w:hAnsi="Cambria Math" w:eastAsia="宋体" w:cstheme="minorBidi"/>
          <w:i w:val="0"/>
          <w:color w:val="FF0000"/>
          <w:kern w:val="2"/>
          <w:sz w:val="21"/>
          <w:szCs w:val="24"/>
          <w:lang w:val="en-US" w:eastAsia="zh-CN" w:bidi="ar-SA"/>
        </w:rPr>
        <w:t>第三个约束</w:t>
      </w:r>
      <w:r>
        <w:rPr>
          <w:rFonts w:hint="eastAsia" w:hAnsi="Cambria Math" w:cstheme="minorBidi"/>
          <w:i w:val="0"/>
          <w:color w:val="FF0000"/>
          <w:kern w:val="2"/>
          <w:sz w:val="21"/>
          <w:szCs w:val="24"/>
          <w:lang w:val="en-US" w:eastAsia="zh-CN" w:bidi="ar-SA"/>
        </w:rPr>
        <w:t>是</w:t>
      </w:r>
      <w:r>
        <w:rPr>
          <w:rFonts w:hint="eastAsia" w:ascii="Times New Roman" w:hAnsi="Cambria Math" w:eastAsia="宋体" w:cstheme="minorBidi"/>
          <w:i w:val="0"/>
          <w:color w:val="FF0000"/>
          <w:kern w:val="2"/>
          <w:sz w:val="21"/>
          <w:szCs w:val="24"/>
          <w:lang w:val="en-US" w:eastAsia="zh-CN" w:bidi="ar-SA"/>
        </w:rPr>
        <w:t>归一化处理</w:t>
      </w:r>
      <w:r>
        <w:rPr>
          <w:rFonts w:hint="eastAsia" w:hAnsi="Cambria Math" w:cstheme="minorBidi"/>
          <w:i w:val="0"/>
          <w:color w:val="FF0000"/>
          <w:kern w:val="2"/>
          <w:sz w:val="21"/>
          <w:szCs w:val="24"/>
          <w:lang w:val="en-US" w:eastAsia="zh-CN" w:bidi="ar-SA"/>
        </w:rPr>
        <w:t xml:space="preserve">; </w:t>
      </w:r>
      <w:r>
        <w:rPr>
          <w:rFonts w:hint="eastAsia" w:ascii="Times New Roman" w:hAnsi="Cambria Math" w:eastAsia="宋体" w:cstheme="minorBidi"/>
          <w:i w:val="0"/>
          <w:color w:val="FF0000"/>
          <w:kern w:val="2"/>
          <w:sz w:val="21"/>
          <w:szCs w:val="24"/>
          <w:lang w:val="en-US" w:eastAsia="zh-CN" w:bidi="ar-SA"/>
        </w:rPr>
        <w:t>第四个约束</w:t>
      </w:r>
      <w:r>
        <w:rPr>
          <w:rFonts w:hint="eastAsia" w:hAnsi="Cambria Math" w:cstheme="minorBidi"/>
          <w:i w:val="0"/>
          <w:color w:val="FF0000"/>
          <w:kern w:val="2"/>
          <w:sz w:val="21"/>
          <w:szCs w:val="24"/>
          <w:lang w:val="en-US" w:eastAsia="zh-CN" w:bidi="ar-SA"/>
        </w:rPr>
        <w:t>是</w:t>
      </w:r>
      <w:r>
        <w:rPr>
          <w:rFonts w:hint="eastAsia" w:ascii="Times New Roman" w:hAnsi="Cambria Math" w:eastAsia="宋体" w:cstheme="minorBidi"/>
          <w:i w:val="0"/>
          <w:color w:val="FF0000"/>
          <w:kern w:val="2"/>
          <w:sz w:val="21"/>
          <w:szCs w:val="24"/>
          <w:lang w:val="en-US" w:eastAsia="zh-CN" w:bidi="ar-SA"/>
        </w:rPr>
        <w:t>非负性约束。</w:t>
      </w:r>
      <w:r>
        <w:rPr>
          <w:rFonts w:hint="eastAsia" w:hAnsi="Cambria Math" w:cstheme="minorBidi"/>
          <w:i w:val="0"/>
          <w:color w:val="FF0000"/>
          <w:kern w:val="2"/>
          <w:sz w:val="21"/>
          <w:szCs w:val="24"/>
          <w:lang w:val="en-US" w:eastAsia="zh-CN" w:bidi="ar-SA"/>
        </w:rPr>
        <w:t>使用Gurobi求解上述优化问题可得</w:t>
      </w:r>
      <m:oMath>
        <m:sSub>
          <m:sSubPr>
            <m:ctrlPr>
              <w:rPr>
                <w:rFonts w:hint="default" w:ascii="Cambria Math" w:hAnsi="Cambria Math"/>
                <w:color w:val="FF0000"/>
                <w:sz w:val="21"/>
              </w:rPr>
            </m:ctrlPr>
          </m:sSubPr>
          <m:e>
            <m:r>
              <m:rPr/>
              <w:rPr>
                <w:rFonts w:hint="default" w:ascii="Cambria Math" w:hAnsi="Cambria Math"/>
                <w:color w:val="FF0000"/>
                <w:sz w:val="21"/>
              </w:rPr>
              <m:t>x</m:t>
            </m:r>
            <m:ctrlPr>
              <w:rPr>
                <w:rFonts w:ascii="Cambria Math" w:hAnsi="Cambria Math"/>
                <w:color w:val="FF0000"/>
                <w:sz w:val="21"/>
              </w:rPr>
            </m:ctrlPr>
          </m:e>
          <m:sub>
            <m:r>
              <m:rPr/>
              <w:rPr>
                <w:rFonts w:hint="default" w:ascii="Cambria Math" w:hAnsi="Cambria Math"/>
                <w:color w:val="FF0000"/>
                <w:sz w:val="21"/>
              </w:rPr>
              <m:t>ij</m:t>
            </m:r>
            <m:ctrlPr>
              <w:rPr>
                <w:rFonts w:ascii="Cambria Math" w:hAnsi="Cambria Math"/>
                <w:color w:val="FF0000"/>
                <w:sz w:val="21"/>
              </w:rPr>
            </m:ctrlPr>
          </m:sub>
        </m:sSub>
      </m:oMath>
      <w:r>
        <w:rPr>
          <w:rFonts w:hint="eastAsia" w:hAnsi="Cambria Math"/>
          <w:i w:val="0"/>
          <w:color w:val="FF0000"/>
          <w:sz w:val="21"/>
          <w:lang w:val="en-US" w:eastAsia="zh-CN"/>
        </w:rPr>
        <w:t>，进行列向加和得到指标</w:t>
      </w:r>
      <m:oMath>
        <m:r>
          <m:rPr>
            <m:sty m:val="p"/>
          </m:rPr>
          <w:rPr>
            <w:rFonts w:hint="default" w:ascii="Cambria Math" w:hAnsi="Cambria Math" w:cs="Times New Roman"/>
            <w:color w:val="FF0000"/>
            <w:sz w:val="21"/>
            <w:szCs w:val="21"/>
            <w:lang w:val="en-US" w:eastAsia="zh-CN" w:bidi="ar"/>
          </w:rPr>
          <m:t>j</m:t>
        </m:r>
      </m:oMath>
      <w:r>
        <w:rPr>
          <w:rFonts w:hint="eastAsia" w:hAnsi="Cambria Math"/>
          <w:i w:val="0"/>
          <w:color w:val="FF0000"/>
          <w:sz w:val="21"/>
          <w:lang w:val="en-US" w:eastAsia="zh-CN"/>
        </w:rPr>
        <w:t>最终的主客观权重</w:t>
      </w:r>
      <m:oMath>
        <m:sSub>
          <m:sSubPr>
            <m:ctrlPr>
              <w:rPr>
                <w:rFonts w:hint="default" w:ascii="Cambria Math" w:hAnsi="Cambria Math" w:cs="Times New Roman"/>
                <w:color w:val="FF0000"/>
                <w:sz w:val="21"/>
                <w:szCs w:val="21"/>
                <w:lang w:val="en-US" w:eastAsia="zh-CN" w:bidi="ar"/>
              </w:rPr>
            </m:ctrlPr>
          </m:sSubPr>
          <m:e>
            <m:r>
              <m:rPr>
                <m:sty m:val="p"/>
              </m:rPr>
              <w:rPr>
                <w:rFonts w:hint="default" w:ascii="Cambria Math" w:hAnsi="Cambria Math" w:cs="Times New Roman"/>
                <w:color w:val="FF0000"/>
                <w:sz w:val="21"/>
                <w:szCs w:val="21"/>
                <w:lang w:val="en-US" w:eastAsia="zh-CN" w:bidi="ar"/>
              </w:rPr>
              <m:t>w</m:t>
            </m:r>
            <m:ctrlPr>
              <w:rPr>
                <w:rFonts w:hint="default" w:ascii="Cambria Math" w:hAnsi="Cambria Math" w:cs="Times New Roman"/>
                <w:color w:val="FF0000"/>
                <w:sz w:val="21"/>
                <w:szCs w:val="21"/>
                <w:lang w:val="en-US" w:eastAsia="zh-CN" w:bidi="ar"/>
              </w:rPr>
            </m:ctrlPr>
          </m:e>
          <m:sub>
            <m:r>
              <m:rPr>
                <m:sty m:val="p"/>
              </m:rPr>
              <w:rPr>
                <w:rFonts w:hint="default" w:ascii="Cambria Math" w:hAnsi="Cambria Math" w:cs="Times New Roman"/>
                <w:color w:val="FF0000"/>
                <w:sz w:val="21"/>
                <w:szCs w:val="21"/>
                <w:lang w:val="en-US" w:eastAsia="zh-CN" w:bidi="ar"/>
              </w:rPr>
              <m:t>j</m:t>
            </m:r>
            <m:ctrlPr>
              <w:rPr>
                <w:rFonts w:hint="default" w:ascii="Cambria Math" w:hAnsi="Cambria Math" w:cs="Times New Roman"/>
                <w:color w:val="FF0000"/>
                <w:sz w:val="21"/>
                <w:szCs w:val="21"/>
                <w:lang w:val="en-US" w:eastAsia="zh-CN" w:bidi="ar"/>
              </w:rPr>
            </m:ctrlPr>
          </m:sub>
        </m:sSub>
      </m:oMath>
      <w:r>
        <w:rPr>
          <w:rFonts w:hint="eastAsia" w:hAnsi="Cambria Math" w:cs="Times New Roman"/>
          <w:i w:val="0"/>
          <w:color w:val="FF0000"/>
          <w:sz w:val="21"/>
          <w:szCs w:val="21"/>
          <w:lang w:val="en-US" w:eastAsia="zh-CN" w:bidi="ar"/>
        </w:rPr>
        <w:t>。</w:t>
      </w:r>
    </w:p>
    <w:p w14:paraId="3FE76125">
      <w:pPr>
        <w:keepNext w:val="0"/>
        <w:keepLines w:val="0"/>
        <w:widowControl/>
        <w:suppressLineNumbers w:val="0"/>
        <w:ind w:firstLine="420" w:firstLineChars="200"/>
        <w:jc w:val="left"/>
        <m:rPr/>
        <w:rPr>
          <w:rFonts w:hint="eastAsia" w:hAnsi="Cambria Math" w:eastAsia="宋体" w:cs="Times New Roman"/>
          <w:i w:val="0"/>
          <w:color w:val="FF0000"/>
          <w:sz w:val="21"/>
          <w:szCs w:val="21"/>
          <w:lang w:val="en-US" w:eastAsia="zh-CN" w:bidi="ar"/>
        </w:rPr>
      </w:pPr>
      <w:r>
        <m:rPr/>
        <w:rPr>
          <w:rFonts w:hint="eastAsia" w:hAnsi="Cambria Math" w:cs="Times New Roman"/>
          <w:i w:val="0"/>
          <w:color w:val="FF0000"/>
          <w:sz w:val="21"/>
          <w:szCs w:val="21"/>
          <w:lang w:val="en-US" w:eastAsia="zh-CN" w:bidi="ar"/>
        </w:rPr>
        <w:t>第五步，测度企业新质生产力水平。</w:t>
      </w:r>
      <w:r>
        <w:rPr>
          <w:rFonts w:hint="eastAsia" w:hAnsi="Cambria Math" w:cs="Times New Roman"/>
          <w:i w:val="0"/>
          <w:color w:val="FF0000"/>
          <w:sz w:val="21"/>
          <w:szCs w:val="21"/>
          <w:lang w:val="en-US" w:eastAsia="zh-CN" w:bidi="ar"/>
        </w:rPr>
        <w:t>企业</w:t>
      </w:r>
      <m:oMath>
        <m:r>
          <m:rPr>
            <m:sty m:val="p"/>
          </m:rPr>
          <w:rPr>
            <w:rFonts w:hint="default" w:ascii="Cambria Math" w:hAnsi="Cambria Math" w:cs="Times New Roman"/>
            <w:color w:val="FF0000"/>
            <w:sz w:val="21"/>
            <w:szCs w:val="21"/>
            <w:lang w:val="en-US" w:eastAsia="zh-CN" w:bidi="ar"/>
          </w:rPr>
          <m:t>k</m:t>
        </m:r>
      </m:oMath>
      <w:r>
        <w:rPr>
          <w:rFonts w:hint="eastAsia" w:hAnsi="Cambria Math" w:cs="Times New Roman"/>
          <w:i w:val="0"/>
          <w:color w:val="FF0000"/>
          <w:sz w:val="21"/>
          <w:szCs w:val="21"/>
          <w:lang w:val="en-US" w:eastAsia="zh-CN" w:bidi="ar"/>
        </w:rPr>
        <w:t>在第</w:t>
      </w:r>
      <m:oMath>
        <m:r>
          <m:rPr>
            <m:sty m:val="p"/>
          </m:rPr>
          <w:rPr>
            <w:rFonts w:hint="default" w:ascii="Cambria Math" w:hAnsi="Cambria Math" w:cs="Times New Roman"/>
            <w:color w:val="FF0000"/>
            <w:sz w:val="21"/>
            <w:szCs w:val="21"/>
            <w:lang w:val="en-US" w:eastAsia="zh-CN" w:bidi="ar"/>
          </w:rPr>
          <m:t>t</m:t>
        </m:r>
      </m:oMath>
      <w:r>
        <w:rPr>
          <w:rFonts w:hint="eastAsia" w:hAnsi="Cambria Math" w:cs="Times New Roman"/>
          <w:i w:val="0"/>
          <w:color w:val="FF0000"/>
          <w:sz w:val="21"/>
          <w:szCs w:val="21"/>
          <w:lang w:val="en-US" w:eastAsia="zh-CN" w:bidi="ar"/>
        </w:rPr>
        <w:t>年的新质生产力</w:t>
      </w:r>
      <w:r>
        <w:rPr>
          <w:rFonts w:hint="eastAsia" w:hAnsi="Cambria Math" w:cs="Times New Roman"/>
          <w:i w:val="0"/>
          <w:color w:val="FF0000"/>
          <w:sz w:val="21"/>
          <w:szCs w:val="21"/>
          <w:lang w:val="en-US" w:eastAsia="zh-CN" w:bidi="ar"/>
        </w:rPr>
        <w:t>水平为,</w:t>
      </w:r>
    </w:p>
    <w:p w14:paraId="5D72CC84">
      <w:pPr>
        <w:keepNext w:val="0"/>
        <w:keepLines w:val="0"/>
        <w:widowControl/>
        <w:suppressLineNumbers w:val="0"/>
        <w:jc w:val="left"/>
        <m:rPr/>
        <w:rPr>
          <w:rFonts w:hint="default" w:hAnsi="Cambria Math" w:cs="Times New Roman"/>
          <w:i w:val="0"/>
          <w:color w:val="FF0000"/>
          <w:sz w:val="21"/>
          <w:szCs w:val="21"/>
          <w:lang w:val="en-US" w:eastAsia="zh-CN" w:bidi="ar"/>
        </w:rPr>
      </w:pPr>
      <m:oMathPara>
        <m:oMath>
          <m:sSubSup>
            <m:sSubSupPr>
              <m:ctrlPr>
                <w:rPr>
                  <w:rFonts w:hint="default" w:ascii="Cambria Math" w:hAnsi="Cambria Math"/>
                  <w:color w:val="FF0000"/>
                  <w:sz w:val="21"/>
                </w:rPr>
              </m:ctrlPr>
            </m:sSubSupPr>
            <m:e>
              <m:r>
                <m:rPr/>
                <w:rPr>
                  <w:rFonts w:hint="default" w:ascii="Cambria Math" w:hAnsi="Cambria Math"/>
                  <w:color w:val="FF0000"/>
                  <w:sz w:val="21"/>
                </w:rPr>
                <m:t>s</m:t>
              </m:r>
              <m:ctrlPr>
                <w:rPr>
                  <w:rFonts w:ascii="Cambria Math" w:hAnsi="Cambria Math"/>
                  <w:color w:val="FF0000"/>
                  <w:sz w:val="21"/>
                </w:rPr>
              </m:ctrlPr>
            </m:e>
            <m:sub>
              <m:r>
                <m:rPr/>
                <w:rPr>
                  <w:rFonts w:hint="default" w:ascii="Cambria Math" w:hAnsi="Cambria Math"/>
                  <w:color w:val="FF0000"/>
                  <w:sz w:val="21"/>
                </w:rPr>
                <m:t>k</m:t>
              </m:r>
              <m:ctrlPr>
                <w:rPr>
                  <w:rFonts w:ascii="Cambria Math" w:hAnsi="Cambria Math"/>
                  <w:color w:val="FF0000"/>
                  <w:sz w:val="21"/>
                </w:rPr>
              </m:ctrlPr>
            </m:sub>
            <m:sup>
              <m:r>
                <m:rPr/>
                <w:rPr>
                  <w:rFonts w:hint="default" w:ascii="Cambria Math" w:hAnsi="Cambria Math"/>
                  <w:color w:val="FF0000"/>
                  <w:sz w:val="21"/>
                </w:rPr>
                <m:t>t</m:t>
              </m:r>
              <m:ctrlPr>
                <w:rPr>
                  <w:rFonts w:ascii="Cambria Math" w:hAnsi="Cambria Math"/>
                  <w:color w:val="FF0000"/>
                  <w:sz w:val="21"/>
                </w:rPr>
              </m:ctrlPr>
            </m:sup>
          </m:sSubSup>
          <m:r>
            <m:rPr/>
            <w:rPr>
              <w:rFonts w:hint="default" w:ascii="Cambria Math" w:hAnsi="Cambria Math"/>
              <w:color w:val="FF0000"/>
              <w:sz w:val="21"/>
            </w:rPr>
            <m:t>=</m:t>
          </m:r>
          <m:nary>
            <m:naryPr>
              <m:chr m:val="∑"/>
              <m:limLoc m:val="undOvr"/>
              <m:ctrlPr>
                <w:rPr>
                  <w:rFonts w:hint="default" w:ascii="Cambria Math" w:hAnsi="Cambria Math"/>
                  <w:color w:val="FF0000"/>
                  <w:sz w:val="21"/>
                </w:rPr>
              </m:ctrlPr>
            </m:naryPr>
            <m:sub>
              <m:r>
                <m:rPr/>
                <w:rPr>
                  <w:rFonts w:hint="default" w:ascii="Cambria Math" w:hAnsi="Cambria Math"/>
                  <w:color w:val="FF0000"/>
                  <w:sz w:val="21"/>
                </w:rPr>
                <m:t>j=1</m:t>
              </m:r>
              <m:ctrlPr>
                <w:rPr>
                  <w:rFonts w:ascii="Cambria Math" w:hAnsi="Cambria Math"/>
                  <w:color w:val="FF0000"/>
                  <w:sz w:val="21"/>
                </w:rPr>
              </m:ctrlPr>
            </m:sub>
            <m:sup>
              <m:r>
                <m:rPr/>
                <w:rPr>
                  <w:rFonts w:hint="default" w:ascii="Cambria Math" w:hAnsi="Cambria Math"/>
                  <w:color w:val="FF0000"/>
                  <w:sz w:val="21"/>
                </w:rPr>
                <m:t>J</m:t>
              </m:r>
              <m:ctrlPr>
                <w:rPr>
                  <w:rFonts w:ascii="Cambria Math" w:hAnsi="Cambria Math"/>
                  <w:color w:val="FF0000"/>
                  <w:sz w:val="21"/>
                </w:rPr>
              </m:ctrlPr>
            </m:sup>
            <m:e>
              <m:sSubSup>
                <m:sSubSupPr>
                  <m:ctrlPr>
                    <w:rPr>
                      <w:rFonts w:hint="default" w:ascii="Cambria Math" w:hAnsi="Cambria Math"/>
                      <w:color w:val="FF0000"/>
                      <w:sz w:val="21"/>
                    </w:rPr>
                  </m:ctrlPr>
                </m:sSubSupPr>
                <m:e>
                  <m:r>
                    <m:rPr/>
                    <w:rPr>
                      <w:rFonts w:hint="default" w:ascii="Cambria Math" w:hAnsi="Cambria Math"/>
                      <w:color w:val="FF0000"/>
                      <w:sz w:val="21"/>
                    </w:rPr>
                    <m:t>d</m:t>
                  </m:r>
                  <m:ctrlPr>
                    <w:rPr>
                      <w:rFonts w:ascii="Cambria Math" w:hAnsi="Cambria Math"/>
                      <w:color w:val="FF0000"/>
                      <w:sz w:val="21"/>
                    </w:rPr>
                  </m:ctrlPr>
                </m:e>
                <m:sub>
                  <m:r>
                    <m:rPr/>
                    <w:rPr>
                      <w:rFonts w:hint="default" w:ascii="Cambria Math" w:hAnsi="Cambria Math"/>
                      <w:color w:val="FF0000"/>
                      <w:sz w:val="21"/>
                    </w:rPr>
                    <m:t>jk</m:t>
                  </m:r>
                  <m:ctrlPr>
                    <w:rPr>
                      <w:rFonts w:ascii="Cambria Math" w:hAnsi="Cambria Math"/>
                      <w:color w:val="FF0000"/>
                      <w:sz w:val="21"/>
                    </w:rPr>
                  </m:ctrlPr>
                </m:sub>
                <m:sup>
                  <m:r>
                    <m:rPr/>
                    <w:rPr>
                      <w:rFonts w:hint="default" w:ascii="Cambria Math" w:hAnsi="Cambria Math"/>
                      <w:color w:val="FF0000"/>
                      <w:sz w:val="21"/>
                    </w:rPr>
                    <m:t>t</m:t>
                  </m:r>
                  <m:ctrlPr>
                    <w:rPr>
                      <w:rFonts w:ascii="Cambria Math" w:hAnsi="Cambria Math"/>
                      <w:color w:val="FF0000"/>
                      <w:sz w:val="21"/>
                    </w:rPr>
                  </m:ctrlPr>
                </m:sup>
              </m:sSubSup>
              <m:ctrlPr>
                <w:rPr>
                  <w:rFonts w:hint="default" w:ascii="Cambria Math" w:hAnsi="Cambria Math"/>
                  <w:color w:val="FF0000"/>
                  <w:sz w:val="21"/>
                </w:rPr>
              </m:ctrlPr>
            </m:e>
          </m:nary>
          <m:sSub>
            <m:sSubPr>
              <m:ctrlPr>
                <w:rPr>
                  <w:rFonts w:hint="default" w:ascii="Cambria Math" w:hAnsi="Cambria Math"/>
                  <w:color w:val="FF0000"/>
                  <w:sz w:val="21"/>
                </w:rPr>
              </m:ctrlPr>
            </m:sSubPr>
            <m:e>
              <m:r>
                <m:rPr/>
                <w:rPr>
                  <w:rFonts w:hint="default" w:ascii="Cambria Math" w:hAnsi="Cambria Math"/>
                  <w:color w:val="FF0000"/>
                  <w:sz w:val="21"/>
                </w:rPr>
                <m:t>w</m:t>
              </m:r>
              <m:ctrlPr>
                <w:rPr>
                  <w:rFonts w:hint="default" w:ascii="Cambria Math" w:hAnsi="Cambria Math"/>
                  <w:color w:val="FF0000"/>
                  <w:sz w:val="21"/>
                </w:rPr>
              </m:ctrlPr>
            </m:e>
            <m:sub>
              <m:r>
                <m:rPr/>
                <w:rPr>
                  <w:rFonts w:hint="default" w:ascii="Cambria Math" w:hAnsi="Cambria Math"/>
                  <w:color w:val="FF0000"/>
                  <w:sz w:val="21"/>
                </w:rPr>
                <m:t>j</m:t>
              </m:r>
              <m:ctrlPr>
                <w:rPr>
                  <w:rFonts w:hint="default" w:ascii="Cambria Math" w:hAnsi="Cambria Math"/>
                  <w:color w:val="FF0000"/>
                  <w:sz w:val="21"/>
                </w:rPr>
              </m:ctrlPr>
            </m:sub>
          </m:sSub>
        </m:oMath>
      </m:oMathPara>
    </w:p>
    <w:p w14:paraId="2B30AFC0">
      <w:pPr>
        <w:rPr>
          <w:rFonts w:eastAsia="黑体" w:cs="Times New Roman"/>
          <w:b/>
          <w:sz w:val="28"/>
          <w:szCs w:val="28"/>
        </w:rPr>
      </w:pPr>
      <w:r>
        <w:rPr>
          <w:rFonts w:eastAsia="黑体" w:cs="Times New Roman"/>
          <w:b/>
          <w:sz w:val="28"/>
          <w:szCs w:val="28"/>
        </w:rPr>
        <w:t>4 数据说明和研究设计</w:t>
      </w:r>
    </w:p>
    <w:p w14:paraId="05D317B2">
      <w:pPr>
        <w:pStyle w:val="4"/>
        <w:spacing w:before="0" w:after="0" w:line="240" w:lineRule="auto"/>
        <w:rPr>
          <w:rFonts w:hint="default" w:ascii="Times New Roman" w:hAnsi="Times New Roman" w:cs="Times New Roman"/>
          <w:sz w:val="21"/>
          <w:szCs w:val="21"/>
        </w:rPr>
      </w:pPr>
      <w:r>
        <w:rPr>
          <w:rFonts w:hint="default" w:ascii="Times New Roman" w:hAnsi="Times New Roman" w:cs="Times New Roman"/>
          <w:sz w:val="21"/>
          <w:szCs w:val="21"/>
        </w:rPr>
        <w:t>4.1 数据来源</w:t>
      </w:r>
    </w:p>
    <w:p w14:paraId="0E40AAF5">
      <w:pPr>
        <w:ind w:firstLine="420" w:firstLineChars="200"/>
        <w:rPr>
          <w:rFonts w:hint="default" w:ascii="Times New Roman" w:hAnsi="Times New Roman" w:cs="Times New Roman"/>
          <w:sz w:val="21"/>
          <w:szCs w:val="21"/>
          <w:lang w:bidi="ar"/>
        </w:rPr>
      </w:pPr>
      <w:r>
        <w:rPr>
          <w:rFonts w:hint="default" w:ascii="Times New Roman" w:hAnsi="Times New Roman" w:cs="Times New Roman"/>
          <w:sz w:val="21"/>
          <w:szCs w:val="21"/>
          <w:lang w:bidi="ar"/>
        </w:rPr>
        <w:t>本文选取 2011—2022 年沪深所有A 股上市公司作为研究对象，在剔除ST 及 ST*企业、金融类企业、数据缺失的样本后，最终保留了 12808个样本观测值。为了降低异常值对数据分析的干扰，本文对处于最顶部1%和最底部1%的数据点进行了缩尾处理。本文原始数据均来源于国泰安经济金融研究数据库(CSMAR)和国家知识产权网站。</w:t>
      </w:r>
    </w:p>
    <w:p w14:paraId="61EB41AF">
      <w:pPr>
        <w:pStyle w:val="4"/>
        <w:spacing w:before="0" w:after="0" w:line="240" w:lineRule="auto"/>
        <w:rPr>
          <w:rFonts w:hint="default" w:ascii="Times New Roman" w:hAnsi="Times New Roman" w:cs="Times New Roman"/>
          <w:sz w:val="21"/>
          <w:szCs w:val="21"/>
        </w:rPr>
      </w:pPr>
      <w:r>
        <w:rPr>
          <w:rFonts w:hint="default" w:ascii="Times New Roman" w:hAnsi="Times New Roman" w:cs="Times New Roman"/>
          <w:sz w:val="21"/>
          <w:szCs w:val="21"/>
        </w:rPr>
        <w:t>4.2 变量选择</w:t>
      </w:r>
    </w:p>
    <w:p w14:paraId="1943B7C2">
      <w:pPr>
        <w:rPr>
          <w:rFonts w:hint="default" w:ascii="Times New Roman" w:hAnsi="Times New Roman" w:cs="Times New Roman"/>
          <w:sz w:val="21"/>
          <w:szCs w:val="22"/>
        </w:rPr>
      </w:pPr>
      <w:r>
        <w:rPr>
          <w:rFonts w:hint="default" w:ascii="Times New Roman" w:hAnsi="Times New Roman" w:cs="Times New Roman"/>
          <w:sz w:val="21"/>
          <w:szCs w:val="21"/>
        </w:rPr>
        <w:t xml:space="preserve">4.2.1 </w:t>
      </w:r>
      <w:r>
        <w:rPr>
          <w:rFonts w:hint="default" w:ascii="Times New Roman" w:hAnsi="Times New Roman" w:cs="Times New Roman"/>
          <w:sz w:val="21"/>
          <w:szCs w:val="22"/>
        </w:rPr>
        <w:t>响应变量</w:t>
      </w:r>
    </w:p>
    <w:p w14:paraId="5B309318">
      <w:pPr>
        <w:ind w:firstLine="420" w:firstLineChars="200"/>
        <w:rPr>
          <w:rFonts w:hint="default" w:cs="Times New Roman"/>
          <w:sz w:val="21"/>
          <w:szCs w:val="21"/>
          <w:lang w:val="en-US" w:eastAsia="zh-CN" w:bidi="ar"/>
        </w:rPr>
      </w:pPr>
      <w:r>
        <w:rPr>
          <w:rFonts w:hint="default" w:cs="Times New Roman"/>
          <w:sz w:val="21"/>
          <w:szCs w:val="21"/>
          <w:lang w:val="en-US" w:eastAsia="zh-CN" w:bidi="ar"/>
        </w:rPr>
        <w:t>借鉴现有研究宋佳等</w:t>
      </w:r>
      <w:r>
        <w:rPr>
          <w:rFonts w:hint="default" w:cs="Times New Roman"/>
          <w:sz w:val="21"/>
          <w:szCs w:val="21"/>
          <w:vertAlign w:val="superscript"/>
          <w:lang w:val="en-US" w:eastAsia="zh-CN" w:bidi="ar"/>
        </w:rPr>
        <w:t>[10]</w:t>
      </w:r>
      <w:r>
        <w:rPr>
          <w:rFonts w:hint="default" w:cs="Times New Roman"/>
          <w:sz w:val="21"/>
          <w:szCs w:val="21"/>
          <w:lang w:val="en-US" w:eastAsia="zh-CN" w:bidi="ar"/>
        </w:rPr>
        <w:t>和张秀娥</w:t>
      </w:r>
      <w:r>
        <w:rPr>
          <w:rFonts w:hint="default" w:cs="Times New Roman"/>
          <w:sz w:val="21"/>
          <w:szCs w:val="21"/>
          <w:vertAlign w:val="superscript"/>
          <w:lang w:val="en-US" w:eastAsia="zh-CN" w:bidi="ar"/>
        </w:rPr>
        <w:t>[11]</w:t>
      </w:r>
      <w:r>
        <w:rPr>
          <w:rFonts w:hint="default" w:cs="Times New Roman"/>
          <w:sz w:val="21"/>
          <w:szCs w:val="21"/>
          <w:lang w:val="en-US" w:eastAsia="zh-CN" w:bidi="ar"/>
        </w:rPr>
        <w:t>的方法，本文基于马克思主义生产力理论和企业新质生产力内涵来构建企业层面的新质生产力评价指标体系，评价体系主要从劳动力投入、劳动资料和劳动对象三个方面选择相关指标</w:t>
      </w:r>
      <w:r>
        <w:rPr>
          <w:rFonts w:hint="eastAsia" w:cs="Times New Roman"/>
          <w:sz w:val="21"/>
          <w:szCs w:val="21"/>
          <w:lang w:val="en-US" w:eastAsia="zh-CN" w:bidi="ar"/>
        </w:rPr>
        <w:t>，如表1所示</w:t>
      </w:r>
      <w:r>
        <w:rPr>
          <w:rFonts w:hint="default" w:cs="Times New Roman"/>
          <w:sz w:val="21"/>
          <w:szCs w:val="21"/>
          <w:lang w:val="en-US" w:eastAsia="zh-CN" w:bidi="ar"/>
        </w:rPr>
        <w:t>。</w:t>
      </w:r>
    </w:p>
    <w:p w14:paraId="2DF56F35">
      <w:pPr>
        <w:ind w:firstLine="480"/>
        <w:jc w:val="center"/>
        <w:rPr>
          <w:rFonts w:hint="default" w:eastAsia="宋体" w:cs="Times New Roman"/>
          <w:sz w:val="18"/>
          <w:szCs w:val="18"/>
          <w:lang w:val="en-US" w:eastAsia="zh-CN" w:bidi="ar"/>
        </w:rPr>
      </w:pPr>
      <w:r>
        <w:rPr>
          <w:rFonts w:cs="Times New Roman"/>
          <w:sz w:val="18"/>
          <w:szCs w:val="18"/>
          <w:lang w:bidi="ar"/>
        </w:rPr>
        <w:t>表1 企业新质生产力水平测度指标体系</w:t>
      </w:r>
      <w:r>
        <w:rPr>
          <w:rFonts w:hint="eastAsia" w:cs="Times New Roman"/>
          <w:color w:val="FF0000"/>
          <w:sz w:val="18"/>
          <w:szCs w:val="18"/>
          <w:lang w:val="en-US" w:eastAsia="zh-CN" w:bidi="ar"/>
        </w:rPr>
        <w:t>及其权重</w:t>
      </w:r>
    </w:p>
    <w:tbl>
      <w:tblPr>
        <w:tblStyle w:val="11"/>
        <w:tblW w:w="4990"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52"/>
        <w:gridCol w:w="1666"/>
        <w:gridCol w:w="5466"/>
        <w:gridCol w:w="1652"/>
      </w:tblGrid>
      <w:tr w14:paraId="44B62C9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 w:hRule="atLeast"/>
          <w:jc w:val="center"/>
        </w:trPr>
        <w:tc>
          <w:tcPr>
            <w:tcW w:w="580" w:type="pct"/>
            <w:tcBorders>
              <w:bottom w:val="single" w:color="auto" w:sz="8" w:space="0"/>
            </w:tcBorders>
            <w:vAlign w:val="center"/>
          </w:tcPr>
          <w:p w14:paraId="48B57205">
            <w:pPr>
              <w:snapToGrid w:val="0"/>
              <w:jc w:val="center"/>
              <w:rPr>
                <w:rFonts w:hint="default" w:ascii="Times New Roman" w:hAnsi="Times New Roman" w:cs="Times New Roman"/>
                <w:sz w:val="18"/>
                <w:szCs w:val="18"/>
              </w:rPr>
            </w:pPr>
            <w:r>
              <w:rPr>
                <w:rFonts w:hint="default" w:ascii="Times New Roman" w:hAnsi="Times New Roman" w:cs="Times New Roman"/>
                <w:sz w:val="18"/>
                <w:szCs w:val="18"/>
              </w:rPr>
              <w:t>一级指标</w:t>
            </w:r>
          </w:p>
        </w:tc>
        <w:tc>
          <w:tcPr>
            <w:tcW w:w="838" w:type="pct"/>
            <w:tcBorders>
              <w:bottom w:val="single" w:color="auto" w:sz="8" w:space="0"/>
            </w:tcBorders>
            <w:vAlign w:val="center"/>
          </w:tcPr>
          <w:p w14:paraId="14CE42D9">
            <w:pPr>
              <w:jc w:val="center"/>
              <w:rPr>
                <w:rFonts w:hint="default" w:ascii="Times New Roman" w:hAnsi="Times New Roman" w:cs="Times New Roman"/>
                <w:sz w:val="18"/>
                <w:szCs w:val="18"/>
              </w:rPr>
            </w:pPr>
            <w:r>
              <w:rPr>
                <w:rFonts w:hint="default" w:ascii="Times New Roman" w:hAnsi="Times New Roman" w:cs="Times New Roman"/>
                <w:sz w:val="18"/>
                <w:szCs w:val="18"/>
              </w:rPr>
              <w:t>二级指标</w:t>
            </w:r>
          </w:p>
        </w:tc>
        <w:tc>
          <w:tcPr>
            <w:tcW w:w="2750" w:type="pct"/>
            <w:tcBorders>
              <w:bottom w:val="single" w:color="auto" w:sz="8" w:space="0"/>
            </w:tcBorders>
            <w:vAlign w:val="center"/>
          </w:tcPr>
          <w:p w14:paraId="7EBA1302">
            <w:pPr>
              <w:jc w:val="center"/>
              <w:rPr>
                <w:rFonts w:hint="default" w:ascii="Times New Roman" w:hAnsi="Times New Roman" w:cs="Times New Roman"/>
                <w:sz w:val="18"/>
                <w:szCs w:val="18"/>
              </w:rPr>
            </w:pPr>
            <w:r>
              <w:rPr>
                <w:rFonts w:hint="default" w:ascii="Times New Roman" w:hAnsi="Times New Roman" w:cs="Times New Roman"/>
                <w:sz w:val="18"/>
                <w:szCs w:val="18"/>
              </w:rPr>
              <w:t>指标解释</w:t>
            </w:r>
          </w:p>
        </w:tc>
        <w:tc>
          <w:tcPr>
            <w:tcW w:w="831" w:type="pct"/>
            <w:tcBorders>
              <w:bottom w:val="single" w:color="auto" w:sz="8" w:space="0"/>
            </w:tcBorders>
            <w:vAlign w:val="top"/>
          </w:tcPr>
          <w:p w14:paraId="67FF7279">
            <w:pPr>
              <w:keepNext w:val="0"/>
              <w:keepLines w:val="0"/>
              <w:widowControl/>
              <w:suppressLineNumbers w:val="0"/>
              <w:jc w:val="center"/>
              <w:textAlignment w:val="top"/>
              <w:rPr>
                <w:rFonts w:hint="default" w:ascii="Times New Roman" w:hAnsi="Times New Roman" w:cs="Times New Roman"/>
                <w:color w:val="FF0000"/>
                <w:sz w:val="18"/>
                <w:szCs w:val="18"/>
              </w:rPr>
            </w:pPr>
            <w:r>
              <w:rPr>
                <w:rFonts w:hint="eastAsia" w:cs="Times New Roman"/>
                <w:color w:val="FF0000"/>
                <w:sz w:val="18"/>
                <w:szCs w:val="18"/>
                <w:lang w:val="en-US" w:eastAsia="zh-CN"/>
              </w:rPr>
              <w:t>主客观融合权重</w:t>
            </w:r>
          </w:p>
        </w:tc>
      </w:tr>
      <w:tr w14:paraId="6FBCC95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 w:hRule="atLeast"/>
          <w:jc w:val="center"/>
        </w:trPr>
        <w:tc>
          <w:tcPr>
            <w:tcW w:w="580" w:type="pct"/>
            <w:vMerge w:val="restart"/>
            <w:tcBorders>
              <w:top w:val="single" w:color="auto" w:sz="8" w:space="0"/>
              <w:tl2br w:val="nil"/>
              <w:tr2bl w:val="nil"/>
            </w:tcBorders>
            <w:vAlign w:val="center"/>
          </w:tcPr>
          <w:p w14:paraId="1C744D00">
            <w:pPr>
              <w:jc w:val="left"/>
              <w:rPr>
                <w:rFonts w:hint="default" w:ascii="Times New Roman" w:hAnsi="Times New Roman" w:cs="Times New Roman"/>
                <w:sz w:val="18"/>
                <w:szCs w:val="18"/>
              </w:rPr>
            </w:pPr>
            <w:r>
              <w:rPr>
                <w:rFonts w:hint="default" w:ascii="Times New Roman" w:hAnsi="Times New Roman" w:cs="Times New Roman"/>
                <w:sz w:val="18"/>
                <w:szCs w:val="18"/>
              </w:rPr>
              <w:t>劳动力投入</w:t>
            </w:r>
          </w:p>
        </w:tc>
        <w:tc>
          <w:tcPr>
            <w:tcW w:w="838" w:type="pct"/>
            <w:tcBorders>
              <w:top w:val="single" w:color="auto" w:sz="8" w:space="0"/>
              <w:tl2br w:val="nil"/>
              <w:tr2bl w:val="nil"/>
            </w:tcBorders>
            <w:vAlign w:val="center"/>
          </w:tcPr>
          <w:p w14:paraId="4E83940F">
            <w:pPr>
              <w:jc w:val="left"/>
              <w:rPr>
                <w:rFonts w:hint="default" w:ascii="Times New Roman" w:hAnsi="Times New Roman" w:cs="Times New Roman"/>
                <w:sz w:val="18"/>
                <w:szCs w:val="18"/>
              </w:rPr>
            </w:pPr>
            <w:r>
              <w:rPr>
                <w:rFonts w:hint="default" w:ascii="Times New Roman" w:hAnsi="Times New Roman" w:cs="Times New Roman"/>
                <w:sz w:val="18"/>
                <w:szCs w:val="18"/>
              </w:rPr>
              <w:t>高学历人员占比</w:t>
            </w:r>
          </w:p>
        </w:tc>
        <w:tc>
          <w:tcPr>
            <w:tcW w:w="2750" w:type="pct"/>
            <w:tcBorders>
              <w:top w:val="single" w:color="auto" w:sz="8" w:space="0"/>
              <w:tl2br w:val="nil"/>
              <w:tr2bl w:val="nil"/>
            </w:tcBorders>
            <w:vAlign w:val="center"/>
          </w:tcPr>
          <w:p w14:paraId="113E9A8F">
            <w:pPr>
              <w:jc w:val="left"/>
              <w:rPr>
                <w:rFonts w:hint="default" w:ascii="Times New Roman" w:hAnsi="Times New Roman" w:cs="Times New Roman"/>
                <w:sz w:val="18"/>
                <w:szCs w:val="18"/>
              </w:rPr>
            </w:pPr>
            <w:r>
              <w:rPr>
                <w:rFonts w:hint="default" w:ascii="Times New Roman" w:hAnsi="Times New Roman" w:cs="Times New Roman"/>
                <w:color w:val="000000"/>
                <w:kern w:val="0"/>
                <w:sz w:val="18"/>
                <w:szCs w:val="18"/>
                <w:lang w:bidi="ar"/>
              </w:rPr>
              <w:t>本科以上学历人数/员工人数</w:t>
            </w:r>
          </w:p>
        </w:tc>
        <w:tc>
          <w:tcPr>
            <w:tcW w:w="831" w:type="pct"/>
            <w:tcBorders>
              <w:top w:val="single" w:color="auto" w:sz="8" w:space="0"/>
              <w:tl2br w:val="nil"/>
              <w:tr2bl w:val="nil"/>
            </w:tcBorders>
            <w:vAlign w:val="bottom"/>
          </w:tcPr>
          <w:p w14:paraId="313233A0">
            <w:pPr>
              <w:keepNext w:val="0"/>
              <w:keepLines w:val="0"/>
              <w:widowControl/>
              <w:suppressLineNumbers w:val="0"/>
              <w:jc w:val="center"/>
              <w:textAlignment w:val="bottom"/>
              <w:rPr>
                <w:rFonts w:hint="default" w:ascii="Times New Roman" w:hAnsi="Times New Roman" w:cs="Times New Roman"/>
                <w:color w:val="FF0000"/>
                <w:kern w:val="0"/>
                <w:sz w:val="18"/>
                <w:szCs w:val="18"/>
                <w:lang w:bidi="ar"/>
              </w:rPr>
            </w:pPr>
            <w:r>
              <w:rPr>
                <w:rFonts w:hint="eastAsia" w:ascii="宋体" w:hAnsi="宋体" w:eastAsia="宋体" w:cs="宋体"/>
                <w:i w:val="0"/>
                <w:iCs w:val="0"/>
                <w:color w:val="FF0000"/>
                <w:kern w:val="0"/>
                <w:sz w:val="18"/>
                <w:szCs w:val="18"/>
                <w:u w:val="none"/>
                <w:lang w:val="en-US" w:eastAsia="zh-CN" w:bidi="ar"/>
              </w:rPr>
              <w:t>0.054959506</w:t>
            </w:r>
          </w:p>
        </w:tc>
      </w:tr>
      <w:tr w14:paraId="580E8BB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 w:hRule="atLeast"/>
          <w:jc w:val="center"/>
        </w:trPr>
        <w:tc>
          <w:tcPr>
            <w:tcW w:w="580" w:type="pct"/>
            <w:vMerge w:val="continue"/>
            <w:tcBorders>
              <w:tl2br w:val="nil"/>
              <w:tr2bl w:val="nil"/>
            </w:tcBorders>
            <w:vAlign w:val="center"/>
          </w:tcPr>
          <w:p w14:paraId="1BA9C5C3">
            <w:pPr>
              <w:jc w:val="left"/>
              <w:rPr>
                <w:rFonts w:hint="default" w:ascii="Times New Roman" w:hAnsi="Times New Roman" w:cs="Times New Roman"/>
                <w:sz w:val="18"/>
                <w:szCs w:val="18"/>
              </w:rPr>
            </w:pPr>
          </w:p>
        </w:tc>
        <w:tc>
          <w:tcPr>
            <w:tcW w:w="838" w:type="pct"/>
            <w:tcBorders>
              <w:tl2br w:val="nil"/>
              <w:tr2bl w:val="nil"/>
            </w:tcBorders>
            <w:vAlign w:val="center"/>
          </w:tcPr>
          <w:p w14:paraId="2E6E3C91">
            <w:pPr>
              <w:jc w:val="left"/>
              <w:rPr>
                <w:rFonts w:hint="default" w:ascii="Times New Roman" w:hAnsi="Times New Roman" w:cs="Times New Roman"/>
                <w:sz w:val="18"/>
                <w:szCs w:val="18"/>
              </w:rPr>
            </w:pPr>
            <w:r>
              <w:rPr>
                <w:rFonts w:hint="default" w:ascii="Times New Roman" w:hAnsi="Times New Roman" w:cs="Times New Roman"/>
                <w:sz w:val="18"/>
                <w:szCs w:val="18"/>
              </w:rPr>
              <w:t>研发人员投入强度</w:t>
            </w:r>
          </w:p>
        </w:tc>
        <w:tc>
          <w:tcPr>
            <w:tcW w:w="2750" w:type="pct"/>
            <w:tcBorders>
              <w:tl2br w:val="nil"/>
              <w:tr2bl w:val="nil"/>
            </w:tcBorders>
            <w:vAlign w:val="center"/>
          </w:tcPr>
          <w:p w14:paraId="266F98B2">
            <w:pPr>
              <w:widowControl/>
              <w:jc w:val="left"/>
              <w:rPr>
                <w:rFonts w:hint="default" w:ascii="Times New Roman" w:hAnsi="Times New Roman" w:cs="Times New Roman"/>
                <w:sz w:val="18"/>
                <w:szCs w:val="18"/>
              </w:rPr>
            </w:pPr>
            <w:r>
              <w:rPr>
                <w:rFonts w:hint="default" w:ascii="Times New Roman" w:hAnsi="Times New Roman" w:cs="Times New Roman"/>
                <w:color w:val="000000"/>
                <w:kern w:val="0"/>
                <w:sz w:val="18"/>
                <w:szCs w:val="18"/>
                <w:lang w:bidi="ar"/>
              </w:rPr>
              <w:t>研发人员数/员工人数</w:t>
            </w:r>
          </w:p>
        </w:tc>
        <w:tc>
          <w:tcPr>
            <w:tcW w:w="831" w:type="pct"/>
            <w:tcBorders>
              <w:tl2br w:val="nil"/>
              <w:tr2bl w:val="nil"/>
            </w:tcBorders>
            <w:vAlign w:val="bottom"/>
          </w:tcPr>
          <w:p w14:paraId="438BF73E">
            <w:pPr>
              <w:keepNext w:val="0"/>
              <w:keepLines w:val="0"/>
              <w:widowControl/>
              <w:suppressLineNumbers w:val="0"/>
              <w:jc w:val="center"/>
              <w:textAlignment w:val="bottom"/>
              <w:rPr>
                <w:rFonts w:hint="default" w:ascii="Times New Roman" w:hAnsi="Times New Roman" w:cs="Times New Roman"/>
                <w:color w:val="FF0000"/>
                <w:kern w:val="0"/>
                <w:sz w:val="18"/>
                <w:szCs w:val="18"/>
                <w:lang w:bidi="ar"/>
              </w:rPr>
            </w:pPr>
            <w:r>
              <w:rPr>
                <w:rFonts w:hint="eastAsia" w:ascii="宋体" w:hAnsi="宋体" w:eastAsia="宋体" w:cs="宋体"/>
                <w:i w:val="0"/>
                <w:iCs w:val="0"/>
                <w:color w:val="FF0000"/>
                <w:kern w:val="0"/>
                <w:sz w:val="18"/>
                <w:szCs w:val="18"/>
                <w:u w:val="none"/>
                <w:lang w:val="en-US" w:eastAsia="zh-CN" w:bidi="ar"/>
              </w:rPr>
              <w:t>0.082043327</w:t>
            </w:r>
          </w:p>
        </w:tc>
      </w:tr>
      <w:tr w14:paraId="195B933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 w:hRule="atLeast"/>
          <w:jc w:val="center"/>
        </w:trPr>
        <w:tc>
          <w:tcPr>
            <w:tcW w:w="580" w:type="pct"/>
            <w:vMerge w:val="continue"/>
            <w:tcBorders>
              <w:tl2br w:val="nil"/>
              <w:tr2bl w:val="nil"/>
            </w:tcBorders>
            <w:vAlign w:val="center"/>
          </w:tcPr>
          <w:p w14:paraId="25452083">
            <w:pPr>
              <w:jc w:val="left"/>
              <w:rPr>
                <w:rFonts w:hint="default" w:ascii="Times New Roman" w:hAnsi="Times New Roman" w:cs="Times New Roman"/>
                <w:sz w:val="18"/>
                <w:szCs w:val="18"/>
              </w:rPr>
            </w:pPr>
          </w:p>
        </w:tc>
        <w:tc>
          <w:tcPr>
            <w:tcW w:w="838" w:type="pct"/>
            <w:tcBorders>
              <w:tl2br w:val="nil"/>
              <w:tr2bl w:val="nil"/>
            </w:tcBorders>
            <w:vAlign w:val="center"/>
          </w:tcPr>
          <w:p w14:paraId="7BEEEDC8">
            <w:pPr>
              <w:jc w:val="left"/>
              <w:rPr>
                <w:rFonts w:hint="default" w:ascii="Times New Roman" w:hAnsi="Times New Roman" w:cs="Times New Roman"/>
                <w:sz w:val="18"/>
                <w:szCs w:val="18"/>
              </w:rPr>
            </w:pPr>
            <w:r>
              <w:rPr>
                <w:rFonts w:hint="default" w:ascii="Times New Roman" w:hAnsi="Times New Roman" w:cs="Times New Roman"/>
                <w:sz w:val="18"/>
                <w:szCs w:val="18"/>
              </w:rPr>
              <w:t>研发人员薪资占比</w:t>
            </w:r>
          </w:p>
        </w:tc>
        <w:tc>
          <w:tcPr>
            <w:tcW w:w="2750" w:type="pct"/>
            <w:tcBorders>
              <w:tl2br w:val="nil"/>
              <w:tr2bl w:val="nil"/>
            </w:tcBorders>
            <w:vAlign w:val="center"/>
          </w:tcPr>
          <w:p w14:paraId="1FF90455">
            <w:pPr>
              <w:widowControl/>
              <w:jc w:val="left"/>
              <w:rPr>
                <w:rFonts w:hint="default" w:ascii="Times New Roman" w:hAnsi="Times New Roman" w:cs="Times New Roman"/>
                <w:sz w:val="18"/>
                <w:szCs w:val="18"/>
              </w:rPr>
            </w:pPr>
            <w:r>
              <w:rPr>
                <w:rFonts w:hint="default" w:ascii="Times New Roman" w:hAnsi="Times New Roman" w:cs="Times New Roman"/>
                <w:color w:val="000000"/>
                <w:kern w:val="0"/>
                <w:sz w:val="18"/>
                <w:szCs w:val="18"/>
                <w:lang w:bidi="ar"/>
              </w:rPr>
              <w:t>研发费用-工资薪酬/营业收入</w:t>
            </w:r>
          </w:p>
        </w:tc>
        <w:tc>
          <w:tcPr>
            <w:tcW w:w="831" w:type="pct"/>
            <w:tcBorders>
              <w:tl2br w:val="nil"/>
              <w:tr2bl w:val="nil"/>
            </w:tcBorders>
            <w:vAlign w:val="bottom"/>
          </w:tcPr>
          <w:p w14:paraId="3B29512C">
            <w:pPr>
              <w:keepNext w:val="0"/>
              <w:keepLines w:val="0"/>
              <w:widowControl/>
              <w:suppressLineNumbers w:val="0"/>
              <w:jc w:val="center"/>
              <w:textAlignment w:val="bottom"/>
              <w:rPr>
                <w:rFonts w:hint="default" w:ascii="Times New Roman" w:hAnsi="Times New Roman" w:cs="Times New Roman"/>
                <w:color w:val="FF0000"/>
                <w:kern w:val="0"/>
                <w:sz w:val="18"/>
                <w:szCs w:val="18"/>
                <w:lang w:val="en-US" w:bidi="ar"/>
              </w:rPr>
            </w:pPr>
            <w:r>
              <w:rPr>
                <w:rFonts w:hint="eastAsia" w:ascii="宋体" w:hAnsi="宋体" w:eastAsia="宋体" w:cs="宋体"/>
                <w:i w:val="0"/>
                <w:iCs w:val="0"/>
                <w:color w:val="FF0000"/>
                <w:kern w:val="0"/>
                <w:sz w:val="18"/>
                <w:szCs w:val="18"/>
                <w:u w:val="none"/>
                <w:lang w:val="en-US" w:eastAsia="zh-CN" w:bidi="ar"/>
              </w:rPr>
              <w:t>0.18928066</w:t>
            </w:r>
            <w:r>
              <w:rPr>
                <w:rFonts w:hint="eastAsia" w:ascii="宋体" w:hAnsi="宋体" w:cs="宋体"/>
                <w:i w:val="0"/>
                <w:iCs w:val="0"/>
                <w:color w:val="FF0000"/>
                <w:kern w:val="0"/>
                <w:sz w:val="18"/>
                <w:szCs w:val="18"/>
                <w:u w:val="none"/>
                <w:lang w:val="en-US" w:eastAsia="zh-CN" w:bidi="ar"/>
              </w:rPr>
              <w:t>0</w:t>
            </w:r>
          </w:p>
        </w:tc>
      </w:tr>
      <w:tr w14:paraId="3228096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 w:hRule="atLeast"/>
          <w:jc w:val="center"/>
        </w:trPr>
        <w:tc>
          <w:tcPr>
            <w:tcW w:w="580" w:type="pct"/>
            <w:vMerge w:val="restart"/>
            <w:tcBorders>
              <w:tl2br w:val="nil"/>
              <w:tr2bl w:val="nil"/>
            </w:tcBorders>
            <w:vAlign w:val="center"/>
          </w:tcPr>
          <w:p w14:paraId="0CEF56E4">
            <w:pPr>
              <w:jc w:val="left"/>
              <w:rPr>
                <w:rFonts w:hint="default" w:ascii="Times New Roman" w:hAnsi="Times New Roman" w:cs="Times New Roman"/>
                <w:sz w:val="18"/>
                <w:szCs w:val="18"/>
              </w:rPr>
            </w:pPr>
            <w:r>
              <w:rPr>
                <w:rFonts w:hint="default" w:ascii="Times New Roman" w:hAnsi="Times New Roman" w:cs="Times New Roman"/>
                <w:sz w:val="18"/>
                <w:szCs w:val="18"/>
              </w:rPr>
              <w:t>劳动资料</w:t>
            </w:r>
          </w:p>
        </w:tc>
        <w:tc>
          <w:tcPr>
            <w:tcW w:w="838" w:type="pct"/>
            <w:tcBorders>
              <w:tl2br w:val="nil"/>
              <w:tr2bl w:val="nil"/>
            </w:tcBorders>
            <w:vAlign w:val="center"/>
          </w:tcPr>
          <w:p w14:paraId="1C1BFB13">
            <w:pPr>
              <w:jc w:val="left"/>
              <w:rPr>
                <w:rFonts w:hint="default" w:ascii="Times New Roman" w:hAnsi="Times New Roman" w:cs="Times New Roman"/>
                <w:sz w:val="18"/>
                <w:szCs w:val="18"/>
              </w:rPr>
            </w:pPr>
            <w:r>
              <w:rPr>
                <w:rFonts w:hint="default" w:ascii="Times New Roman" w:hAnsi="Times New Roman" w:cs="Times New Roman"/>
                <w:sz w:val="18"/>
                <w:szCs w:val="18"/>
              </w:rPr>
              <w:t>研发经费投入占比</w:t>
            </w:r>
          </w:p>
        </w:tc>
        <w:tc>
          <w:tcPr>
            <w:tcW w:w="2750" w:type="pct"/>
            <w:tcBorders>
              <w:tl2br w:val="nil"/>
              <w:tr2bl w:val="nil"/>
            </w:tcBorders>
            <w:vAlign w:val="center"/>
          </w:tcPr>
          <w:p w14:paraId="5F2F2926">
            <w:pPr>
              <w:jc w:val="left"/>
              <w:rPr>
                <w:rFonts w:hint="default" w:ascii="Times New Roman" w:hAnsi="Times New Roman" w:cs="Times New Roman"/>
                <w:sz w:val="18"/>
                <w:szCs w:val="18"/>
              </w:rPr>
            </w:pPr>
            <w:r>
              <w:rPr>
                <w:rFonts w:hint="default" w:ascii="Times New Roman" w:hAnsi="Times New Roman" w:cs="Times New Roman"/>
                <w:sz w:val="18"/>
                <w:szCs w:val="18"/>
              </w:rPr>
              <w:t>研发支出/营业收入</w:t>
            </w:r>
          </w:p>
        </w:tc>
        <w:tc>
          <w:tcPr>
            <w:tcW w:w="831" w:type="pct"/>
            <w:tcBorders>
              <w:tl2br w:val="nil"/>
              <w:tr2bl w:val="nil"/>
            </w:tcBorders>
            <w:vAlign w:val="bottom"/>
          </w:tcPr>
          <w:p w14:paraId="577C382D">
            <w:pPr>
              <w:keepNext w:val="0"/>
              <w:keepLines w:val="0"/>
              <w:widowControl/>
              <w:suppressLineNumbers w:val="0"/>
              <w:jc w:val="center"/>
              <w:textAlignment w:val="bottom"/>
              <w:rPr>
                <w:rFonts w:hint="default" w:ascii="Times New Roman" w:hAnsi="Times New Roman" w:cs="Times New Roman"/>
                <w:color w:val="FF0000"/>
                <w:sz w:val="18"/>
                <w:szCs w:val="18"/>
              </w:rPr>
            </w:pPr>
            <w:r>
              <w:rPr>
                <w:rFonts w:hint="eastAsia" w:ascii="宋体" w:hAnsi="宋体" w:eastAsia="宋体" w:cs="宋体"/>
                <w:i w:val="0"/>
                <w:iCs w:val="0"/>
                <w:color w:val="FF0000"/>
                <w:kern w:val="0"/>
                <w:sz w:val="18"/>
                <w:szCs w:val="18"/>
                <w:u w:val="none"/>
                <w:lang w:val="en-US" w:eastAsia="zh-CN" w:bidi="ar"/>
              </w:rPr>
              <w:t>0.165794747</w:t>
            </w:r>
          </w:p>
        </w:tc>
      </w:tr>
      <w:tr w14:paraId="2D45100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 w:hRule="atLeast"/>
          <w:jc w:val="center"/>
        </w:trPr>
        <w:tc>
          <w:tcPr>
            <w:tcW w:w="580" w:type="pct"/>
            <w:vMerge w:val="continue"/>
            <w:tcBorders>
              <w:tl2br w:val="nil"/>
              <w:tr2bl w:val="nil"/>
            </w:tcBorders>
            <w:vAlign w:val="center"/>
          </w:tcPr>
          <w:p w14:paraId="05145AB7">
            <w:pPr>
              <w:jc w:val="left"/>
              <w:rPr>
                <w:rFonts w:hint="default" w:ascii="Times New Roman" w:hAnsi="Times New Roman" w:cs="Times New Roman"/>
                <w:sz w:val="18"/>
                <w:szCs w:val="18"/>
              </w:rPr>
            </w:pPr>
          </w:p>
        </w:tc>
        <w:tc>
          <w:tcPr>
            <w:tcW w:w="838" w:type="pct"/>
            <w:tcBorders>
              <w:tl2br w:val="nil"/>
              <w:tr2bl w:val="nil"/>
            </w:tcBorders>
            <w:vAlign w:val="center"/>
          </w:tcPr>
          <w:p w14:paraId="5C2C9B2D">
            <w:pPr>
              <w:jc w:val="left"/>
              <w:rPr>
                <w:rFonts w:hint="default" w:ascii="Times New Roman" w:hAnsi="Times New Roman" w:cs="Times New Roman"/>
                <w:sz w:val="18"/>
                <w:szCs w:val="18"/>
              </w:rPr>
            </w:pPr>
            <w:r>
              <w:rPr>
                <w:rFonts w:hint="default" w:ascii="Times New Roman" w:hAnsi="Times New Roman" w:cs="Times New Roman"/>
                <w:sz w:val="18"/>
                <w:szCs w:val="18"/>
              </w:rPr>
              <w:t xml:space="preserve">研发租赁费占比 </w:t>
            </w:r>
          </w:p>
        </w:tc>
        <w:tc>
          <w:tcPr>
            <w:tcW w:w="2750" w:type="pct"/>
            <w:tcBorders>
              <w:tl2br w:val="nil"/>
              <w:tr2bl w:val="nil"/>
            </w:tcBorders>
            <w:vAlign w:val="center"/>
          </w:tcPr>
          <w:p w14:paraId="6992A6B4">
            <w:pPr>
              <w:jc w:val="left"/>
              <w:rPr>
                <w:rFonts w:hint="default" w:ascii="Times New Roman" w:hAnsi="Times New Roman" w:cs="Times New Roman"/>
                <w:sz w:val="18"/>
                <w:szCs w:val="18"/>
              </w:rPr>
            </w:pPr>
            <w:r>
              <w:rPr>
                <w:rFonts w:hint="default" w:ascii="Times New Roman" w:hAnsi="Times New Roman" w:cs="Times New Roman"/>
                <w:sz w:val="18"/>
                <w:szCs w:val="18"/>
              </w:rPr>
              <w:t>研发费用-租赁费/营业收入</w:t>
            </w:r>
          </w:p>
        </w:tc>
        <w:tc>
          <w:tcPr>
            <w:tcW w:w="831" w:type="pct"/>
            <w:tcBorders>
              <w:tl2br w:val="nil"/>
              <w:tr2bl w:val="nil"/>
            </w:tcBorders>
            <w:vAlign w:val="bottom"/>
          </w:tcPr>
          <w:p w14:paraId="76E23890">
            <w:pPr>
              <w:keepNext w:val="0"/>
              <w:keepLines w:val="0"/>
              <w:widowControl/>
              <w:suppressLineNumbers w:val="0"/>
              <w:jc w:val="center"/>
              <w:textAlignment w:val="bottom"/>
              <w:rPr>
                <w:rFonts w:hint="default" w:ascii="Times New Roman" w:hAnsi="Times New Roman" w:cs="Times New Roman"/>
                <w:color w:val="FF0000"/>
                <w:sz w:val="18"/>
                <w:szCs w:val="18"/>
              </w:rPr>
            </w:pPr>
            <w:r>
              <w:rPr>
                <w:rFonts w:hint="eastAsia" w:ascii="宋体" w:hAnsi="宋体" w:eastAsia="宋体" w:cs="宋体"/>
                <w:i w:val="0"/>
                <w:iCs w:val="0"/>
                <w:color w:val="FF0000"/>
                <w:kern w:val="0"/>
                <w:sz w:val="18"/>
                <w:szCs w:val="18"/>
                <w:u w:val="none"/>
                <w:lang w:val="en-US" w:eastAsia="zh-CN" w:bidi="ar"/>
              </w:rPr>
              <w:t>0.278808397</w:t>
            </w:r>
          </w:p>
        </w:tc>
      </w:tr>
      <w:tr w14:paraId="5F14C52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 w:hRule="atLeast"/>
          <w:jc w:val="center"/>
        </w:trPr>
        <w:tc>
          <w:tcPr>
            <w:tcW w:w="580" w:type="pct"/>
            <w:vMerge w:val="continue"/>
            <w:tcBorders>
              <w:tl2br w:val="nil"/>
              <w:tr2bl w:val="nil"/>
            </w:tcBorders>
            <w:vAlign w:val="center"/>
          </w:tcPr>
          <w:p w14:paraId="75C1231F">
            <w:pPr>
              <w:jc w:val="left"/>
              <w:rPr>
                <w:rFonts w:hint="default" w:ascii="Times New Roman" w:hAnsi="Times New Roman" w:cs="Times New Roman"/>
                <w:sz w:val="18"/>
                <w:szCs w:val="18"/>
              </w:rPr>
            </w:pPr>
          </w:p>
        </w:tc>
        <w:tc>
          <w:tcPr>
            <w:tcW w:w="838" w:type="pct"/>
            <w:tcBorders>
              <w:tl2br w:val="nil"/>
              <w:tr2bl w:val="nil"/>
            </w:tcBorders>
            <w:vAlign w:val="center"/>
          </w:tcPr>
          <w:p w14:paraId="6B86D321">
            <w:pPr>
              <w:jc w:val="left"/>
              <w:rPr>
                <w:rFonts w:hint="default" w:ascii="Times New Roman" w:hAnsi="Times New Roman" w:cs="Times New Roman"/>
                <w:sz w:val="18"/>
                <w:szCs w:val="18"/>
              </w:rPr>
            </w:pPr>
            <w:r>
              <w:rPr>
                <w:rFonts w:hint="default" w:ascii="Times New Roman" w:hAnsi="Times New Roman" w:cs="Times New Roman"/>
                <w:sz w:val="18"/>
                <w:szCs w:val="18"/>
              </w:rPr>
              <w:t>企业创新水平</w:t>
            </w:r>
          </w:p>
        </w:tc>
        <w:tc>
          <w:tcPr>
            <w:tcW w:w="2750" w:type="pct"/>
            <w:tcBorders>
              <w:tl2br w:val="nil"/>
              <w:tr2bl w:val="nil"/>
            </w:tcBorders>
            <w:vAlign w:val="center"/>
          </w:tcPr>
          <w:p w14:paraId="633D3600">
            <w:pPr>
              <w:jc w:val="left"/>
              <w:rPr>
                <w:rFonts w:hint="default" w:ascii="Times New Roman" w:hAnsi="Times New Roman" w:cs="Times New Roman"/>
                <w:sz w:val="18"/>
                <w:szCs w:val="18"/>
              </w:rPr>
            </w:pPr>
            <w:r>
              <w:rPr>
                <w:rFonts w:hint="default" w:ascii="Times New Roman" w:hAnsi="Times New Roman" w:cs="Times New Roman"/>
                <w:sz w:val="18"/>
                <w:szCs w:val="18"/>
              </w:rPr>
              <w:t>Ln(企业专利申请数量+1)</w:t>
            </w:r>
          </w:p>
        </w:tc>
        <w:tc>
          <w:tcPr>
            <w:tcW w:w="831" w:type="pct"/>
            <w:tcBorders>
              <w:tl2br w:val="nil"/>
              <w:tr2bl w:val="nil"/>
            </w:tcBorders>
            <w:vAlign w:val="bottom"/>
          </w:tcPr>
          <w:p w14:paraId="60B83CE3">
            <w:pPr>
              <w:keepNext w:val="0"/>
              <w:keepLines w:val="0"/>
              <w:widowControl/>
              <w:suppressLineNumbers w:val="0"/>
              <w:jc w:val="center"/>
              <w:textAlignment w:val="bottom"/>
              <w:rPr>
                <w:rFonts w:hint="default" w:ascii="Times New Roman" w:hAnsi="Times New Roman" w:cs="Times New Roman"/>
                <w:color w:val="FF0000"/>
                <w:sz w:val="18"/>
                <w:szCs w:val="18"/>
              </w:rPr>
            </w:pPr>
            <w:r>
              <w:rPr>
                <w:rFonts w:hint="eastAsia" w:ascii="宋体" w:hAnsi="宋体" w:eastAsia="宋体" w:cs="宋体"/>
                <w:i w:val="0"/>
                <w:iCs w:val="0"/>
                <w:color w:val="FF0000"/>
                <w:kern w:val="0"/>
                <w:sz w:val="18"/>
                <w:szCs w:val="18"/>
                <w:u w:val="none"/>
                <w:lang w:val="en-US" w:eastAsia="zh-CN" w:bidi="ar"/>
              </w:rPr>
              <w:t>0.044418047</w:t>
            </w:r>
          </w:p>
        </w:tc>
      </w:tr>
      <w:tr w14:paraId="15A2CE0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 w:hRule="atLeast"/>
          <w:jc w:val="center"/>
        </w:trPr>
        <w:tc>
          <w:tcPr>
            <w:tcW w:w="580" w:type="pct"/>
            <w:vMerge w:val="continue"/>
            <w:tcBorders>
              <w:tl2br w:val="nil"/>
              <w:tr2bl w:val="nil"/>
            </w:tcBorders>
            <w:vAlign w:val="center"/>
          </w:tcPr>
          <w:p w14:paraId="4722F490">
            <w:pPr>
              <w:jc w:val="left"/>
              <w:rPr>
                <w:rFonts w:hint="default" w:ascii="Times New Roman" w:hAnsi="Times New Roman" w:cs="Times New Roman"/>
                <w:sz w:val="18"/>
                <w:szCs w:val="18"/>
              </w:rPr>
            </w:pPr>
          </w:p>
        </w:tc>
        <w:tc>
          <w:tcPr>
            <w:tcW w:w="838" w:type="pct"/>
            <w:tcBorders>
              <w:tl2br w:val="nil"/>
              <w:tr2bl w:val="nil"/>
            </w:tcBorders>
            <w:vAlign w:val="center"/>
          </w:tcPr>
          <w:p w14:paraId="29728DB3">
            <w:pPr>
              <w:jc w:val="left"/>
              <w:rPr>
                <w:rFonts w:hint="default" w:ascii="Times New Roman" w:hAnsi="Times New Roman" w:cs="Times New Roman"/>
                <w:sz w:val="18"/>
                <w:szCs w:val="18"/>
              </w:rPr>
            </w:pPr>
            <w:r>
              <w:rPr>
                <w:rFonts w:hint="default" w:ascii="Times New Roman" w:hAnsi="Times New Roman" w:cs="Times New Roman"/>
                <w:sz w:val="18"/>
                <w:szCs w:val="18"/>
              </w:rPr>
              <w:t>数字资产占比</w:t>
            </w:r>
          </w:p>
        </w:tc>
        <w:tc>
          <w:tcPr>
            <w:tcW w:w="2750" w:type="pct"/>
            <w:tcBorders>
              <w:tl2br w:val="nil"/>
              <w:tr2bl w:val="nil"/>
            </w:tcBorders>
            <w:vAlign w:val="center"/>
          </w:tcPr>
          <w:p w14:paraId="39AD2A18">
            <w:pPr>
              <w:jc w:val="left"/>
              <w:rPr>
                <w:rFonts w:hint="default" w:ascii="Times New Roman" w:hAnsi="Times New Roman" w:cs="Times New Roman"/>
                <w:sz w:val="18"/>
                <w:szCs w:val="18"/>
              </w:rPr>
            </w:pPr>
            <w:r>
              <w:rPr>
                <w:rFonts w:hint="default" w:ascii="Times New Roman" w:hAnsi="Times New Roman" w:cs="Times New Roman"/>
                <w:sz w:val="18"/>
                <w:szCs w:val="18"/>
              </w:rPr>
              <w:t>企业内涉及数字技术的无形资产/无形资产总额</w:t>
            </w:r>
          </w:p>
        </w:tc>
        <w:tc>
          <w:tcPr>
            <w:tcW w:w="831" w:type="pct"/>
            <w:tcBorders>
              <w:tl2br w:val="nil"/>
              <w:tr2bl w:val="nil"/>
            </w:tcBorders>
            <w:vAlign w:val="bottom"/>
          </w:tcPr>
          <w:p w14:paraId="22A59578">
            <w:pPr>
              <w:keepNext w:val="0"/>
              <w:keepLines w:val="0"/>
              <w:widowControl/>
              <w:suppressLineNumbers w:val="0"/>
              <w:jc w:val="center"/>
              <w:textAlignment w:val="bottom"/>
              <w:rPr>
                <w:rFonts w:hint="default" w:ascii="Times New Roman" w:hAnsi="Times New Roman" w:cs="Times New Roman"/>
                <w:color w:val="FF0000"/>
                <w:sz w:val="18"/>
                <w:szCs w:val="18"/>
              </w:rPr>
            </w:pPr>
            <w:r>
              <w:rPr>
                <w:rFonts w:hint="eastAsia" w:ascii="宋体" w:hAnsi="宋体" w:eastAsia="宋体" w:cs="宋体"/>
                <w:i w:val="0"/>
                <w:iCs w:val="0"/>
                <w:color w:val="FF0000"/>
                <w:kern w:val="0"/>
                <w:sz w:val="18"/>
                <w:szCs w:val="18"/>
                <w:u w:val="none"/>
                <w:lang w:val="en-US" w:eastAsia="zh-CN" w:bidi="ar"/>
              </w:rPr>
              <w:t>0.041090384</w:t>
            </w:r>
          </w:p>
        </w:tc>
      </w:tr>
      <w:tr w14:paraId="08A95A4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 w:hRule="atLeast"/>
          <w:jc w:val="center"/>
        </w:trPr>
        <w:tc>
          <w:tcPr>
            <w:tcW w:w="580" w:type="pct"/>
            <w:vMerge w:val="restart"/>
            <w:tcBorders>
              <w:tl2br w:val="nil"/>
              <w:tr2bl w:val="nil"/>
            </w:tcBorders>
            <w:vAlign w:val="center"/>
          </w:tcPr>
          <w:p w14:paraId="7D6CCB9C">
            <w:pPr>
              <w:jc w:val="left"/>
              <w:rPr>
                <w:rFonts w:hint="default" w:ascii="Times New Roman" w:hAnsi="Times New Roman" w:cs="Times New Roman"/>
                <w:sz w:val="18"/>
                <w:szCs w:val="18"/>
              </w:rPr>
            </w:pPr>
            <w:r>
              <w:rPr>
                <w:rFonts w:hint="default" w:ascii="Times New Roman" w:hAnsi="Times New Roman" w:cs="Times New Roman"/>
                <w:sz w:val="18"/>
                <w:szCs w:val="18"/>
              </w:rPr>
              <w:t>劳动对象</w:t>
            </w:r>
          </w:p>
        </w:tc>
        <w:tc>
          <w:tcPr>
            <w:tcW w:w="838" w:type="pct"/>
            <w:tcBorders>
              <w:tl2br w:val="nil"/>
              <w:tr2bl w:val="nil"/>
            </w:tcBorders>
            <w:vAlign w:val="center"/>
          </w:tcPr>
          <w:p w14:paraId="5AAFDD54">
            <w:pPr>
              <w:jc w:val="left"/>
              <w:rPr>
                <w:rFonts w:hint="default" w:ascii="Times New Roman" w:hAnsi="Times New Roman" w:cs="Times New Roman"/>
                <w:sz w:val="18"/>
                <w:szCs w:val="18"/>
              </w:rPr>
            </w:pPr>
            <w:r>
              <w:rPr>
                <w:rFonts w:hint="default" w:ascii="Times New Roman" w:hAnsi="Times New Roman" w:cs="Times New Roman"/>
                <w:sz w:val="18"/>
                <w:szCs w:val="18"/>
              </w:rPr>
              <w:t>固定资产占比</w:t>
            </w:r>
          </w:p>
        </w:tc>
        <w:tc>
          <w:tcPr>
            <w:tcW w:w="2750" w:type="pct"/>
            <w:tcBorders>
              <w:tl2br w:val="nil"/>
              <w:tr2bl w:val="nil"/>
            </w:tcBorders>
            <w:vAlign w:val="center"/>
          </w:tcPr>
          <w:p w14:paraId="5CABBDBA">
            <w:pPr>
              <w:jc w:val="left"/>
              <w:rPr>
                <w:rFonts w:hint="default" w:ascii="Times New Roman" w:hAnsi="Times New Roman" w:cs="Times New Roman"/>
                <w:sz w:val="18"/>
                <w:szCs w:val="18"/>
              </w:rPr>
            </w:pPr>
            <w:r>
              <w:rPr>
                <w:rFonts w:hint="default" w:ascii="Times New Roman" w:hAnsi="Times New Roman" w:cs="Times New Roman"/>
                <w:sz w:val="18"/>
                <w:szCs w:val="18"/>
              </w:rPr>
              <w:t>固定资产/总资产</w:t>
            </w:r>
          </w:p>
        </w:tc>
        <w:tc>
          <w:tcPr>
            <w:tcW w:w="831" w:type="pct"/>
            <w:tcBorders>
              <w:tl2br w:val="nil"/>
              <w:tr2bl w:val="nil"/>
            </w:tcBorders>
            <w:vAlign w:val="bottom"/>
          </w:tcPr>
          <w:p w14:paraId="2C9A5FB2">
            <w:pPr>
              <w:keepNext w:val="0"/>
              <w:keepLines w:val="0"/>
              <w:widowControl/>
              <w:suppressLineNumbers w:val="0"/>
              <w:jc w:val="center"/>
              <w:textAlignment w:val="bottom"/>
              <w:rPr>
                <w:rFonts w:hint="default" w:ascii="Times New Roman" w:hAnsi="Times New Roman" w:cs="Times New Roman"/>
                <w:color w:val="FF0000"/>
                <w:sz w:val="18"/>
                <w:szCs w:val="18"/>
              </w:rPr>
            </w:pPr>
            <w:r>
              <w:rPr>
                <w:rFonts w:hint="eastAsia" w:ascii="宋体" w:hAnsi="宋体" w:eastAsia="宋体" w:cs="宋体"/>
                <w:i w:val="0"/>
                <w:iCs w:val="0"/>
                <w:color w:val="FF0000"/>
                <w:kern w:val="0"/>
                <w:sz w:val="18"/>
                <w:szCs w:val="18"/>
                <w:u w:val="none"/>
                <w:lang w:val="en-US" w:eastAsia="zh-CN" w:bidi="ar"/>
              </w:rPr>
              <w:t>0.044527265</w:t>
            </w:r>
          </w:p>
        </w:tc>
      </w:tr>
      <w:tr w14:paraId="5DC8116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 w:hRule="atLeast"/>
          <w:jc w:val="center"/>
        </w:trPr>
        <w:tc>
          <w:tcPr>
            <w:tcW w:w="580" w:type="pct"/>
            <w:vMerge w:val="continue"/>
            <w:tcBorders>
              <w:tl2br w:val="nil"/>
              <w:tr2bl w:val="nil"/>
            </w:tcBorders>
            <w:vAlign w:val="center"/>
          </w:tcPr>
          <w:p w14:paraId="3F2E8179">
            <w:pPr>
              <w:jc w:val="left"/>
              <w:rPr>
                <w:rFonts w:hint="default" w:ascii="Times New Roman" w:hAnsi="Times New Roman" w:cs="Times New Roman"/>
                <w:sz w:val="18"/>
                <w:szCs w:val="18"/>
              </w:rPr>
            </w:pPr>
          </w:p>
        </w:tc>
        <w:tc>
          <w:tcPr>
            <w:tcW w:w="838" w:type="pct"/>
            <w:tcBorders>
              <w:tl2br w:val="nil"/>
              <w:tr2bl w:val="nil"/>
            </w:tcBorders>
            <w:vAlign w:val="center"/>
          </w:tcPr>
          <w:p w14:paraId="7801A1B3">
            <w:pPr>
              <w:jc w:val="left"/>
              <w:rPr>
                <w:rFonts w:hint="default" w:ascii="Times New Roman" w:hAnsi="Times New Roman" w:cs="Times New Roman"/>
                <w:sz w:val="18"/>
                <w:szCs w:val="18"/>
              </w:rPr>
            </w:pPr>
            <w:r>
              <w:rPr>
                <w:rFonts w:hint="default" w:ascii="Times New Roman" w:hAnsi="Times New Roman" w:cs="Times New Roman"/>
                <w:sz w:val="18"/>
                <w:szCs w:val="18"/>
              </w:rPr>
              <w:t>无形资产占比</w:t>
            </w:r>
          </w:p>
        </w:tc>
        <w:tc>
          <w:tcPr>
            <w:tcW w:w="2750" w:type="pct"/>
            <w:tcBorders>
              <w:tl2br w:val="nil"/>
              <w:tr2bl w:val="nil"/>
            </w:tcBorders>
            <w:vAlign w:val="center"/>
          </w:tcPr>
          <w:p w14:paraId="5F93D700">
            <w:pPr>
              <w:jc w:val="left"/>
              <w:rPr>
                <w:rFonts w:hint="default" w:ascii="Times New Roman" w:hAnsi="Times New Roman" w:cs="Times New Roman"/>
                <w:sz w:val="18"/>
                <w:szCs w:val="18"/>
              </w:rPr>
            </w:pPr>
            <w:r>
              <w:rPr>
                <w:rFonts w:hint="default" w:ascii="Times New Roman" w:hAnsi="Times New Roman" w:cs="Times New Roman"/>
                <w:sz w:val="18"/>
                <w:szCs w:val="18"/>
              </w:rPr>
              <w:t>无形资产/总资产</w:t>
            </w:r>
          </w:p>
        </w:tc>
        <w:tc>
          <w:tcPr>
            <w:tcW w:w="831" w:type="pct"/>
            <w:tcBorders>
              <w:tl2br w:val="nil"/>
              <w:tr2bl w:val="nil"/>
            </w:tcBorders>
            <w:vAlign w:val="bottom"/>
          </w:tcPr>
          <w:p w14:paraId="65CC7913">
            <w:pPr>
              <w:keepNext w:val="0"/>
              <w:keepLines w:val="0"/>
              <w:widowControl/>
              <w:suppressLineNumbers w:val="0"/>
              <w:jc w:val="center"/>
              <w:textAlignment w:val="bottom"/>
              <w:rPr>
                <w:rFonts w:hint="default" w:ascii="Times New Roman" w:hAnsi="Times New Roman" w:cs="Times New Roman"/>
                <w:color w:val="FF0000"/>
                <w:sz w:val="18"/>
                <w:szCs w:val="18"/>
              </w:rPr>
            </w:pPr>
            <w:r>
              <w:rPr>
                <w:rFonts w:hint="eastAsia" w:ascii="宋体" w:hAnsi="宋体" w:eastAsia="宋体" w:cs="宋体"/>
                <w:i w:val="0"/>
                <w:iCs w:val="0"/>
                <w:color w:val="FF0000"/>
                <w:kern w:val="0"/>
                <w:sz w:val="18"/>
                <w:szCs w:val="18"/>
                <w:u w:val="none"/>
                <w:lang w:val="en-US" w:eastAsia="zh-CN" w:bidi="ar"/>
              </w:rPr>
              <w:t>0.035362937</w:t>
            </w:r>
          </w:p>
        </w:tc>
      </w:tr>
      <w:tr w14:paraId="0AB217E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 w:hRule="atLeast"/>
          <w:jc w:val="center"/>
        </w:trPr>
        <w:tc>
          <w:tcPr>
            <w:tcW w:w="580" w:type="pct"/>
            <w:vMerge w:val="continue"/>
            <w:tcBorders>
              <w:tl2br w:val="nil"/>
              <w:tr2bl w:val="nil"/>
            </w:tcBorders>
            <w:vAlign w:val="center"/>
          </w:tcPr>
          <w:p w14:paraId="253A83AC">
            <w:pPr>
              <w:jc w:val="left"/>
              <w:rPr>
                <w:rFonts w:hint="default" w:ascii="Times New Roman" w:hAnsi="Times New Roman" w:cs="Times New Roman"/>
                <w:sz w:val="18"/>
                <w:szCs w:val="18"/>
              </w:rPr>
            </w:pPr>
          </w:p>
        </w:tc>
        <w:tc>
          <w:tcPr>
            <w:tcW w:w="838" w:type="pct"/>
            <w:tcBorders>
              <w:tl2br w:val="nil"/>
              <w:tr2bl w:val="nil"/>
            </w:tcBorders>
            <w:vAlign w:val="center"/>
          </w:tcPr>
          <w:p w14:paraId="35944FF5">
            <w:pPr>
              <w:jc w:val="left"/>
              <w:rPr>
                <w:rFonts w:hint="default" w:ascii="Times New Roman" w:hAnsi="Times New Roman" w:cs="Times New Roman"/>
                <w:sz w:val="18"/>
                <w:szCs w:val="18"/>
              </w:rPr>
            </w:pPr>
            <w:r>
              <w:rPr>
                <w:rFonts w:hint="default" w:ascii="Times New Roman" w:hAnsi="Times New Roman" w:cs="Times New Roman"/>
                <w:sz w:val="18"/>
                <w:szCs w:val="18"/>
              </w:rPr>
              <w:t>机器人渗透率</w:t>
            </w:r>
          </w:p>
        </w:tc>
        <w:tc>
          <w:tcPr>
            <w:tcW w:w="2750" w:type="pct"/>
            <w:tcBorders>
              <w:tl2br w:val="nil"/>
              <w:tr2bl w:val="nil"/>
            </w:tcBorders>
            <w:vAlign w:val="center"/>
          </w:tcPr>
          <w:p w14:paraId="34630A03">
            <w:pPr>
              <w:jc w:val="left"/>
              <w:rPr>
                <w:rFonts w:hint="default" w:ascii="Times New Roman" w:hAnsi="Times New Roman" w:cs="Times New Roman"/>
                <w:sz w:val="18"/>
                <w:szCs w:val="18"/>
              </w:rPr>
            </w:pPr>
            <w:r>
              <w:rPr>
                <w:rFonts w:hint="default" w:ascii="Times New Roman" w:hAnsi="Times New Roman" w:cs="Times New Roman"/>
                <w:sz w:val="18"/>
                <w:szCs w:val="18"/>
              </w:rPr>
              <w:t>企业层面机器人渗透率</w:t>
            </w:r>
          </w:p>
        </w:tc>
        <w:tc>
          <w:tcPr>
            <w:tcW w:w="831" w:type="pct"/>
            <w:tcBorders>
              <w:tl2br w:val="nil"/>
              <w:tr2bl w:val="nil"/>
            </w:tcBorders>
            <w:vAlign w:val="bottom"/>
          </w:tcPr>
          <w:p w14:paraId="63B0FC5D">
            <w:pPr>
              <w:keepNext w:val="0"/>
              <w:keepLines w:val="0"/>
              <w:widowControl/>
              <w:suppressLineNumbers w:val="0"/>
              <w:jc w:val="center"/>
              <w:textAlignment w:val="bottom"/>
              <w:rPr>
                <w:rFonts w:hint="default" w:ascii="Times New Roman" w:hAnsi="Times New Roman" w:cs="Times New Roman"/>
                <w:color w:val="FF0000"/>
                <w:sz w:val="18"/>
                <w:szCs w:val="18"/>
              </w:rPr>
            </w:pPr>
            <w:r>
              <w:rPr>
                <w:rFonts w:hint="eastAsia" w:ascii="宋体" w:hAnsi="宋体" w:eastAsia="宋体" w:cs="宋体"/>
                <w:i w:val="0"/>
                <w:iCs w:val="0"/>
                <w:color w:val="FF0000"/>
                <w:kern w:val="0"/>
                <w:sz w:val="18"/>
                <w:szCs w:val="18"/>
                <w:u w:val="none"/>
                <w:lang w:val="en-US" w:eastAsia="zh-CN" w:bidi="ar"/>
              </w:rPr>
              <w:t>0.032669384</w:t>
            </w:r>
          </w:p>
        </w:tc>
      </w:tr>
      <w:tr w14:paraId="42B74A2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8" w:hRule="atLeast"/>
          <w:jc w:val="center"/>
        </w:trPr>
        <w:tc>
          <w:tcPr>
            <w:tcW w:w="580" w:type="pct"/>
            <w:vMerge w:val="continue"/>
            <w:tcBorders>
              <w:tl2br w:val="nil"/>
              <w:tr2bl w:val="nil"/>
            </w:tcBorders>
            <w:vAlign w:val="center"/>
          </w:tcPr>
          <w:p w14:paraId="7351B068">
            <w:pPr>
              <w:jc w:val="left"/>
              <w:rPr>
                <w:rFonts w:hint="default" w:ascii="Times New Roman" w:hAnsi="Times New Roman" w:cs="Times New Roman"/>
                <w:sz w:val="18"/>
                <w:szCs w:val="18"/>
              </w:rPr>
            </w:pPr>
          </w:p>
        </w:tc>
        <w:tc>
          <w:tcPr>
            <w:tcW w:w="838" w:type="pct"/>
            <w:tcBorders>
              <w:tl2br w:val="nil"/>
              <w:tr2bl w:val="nil"/>
            </w:tcBorders>
            <w:vAlign w:val="center"/>
          </w:tcPr>
          <w:p w14:paraId="3875DAE8">
            <w:pPr>
              <w:jc w:val="left"/>
              <w:rPr>
                <w:rFonts w:hint="default" w:ascii="Times New Roman" w:hAnsi="Times New Roman" w:cs="Times New Roman"/>
                <w:sz w:val="18"/>
                <w:szCs w:val="18"/>
              </w:rPr>
            </w:pPr>
            <w:r>
              <w:rPr>
                <w:rFonts w:hint="default" w:ascii="Times New Roman" w:hAnsi="Times New Roman" w:cs="Times New Roman"/>
                <w:sz w:val="18"/>
                <w:szCs w:val="18"/>
              </w:rPr>
              <w:t>绿色环保</w:t>
            </w:r>
          </w:p>
        </w:tc>
        <w:tc>
          <w:tcPr>
            <w:tcW w:w="2750" w:type="pct"/>
            <w:tcBorders>
              <w:tl2br w:val="nil"/>
              <w:tr2bl w:val="nil"/>
            </w:tcBorders>
            <w:vAlign w:val="center"/>
          </w:tcPr>
          <w:p w14:paraId="437CB812">
            <w:pPr>
              <w:jc w:val="left"/>
              <w:rPr>
                <w:rFonts w:hint="default" w:ascii="Times New Roman" w:hAnsi="Times New Roman" w:cs="Times New Roman"/>
                <w:sz w:val="18"/>
                <w:szCs w:val="18"/>
              </w:rPr>
            </w:pPr>
            <w:r>
              <w:rPr>
                <w:rFonts w:hint="default" w:ascii="Times New Roman" w:hAnsi="Times New Roman" w:cs="Times New Roman"/>
                <w:sz w:val="18"/>
                <w:szCs w:val="18"/>
              </w:rPr>
              <w:t>华证 ESG 评分体系中的环境得分</w:t>
            </w:r>
          </w:p>
        </w:tc>
        <w:tc>
          <w:tcPr>
            <w:tcW w:w="831" w:type="pct"/>
            <w:tcBorders>
              <w:tl2br w:val="nil"/>
              <w:tr2bl w:val="nil"/>
            </w:tcBorders>
            <w:vAlign w:val="bottom"/>
          </w:tcPr>
          <w:p w14:paraId="4C04CF10">
            <w:pPr>
              <w:keepNext w:val="0"/>
              <w:keepLines w:val="0"/>
              <w:widowControl/>
              <w:suppressLineNumbers w:val="0"/>
              <w:jc w:val="center"/>
              <w:textAlignment w:val="bottom"/>
              <w:rPr>
                <w:rFonts w:hint="default" w:ascii="Times New Roman" w:hAnsi="Times New Roman" w:cs="Times New Roman"/>
                <w:color w:val="FF0000"/>
                <w:sz w:val="18"/>
                <w:szCs w:val="18"/>
              </w:rPr>
            </w:pPr>
            <w:r>
              <w:rPr>
                <w:rFonts w:hint="eastAsia" w:ascii="宋体" w:hAnsi="宋体" w:eastAsia="宋体" w:cs="宋体"/>
                <w:i w:val="0"/>
                <w:iCs w:val="0"/>
                <w:color w:val="FF0000"/>
                <w:kern w:val="0"/>
                <w:sz w:val="18"/>
                <w:szCs w:val="18"/>
                <w:u w:val="none"/>
                <w:lang w:val="en-US" w:eastAsia="zh-CN" w:bidi="ar"/>
              </w:rPr>
              <w:t>0.031045347</w:t>
            </w:r>
          </w:p>
        </w:tc>
      </w:tr>
    </w:tbl>
    <w:p w14:paraId="3D5FED0A">
      <w:pPr>
        <w:ind w:firstLine="420" w:firstLineChars="200"/>
        <w:rPr>
          <w:rFonts w:hint="default" w:cs="Times New Roman"/>
          <w:color w:val="FF0000"/>
          <w:sz w:val="21"/>
          <w:szCs w:val="21"/>
          <w:lang w:val="en-US" w:eastAsia="zh-CN" w:bidi="ar"/>
        </w:rPr>
      </w:pPr>
      <w:r>
        <w:rPr>
          <w:rFonts w:hint="eastAsia" w:cs="Times New Roman"/>
          <w:color w:val="FF0000"/>
          <w:sz w:val="21"/>
          <w:szCs w:val="21"/>
          <w:lang w:val="en-US" w:eastAsia="zh-CN" w:bidi="ar"/>
        </w:rPr>
        <w:t>邀请了五位专家，专家给出的排序和决策者对专家的排序，如</w:t>
      </w:r>
      <w:r>
        <w:rPr>
          <w:rFonts w:hint="eastAsia" w:cs="Times New Roman"/>
          <w:color w:val="FF0000"/>
          <w:sz w:val="21"/>
          <w:szCs w:val="21"/>
          <w:highlight w:val="yellow"/>
          <w:lang w:val="en-US" w:eastAsia="zh-CN" w:bidi="ar"/>
        </w:rPr>
        <w:t>表t1</w:t>
      </w:r>
      <w:r>
        <w:rPr>
          <w:rFonts w:hint="eastAsia" w:cs="Times New Roman"/>
          <w:color w:val="FF0000"/>
          <w:sz w:val="21"/>
          <w:szCs w:val="21"/>
          <w:lang w:val="en-US" w:eastAsia="zh-CN" w:bidi="ar"/>
        </w:rPr>
        <w:t>所示.最终结果使用OPA-熵权测度方法进行指标赋权，使用Gurobi计算,主客观融合指标权重</w:t>
      </w:r>
      <w:r>
        <w:rPr>
          <w:rFonts w:hint="eastAsia" w:cs="Times New Roman"/>
          <w:color w:val="FF0000"/>
          <w:sz w:val="21"/>
          <w:szCs w:val="21"/>
          <w:lang w:val="en-US" w:eastAsia="zh-CN" w:bidi="ar"/>
        </w:rPr>
        <w:t>如表1最后一列所示.</w:t>
      </w:r>
    </w:p>
    <w:p w14:paraId="54D76CA6">
      <w:pPr>
        <w:ind w:firstLine="480"/>
        <w:jc w:val="center"/>
        <w:rPr>
          <w:rFonts w:hint="default" w:eastAsia="宋体" w:cs="Times New Roman"/>
          <w:b w:val="0"/>
          <w:bCs/>
          <w:color w:val="FF0000"/>
          <w:sz w:val="21"/>
          <w:szCs w:val="21"/>
          <w:lang w:val="en-US" w:eastAsia="zh-CN"/>
        </w:rPr>
      </w:pPr>
      <w:r>
        <w:rPr>
          <w:rFonts w:cs="Times New Roman"/>
          <w:color w:val="FF0000"/>
          <w:sz w:val="18"/>
          <w:szCs w:val="18"/>
          <w:highlight w:val="yellow"/>
          <w:lang w:bidi="ar"/>
        </w:rPr>
        <w:t>表</w:t>
      </w:r>
      <w:r>
        <w:rPr>
          <w:rFonts w:hint="eastAsia" w:cs="Times New Roman"/>
          <w:color w:val="FF0000"/>
          <w:sz w:val="18"/>
          <w:szCs w:val="18"/>
          <w:highlight w:val="yellow"/>
          <w:lang w:val="en-US" w:eastAsia="zh-CN" w:bidi="ar"/>
        </w:rPr>
        <w:t>t1</w:t>
      </w:r>
      <w:r>
        <w:rPr>
          <w:rFonts w:cs="Times New Roman"/>
          <w:color w:val="FF0000"/>
          <w:sz w:val="18"/>
          <w:szCs w:val="18"/>
          <w:highlight w:val="yellow"/>
          <w:lang w:bidi="ar"/>
        </w:rPr>
        <w:t xml:space="preserve"> </w:t>
      </w:r>
      <w:r>
        <w:rPr>
          <w:rFonts w:hint="eastAsia" w:cs="Times New Roman"/>
          <w:color w:val="FF0000"/>
          <w:sz w:val="18"/>
          <w:szCs w:val="18"/>
          <w:lang w:val="en-US" w:eastAsia="zh-CN" w:bidi="ar"/>
        </w:rPr>
        <w:t>专家排序信息汇总</w:t>
      </w:r>
    </w:p>
    <w:tbl>
      <w:tblPr>
        <w:tblW w:w="4997"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1772"/>
        <w:gridCol w:w="1973"/>
        <w:gridCol w:w="1551"/>
        <w:gridCol w:w="1551"/>
        <w:gridCol w:w="1551"/>
        <w:gridCol w:w="1552"/>
      </w:tblGrid>
      <w:tr w14:paraId="7E16AA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trPr>
        <w:tc>
          <w:tcPr>
            <w:tcW w:w="890" w:type="pct"/>
            <w:tcBorders>
              <w:top w:val="single" w:color="000000" w:sz="12" w:space="0"/>
              <w:left w:val="nil"/>
              <w:bottom w:val="nil"/>
              <w:right w:val="nil"/>
            </w:tcBorders>
            <w:shd w:val="clear" w:color="auto" w:fill="F1F1F1" w:themeFill="background1" w:themeFillShade="F2"/>
            <w:vAlign w:val="center"/>
          </w:tcPr>
          <w:p w14:paraId="42FEEBD8">
            <w:pPr>
              <w:jc w:val="center"/>
              <w:rPr>
                <w:rFonts w:hint="eastAsia" w:ascii="宋体" w:hAnsi="宋体" w:eastAsia="宋体" w:cs="宋体"/>
                <w:i w:val="0"/>
                <w:iCs w:val="0"/>
                <w:color w:val="FF0000"/>
                <w:sz w:val="18"/>
                <w:szCs w:val="18"/>
                <w:u w:val="none"/>
              </w:rPr>
            </w:pPr>
          </w:p>
        </w:tc>
        <w:tc>
          <w:tcPr>
            <w:tcW w:w="991" w:type="pct"/>
            <w:tcBorders>
              <w:top w:val="single" w:color="000000" w:sz="12" w:space="0"/>
              <w:left w:val="nil"/>
              <w:bottom w:val="nil"/>
              <w:right w:val="nil"/>
            </w:tcBorders>
            <w:shd w:val="clear" w:color="auto" w:fill="F1F1F1" w:themeFill="background1" w:themeFillShade="F2"/>
            <w:vAlign w:val="center"/>
          </w:tcPr>
          <w:p w14:paraId="29D9CF89">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专家1</w:t>
            </w:r>
          </w:p>
        </w:tc>
        <w:tc>
          <w:tcPr>
            <w:tcW w:w="779" w:type="pct"/>
            <w:tcBorders>
              <w:top w:val="single" w:color="000000" w:sz="12" w:space="0"/>
              <w:left w:val="nil"/>
              <w:bottom w:val="nil"/>
              <w:right w:val="nil"/>
            </w:tcBorders>
            <w:shd w:val="clear" w:color="auto" w:fill="F1F1F1" w:themeFill="background1" w:themeFillShade="F2"/>
            <w:vAlign w:val="center"/>
          </w:tcPr>
          <w:p w14:paraId="0828967A">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专家2</w:t>
            </w:r>
          </w:p>
        </w:tc>
        <w:tc>
          <w:tcPr>
            <w:tcW w:w="779" w:type="pct"/>
            <w:tcBorders>
              <w:top w:val="single" w:color="000000" w:sz="12" w:space="0"/>
              <w:left w:val="nil"/>
              <w:bottom w:val="nil"/>
              <w:right w:val="nil"/>
            </w:tcBorders>
            <w:shd w:val="clear" w:color="auto" w:fill="F1F1F1" w:themeFill="background1" w:themeFillShade="F2"/>
            <w:vAlign w:val="center"/>
          </w:tcPr>
          <w:p w14:paraId="0BD3F771">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专家3</w:t>
            </w:r>
          </w:p>
        </w:tc>
        <w:tc>
          <w:tcPr>
            <w:tcW w:w="779" w:type="pct"/>
            <w:tcBorders>
              <w:top w:val="single" w:color="000000" w:sz="12" w:space="0"/>
              <w:left w:val="nil"/>
              <w:bottom w:val="nil"/>
              <w:right w:val="nil"/>
            </w:tcBorders>
            <w:shd w:val="clear" w:color="auto" w:fill="F1F1F1" w:themeFill="background1" w:themeFillShade="F2"/>
            <w:vAlign w:val="center"/>
          </w:tcPr>
          <w:p w14:paraId="2CE3606F">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专家4</w:t>
            </w:r>
          </w:p>
        </w:tc>
        <w:tc>
          <w:tcPr>
            <w:tcW w:w="779" w:type="pct"/>
            <w:tcBorders>
              <w:top w:val="single" w:color="000000" w:sz="12" w:space="0"/>
              <w:left w:val="nil"/>
              <w:bottom w:val="nil"/>
              <w:right w:val="nil"/>
            </w:tcBorders>
            <w:shd w:val="clear" w:color="auto" w:fill="F1F1F1" w:themeFill="background1" w:themeFillShade="F2"/>
            <w:vAlign w:val="center"/>
          </w:tcPr>
          <w:p w14:paraId="29CF2DE5">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专家5</w:t>
            </w:r>
          </w:p>
        </w:tc>
      </w:tr>
      <w:tr w14:paraId="433BB0E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trPr>
        <w:tc>
          <w:tcPr>
            <w:tcW w:w="890" w:type="pct"/>
            <w:tcBorders>
              <w:top w:val="nil"/>
              <w:left w:val="nil"/>
              <w:bottom w:val="single" w:color="auto" w:sz="8" w:space="0"/>
              <w:right w:val="nil"/>
            </w:tcBorders>
            <w:shd w:val="clear" w:color="auto" w:fill="F1F1F1" w:themeFill="background1" w:themeFillShade="F2"/>
            <w:vAlign w:val="center"/>
          </w:tcPr>
          <w:p w14:paraId="0A6D9972">
            <w:pPr>
              <w:jc w:val="center"/>
              <w:rPr>
                <w:rFonts w:hint="eastAsia" w:ascii="宋体" w:hAnsi="宋体" w:eastAsia="宋体" w:cs="宋体"/>
                <w:i w:val="0"/>
                <w:iCs w:val="0"/>
                <w:color w:val="FF0000"/>
                <w:sz w:val="18"/>
                <w:szCs w:val="18"/>
                <w:u w:val="none"/>
              </w:rPr>
            </w:pPr>
          </w:p>
        </w:tc>
        <w:tc>
          <w:tcPr>
            <w:tcW w:w="991" w:type="pct"/>
            <w:tcBorders>
              <w:top w:val="nil"/>
              <w:left w:val="nil"/>
              <w:bottom w:val="single" w:color="auto" w:sz="8" w:space="0"/>
              <w:right w:val="nil"/>
            </w:tcBorders>
            <w:shd w:val="clear" w:color="auto" w:fill="F1F1F1" w:themeFill="background1" w:themeFillShade="F2"/>
            <w:vAlign w:val="center"/>
          </w:tcPr>
          <w:p w14:paraId="2E4B865D">
            <w:pPr>
              <w:jc w:val="center"/>
              <w:rPr>
                <w:rFonts w:hint="eastAsia" w:ascii="Times New Roman" w:hAnsi="Times New Roman" w:cs="Times New Roman"/>
                <w:color w:val="FF0000"/>
                <w:sz w:val="18"/>
                <w:szCs w:val="18"/>
                <w:lang w:val="en-US" w:eastAsia="zh-CN"/>
              </w:rPr>
            </w:pPr>
            <w:r>
              <w:rPr>
                <w:rFonts w:hint="eastAsia" w:ascii="Times New Roman" w:hAnsi="Times New Roman" w:cs="Times New Roman"/>
                <w:color w:val="FF0000"/>
                <w:sz w:val="18"/>
                <w:szCs w:val="18"/>
                <w:lang w:val="en-US" w:eastAsia="zh-CN"/>
              </w:rPr>
              <w:t>制造类国有企业</w:t>
            </w:r>
          </w:p>
          <w:p w14:paraId="75FB90C0">
            <w:pPr>
              <w:jc w:val="center"/>
              <w:rPr>
                <w:rFonts w:hint="eastAsia" w:ascii="Times New Roman" w:hAnsi="Times New Roman" w:cs="Times New Roman"/>
                <w:color w:val="FF0000"/>
                <w:sz w:val="18"/>
                <w:szCs w:val="18"/>
                <w:lang w:val="en-US" w:eastAsia="zh-CN"/>
              </w:rPr>
            </w:pPr>
            <w:r>
              <w:rPr>
                <w:rFonts w:hint="eastAsia" w:ascii="Times New Roman" w:hAnsi="Times New Roman" w:cs="Times New Roman"/>
                <w:color w:val="FF0000"/>
                <w:sz w:val="18"/>
                <w:szCs w:val="18"/>
                <w:lang w:val="en-US" w:eastAsia="zh-CN"/>
              </w:rPr>
              <w:t>运营总监</w:t>
            </w:r>
          </w:p>
        </w:tc>
        <w:tc>
          <w:tcPr>
            <w:tcW w:w="779" w:type="pct"/>
            <w:tcBorders>
              <w:top w:val="nil"/>
              <w:left w:val="nil"/>
              <w:bottom w:val="single" w:color="auto" w:sz="8" w:space="0"/>
              <w:right w:val="nil"/>
            </w:tcBorders>
            <w:shd w:val="clear" w:color="auto" w:fill="F1F1F1" w:themeFill="background1" w:themeFillShade="F2"/>
            <w:vAlign w:val="center"/>
          </w:tcPr>
          <w:p w14:paraId="4B5E551E">
            <w:pPr>
              <w:jc w:val="center"/>
              <w:rPr>
                <w:rFonts w:hint="eastAsia" w:ascii="Times New Roman" w:hAnsi="Times New Roman" w:cs="Times New Roman"/>
                <w:color w:val="FF0000"/>
                <w:sz w:val="18"/>
                <w:szCs w:val="18"/>
                <w:lang w:val="en-US" w:eastAsia="zh-CN"/>
              </w:rPr>
            </w:pPr>
            <w:r>
              <w:rPr>
                <w:rFonts w:hint="eastAsia" w:ascii="Times New Roman" w:hAnsi="Times New Roman" w:cs="Times New Roman"/>
                <w:color w:val="FF0000"/>
                <w:sz w:val="18"/>
                <w:szCs w:val="18"/>
                <w:lang w:val="en-US" w:eastAsia="zh-CN"/>
              </w:rPr>
              <w:t>央企能源集团</w:t>
            </w:r>
          </w:p>
          <w:p w14:paraId="22D79939">
            <w:pPr>
              <w:jc w:val="center"/>
              <w:rPr>
                <w:rFonts w:hint="eastAsia" w:ascii="Times New Roman" w:hAnsi="Times New Roman" w:cs="Times New Roman"/>
                <w:color w:val="FF0000"/>
                <w:sz w:val="18"/>
                <w:szCs w:val="18"/>
                <w:lang w:val="en-US" w:eastAsia="zh-CN"/>
              </w:rPr>
            </w:pPr>
            <w:r>
              <w:rPr>
                <w:rFonts w:hint="eastAsia" w:ascii="Times New Roman" w:hAnsi="Times New Roman" w:cs="Times New Roman"/>
                <w:color w:val="FF0000"/>
                <w:sz w:val="18"/>
                <w:szCs w:val="18"/>
                <w:lang w:val="en-US" w:eastAsia="zh-CN"/>
              </w:rPr>
              <w:t>董事会成员</w:t>
            </w:r>
          </w:p>
        </w:tc>
        <w:tc>
          <w:tcPr>
            <w:tcW w:w="779" w:type="pct"/>
            <w:tcBorders>
              <w:top w:val="nil"/>
              <w:left w:val="nil"/>
              <w:bottom w:val="single" w:color="auto" w:sz="8" w:space="0"/>
              <w:right w:val="nil"/>
            </w:tcBorders>
            <w:shd w:val="clear" w:color="auto" w:fill="F1F1F1" w:themeFill="background1" w:themeFillShade="F2"/>
            <w:vAlign w:val="center"/>
          </w:tcPr>
          <w:p w14:paraId="73344AF7">
            <w:pPr>
              <w:jc w:val="center"/>
              <w:rPr>
                <w:rFonts w:hint="eastAsia" w:ascii="Times New Roman" w:hAnsi="Times New Roman" w:cs="Times New Roman"/>
                <w:color w:val="FF0000"/>
                <w:sz w:val="18"/>
                <w:szCs w:val="18"/>
                <w:lang w:val="en-US" w:eastAsia="zh-CN"/>
              </w:rPr>
            </w:pPr>
            <w:r>
              <w:rPr>
                <w:rFonts w:hint="eastAsia" w:ascii="Times New Roman" w:hAnsi="Times New Roman" w:cs="Times New Roman"/>
                <w:color w:val="FF0000"/>
                <w:sz w:val="18"/>
                <w:szCs w:val="18"/>
                <w:lang w:val="en-US" w:eastAsia="zh-CN"/>
              </w:rPr>
              <w:t>公共管理学院</w:t>
            </w:r>
          </w:p>
          <w:p w14:paraId="42AB8B63">
            <w:pPr>
              <w:jc w:val="center"/>
              <w:rPr>
                <w:rFonts w:hint="eastAsia" w:ascii="Times New Roman" w:hAnsi="Times New Roman" w:cs="Times New Roman"/>
                <w:color w:val="FF0000"/>
                <w:sz w:val="18"/>
                <w:szCs w:val="18"/>
                <w:lang w:val="en-US" w:eastAsia="zh-CN"/>
              </w:rPr>
            </w:pPr>
            <w:r>
              <w:rPr>
                <w:rFonts w:hint="eastAsia" w:ascii="Times New Roman" w:hAnsi="Times New Roman" w:cs="Times New Roman"/>
                <w:color w:val="FF0000"/>
                <w:sz w:val="18"/>
                <w:szCs w:val="18"/>
                <w:lang w:val="en-US" w:eastAsia="zh-CN"/>
              </w:rPr>
              <w:t>创新政策教授</w:t>
            </w:r>
          </w:p>
        </w:tc>
        <w:tc>
          <w:tcPr>
            <w:tcW w:w="779" w:type="pct"/>
            <w:tcBorders>
              <w:top w:val="nil"/>
              <w:left w:val="nil"/>
              <w:bottom w:val="single" w:color="auto" w:sz="8" w:space="0"/>
              <w:right w:val="nil"/>
            </w:tcBorders>
            <w:shd w:val="clear" w:color="auto" w:fill="F1F1F1" w:themeFill="background1" w:themeFillShade="F2"/>
            <w:vAlign w:val="center"/>
          </w:tcPr>
          <w:p w14:paraId="1F184EC3">
            <w:pPr>
              <w:jc w:val="center"/>
              <w:rPr>
                <w:rFonts w:hint="eastAsia" w:ascii="Times New Roman" w:hAnsi="Times New Roman" w:cs="Times New Roman"/>
                <w:color w:val="FF0000"/>
                <w:sz w:val="18"/>
                <w:szCs w:val="18"/>
                <w:lang w:val="en-US" w:eastAsia="zh-CN"/>
              </w:rPr>
            </w:pPr>
            <w:r>
              <w:rPr>
                <w:rFonts w:hint="eastAsia" w:ascii="Times New Roman" w:hAnsi="Times New Roman" w:cs="Times New Roman"/>
                <w:color w:val="FF0000"/>
                <w:sz w:val="18"/>
                <w:szCs w:val="18"/>
                <w:lang w:val="en-US" w:eastAsia="zh-CN"/>
              </w:rPr>
              <w:t>管理学院</w:t>
            </w:r>
          </w:p>
          <w:p w14:paraId="2CB607EB">
            <w:pPr>
              <w:jc w:val="center"/>
              <w:rPr>
                <w:rFonts w:hint="eastAsia" w:ascii="Times New Roman" w:hAnsi="Times New Roman" w:cs="Times New Roman"/>
                <w:color w:val="FF0000"/>
                <w:sz w:val="18"/>
                <w:szCs w:val="18"/>
                <w:lang w:val="en-US" w:eastAsia="zh-CN"/>
              </w:rPr>
            </w:pPr>
            <w:r>
              <w:rPr>
                <w:rFonts w:hint="eastAsia" w:ascii="Times New Roman" w:hAnsi="Times New Roman" w:cs="Times New Roman"/>
                <w:color w:val="FF0000"/>
                <w:sz w:val="18"/>
                <w:szCs w:val="18"/>
                <w:lang w:val="en-US" w:eastAsia="zh-CN"/>
              </w:rPr>
              <w:t>系统决策教授</w:t>
            </w:r>
          </w:p>
        </w:tc>
        <w:tc>
          <w:tcPr>
            <w:tcW w:w="779" w:type="pct"/>
            <w:tcBorders>
              <w:top w:val="nil"/>
              <w:left w:val="nil"/>
              <w:bottom w:val="single" w:color="auto" w:sz="8" w:space="0"/>
              <w:right w:val="nil"/>
            </w:tcBorders>
            <w:shd w:val="clear" w:color="auto" w:fill="F1F1F1" w:themeFill="background1" w:themeFillShade="F2"/>
            <w:vAlign w:val="center"/>
          </w:tcPr>
          <w:p w14:paraId="59D14E47">
            <w:pPr>
              <w:jc w:val="center"/>
              <w:rPr>
                <w:rFonts w:hint="eastAsia" w:ascii="Times New Roman" w:hAnsi="Times New Roman" w:cs="Times New Roman"/>
                <w:color w:val="FF0000"/>
                <w:sz w:val="18"/>
                <w:szCs w:val="18"/>
                <w:lang w:val="en-US" w:eastAsia="zh-CN"/>
              </w:rPr>
            </w:pPr>
            <w:r>
              <w:rPr>
                <w:rFonts w:hint="eastAsia" w:ascii="Times New Roman" w:hAnsi="Times New Roman" w:cs="Times New Roman"/>
                <w:color w:val="FF0000"/>
                <w:sz w:val="18"/>
                <w:szCs w:val="18"/>
                <w:lang w:val="en-US" w:eastAsia="zh-CN"/>
              </w:rPr>
              <w:t>地方发展改革</w:t>
            </w:r>
          </w:p>
          <w:p w14:paraId="0A3899B8">
            <w:pPr>
              <w:jc w:val="center"/>
              <w:rPr>
                <w:rFonts w:hint="eastAsia" w:ascii="Times New Roman" w:hAnsi="Times New Roman" w:cs="Times New Roman"/>
                <w:color w:val="FF0000"/>
                <w:sz w:val="18"/>
                <w:szCs w:val="18"/>
                <w:lang w:val="en-US" w:eastAsia="zh-CN"/>
              </w:rPr>
            </w:pPr>
            <w:r>
              <w:rPr>
                <w:rFonts w:hint="eastAsia" w:ascii="Times New Roman" w:hAnsi="Times New Roman" w:cs="Times New Roman"/>
                <w:color w:val="FF0000"/>
                <w:sz w:val="18"/>
                <w:szCs w:val="18"/>
                <w:lang w:val="en-US" w:eastAsia="zh-CN"/>
              </w:rPr>
              <w:t>委员会副主任</w:t>
            </w:r>
          </w:p>
        </w:tc>
      </w:tr>
      <w:tr w14:paraId="037439A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trPr>
        <w:tc>
          <w:tcPr>
            <w:tcW w:w="890" w:type="pct"/>
            <w:tcBorders>
              <w:top w:val="single" w:color="auto" w:sz="8" w:space="0"/>
              <w:left w:val="nil"/>
              <w:bottom w:val="nil"/>
              <w:right w:val="nil"/>
            </w:tcBorders>
            <w:shd w:val="clear"/>
            <w:vAlign w:val="center"/>
          </w:tcPr>
          <w:p w14:paraId="55216E6D">
            <w:pPr>
              <w:jc w:val="left"/>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高学历人员占比</w:t>
            </w:r>
          </w:p>
        </w:tc>
        <w:tc>
          <w:tcPr>
            <w:tcW w:w="991" w:type="pct"/>
            <w:tcBorders>
              <w:top w:val="single" w:color="auto" w:sz="8" w:space="0"/>
              <w:left w:val="nil"/>
              <w:bottom w:val="nil"/>
              <w:right w:val="nil"/>
            </w:tcBorders>
            <w:shd w:val="clear"/>
            <w:vAlign w:val="center"/>
          </w:tcPr>
          <w:p w14:paraId="0267A3A2">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9</w:t>
            </w:r>
          </w:p>
        </w:tc>
        <w:tc>
          <w:tcPr>
            <w:tcW w:w="779" w:type="pct"/>
            <w:tcBorders>
              <w:top w:val="single" w:color="auto" w:sz="8" w:space="0"/>
              <w:left w:val="nil"/>
              <w:bottom w:val="nil"/>
              <w:right w:val="nil"/>
            </w:tcBorders>
            <w:shd w:val="clear"/>
            <w:vAlign w:val="center"/>
          </w:tcPr>
          <w:p w14:paraId="51C61148">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8</w:t>
            </w:r>
          </w:p>
        </w:tc>
        <w:tc>
          <w:tcPr>
            <w:tcW w:w="779" w:type="pct"/>
            <w:tcBorders>
              <w:top w:val="single" w:color="auto" w:sz="8" w:space="0"/>
              <w:left w:val="nil"/>
              <w:bottom w:val="nil"/>
              <w:right w:val="nil"/>
            </w:tcBorders>
            <w:shd w:val="clear"/>
            <w:vAlign w:val="center"/>
          </w:tcPr>
          <w:p w14:paraId="6FE6CAE3">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4</w:t>
            </w:r>
          </w:p>
        </w:tc>
        <w:tc>
          <w:tcPr>
            <w:tcW w:w="779" w:type="pct"/>
            <w:tcBorders>
              <w:top w:val="single" w:color="auto" w:sz="8" w:space="0"/>
              <w:left w:val="nil"/>
              <w:bottom w:val="nil"/>
              <w:right w:val="nil"/>
            </w:tcBorders>
            <w:shd w:val="clear"/>
            <w:vAlign w:val="center"/>
          </w:tcPr>
          <w:p w14:paraId="372AFDA1">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5</w:t>
            </w:r>
          </w:p>
        </w:tc>
        <w:tc>
          <w:tcPr>
            <w:tcW w:w="779" w:type="pct"/>
            <w:tcBorders>
              <w:top w:val="single" w:color="auto" w:sz="8" w:space="0"/>
              <w:left w:val="nil"/>
              <w:bottom w:val="nil"/>
              <w:right w:val="nil"/>
            </w:tcBorders>
            <w:shd w:val="clear"/>
            <w:vAlign w:val="center"/>
          </w:tcPr>
          <w:p w14:paraId="218E0060">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3</w:t>
            </w:r>
          </w:p>
        </w:tc>
      </w:tr>
      <w:tr w14:paraId="4595C8D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45" w:hRule="atLeast"/>
        </w:trPr>
        <w:tc>
          <w:tcPr>
            <w:tcW w:w="890" w:type="pct"/>
            <w:tcBorders>
              <w:top w:val="nil"/>
              <w:left w:val="nil"/>
              <w:bottom w:val="nil"/>
              <w:right w:val="nil"/>
            </w:tcBorders>
            <w:shd w:val="clear"/>
            <w:vAlign w:val="center"/>
          </w:tcPr>
          <w:p w14:paraId="7F81158B">
            <w:pPr>
              <w:jc w:val="left"/>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研发人员投入强度</w:t>
            </w:r>
          </w:p>
        </w:tc>
        <w:tc>
          <w:tcPr>
            <w:tcW w:w="991" w:type="pct"/>
            <w:tcBorders>
              <w:top w:val="nil"/>
              <w:left w:val="nil"/>
              <w:bottom w:val="nil"/>
              <w:right w:val="nil"/>
            </w:tcBorders>
            <w:shd w:val="clear"/>
            <w:vAlign w:val="center"/>
          </w:tcPr>
          <w:p w14:paraId="77B72E44">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3</w:t>
            </w:r>
          </w:p>
        </w:tc>
        <w:tc>
          <w:tcPr>
            <w:tcW w:w="779" w:type="pct"/>
            <w:tcBorders>
              <w:top w:val="nil"/>
              <w:left w:val="nil"/>
              <w:bottom w:val="nil"/>
              <w:right w:val="nil"/>
            </w:tcBorders>
            <w:shd w:val="clear"/>
            <w:vAlign w:val="center"/>
          </w:tcPr>
          <w:p w14:paraId="3C561606">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2</w:t>
            </w:r>
          </w:p>
        </w:tc>
        <w:tc>
          <w:tcPr>
            <w:tcW w:w="779" w:type="pct"/>
            <w:tcBorders>
              <w:top w:val="nil"/>
              <w:left w:val="nil"/>
              <w:bottom w:val="nil"/>
              <w:right w:val="nil"/>
            </w:tcBorders>
            <w:shd w:val="clear"/>
            <w:vAlign w:val="center"/>
          </w:tcPr>
          <w:p w14:paraId="463FB33A">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2</w:t>
            </w:r>
          </w:p>
        </w:tc>
        <w:tc>
          <w:tcPr>
            <w:tcW w:w="779" w:type="pct"/>
            <w:tcBorders>
              <w:top w:val="nil"/>
              <w:left w:val="nil"/>
              <w:bottom w:val="nil"/>
              <w:right w:val="nil"/>
            </w:tcBorders>
            <w:shd w:val="clear"/>
            <w:vAlign w:val="center"/>
          </w:tcPr>
          <w:p w14:paraId="0719AD4D">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3</w:t>
            </w:r>
          </w:p>
        </w:tc>
        <w:tc>
          <w:tcPr>
            <w:tcW w:w="779" w:type="pct"/>
            <w:tcBorders>
              <w:top w:val="nil"/>
              <w:left w:val="nil"/>
              <w:bottom w:val="nil"/>
              <w:right w:val="nil"/>
            </w:tcBorders>
            <w:shd w:val="clear"/>
            <w:vAlign w:val="center"/>
          </w:tcPr>
          <w:p w14:paraId="5F335365">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2</w:t>
            </w:r>
          </w:p>
        </w:tc>
      </w:tr>
      <w:tr w14:paraId="556F4A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trPr>
        <w:tc>
          <w:tcPr>
            <w:tcW w:w="890" w:type="pct"/>
            <w:tcBorders>
              <w:top w:val="nil"/>
              <w:left w:val="nil"/>
              <w:bottom w:val="nil"/>
              <w:right w:val="nil"/>
            </w:tcBorders>
            <w:shd w:val="clear"/>
            <w:vAlign w:val="center"/>
          </w:tcPr>
          <w:p w14:paraId="09C3F2CC">
            <w:pPr>
              <w:jc w:val="left"/>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研发人员薪资占比</w:t>
            </w:r>
          </w:p>
        </w:tc>
        <w:tc>
          <w:tcPr>
            <w:tcW w:w="991" w:type="pct"/>
            <w:tcBorders>
              <w:top w:val="nil"/>
              <w:left w:val="nil"/>
              <w:bottom w:val="nil"/>
              <w:right w:val="nil"/>
            </w:tcBorders>
            <w:shd w:val="clear"/>
            <w:vAlign w:val="center"/>
          </w:tcPr>
          <w:p w14:paraId="617D291B">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5</w:t>
            </w:r>
          </w:p>
        </w:tc>
        <w:tc>
          <w:tcPr>
            <w:tcW w:w="779" w:type="pct"/>
            <w:tcBorders>
              <w:top w:val="nil"/>
              <w:left w:val="nil"/>
              <w:bottom w:val="nil"/>
              <w:right w:val="nil"/>
            </w:tcBorders>
            <w:shd w:val="clear"/>
            <w:vAlign w:val="center"/>
          </w:tcPr>
          <w:p w14:paraId="16A0E12D">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5</w:t>
            </w:r>
          </w:p>
        </w:tc>
        <w:tc>
          <w:tcPr>
            <w:tcW w:w="779" w:type="pct"/>
            <w:tcBorders>
              <w:top w:val="nil"/>
              <w:left w:val="nil"/>
              <w:bottom w:val="nil"/>
              <w:right w:val="nil"/>
            </w:tcBorders>
            <w:shd w:val="clear"/>
            <w:vAlign w:val="center"/>
          </w:tcPr>
          <w:p w14:paraId="56606850">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3</w:t>
            </w:r>
          </w:p>
        </w:tc>
        <w:tc>
          <w:tcPr>
            <w:tcW w:w="779" w:type="pct"/>
            <w:tcBorders>
              <w:top w:val="nil"/>
              <w:left w:val="nil"/>
              <w:bottom w:val="nil"/>
              <w:right w:val="nil"/>
            </w:tcBorders>
            <w:shd w:val="clear"/>
            <w:vAlign w:val="center"/>
          </w:tcPr>
          <w:p w14:paraId="0E4300D3">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2</w:t>
            </w:r>
          </w:p>
        </w:tc>
        <w:tc>
          <w:tcPr>
            <w:tcW w:w="779" w:type="pct"/>
            <w:tcBorders>
              <w:top w:val="nil"/>
              <w:left w:val="nil"/>
              <w:bottom w:val="nil"/>
              <w:right w:val="nil"/>
            </w:tcBorders>
            <w:shd w:val="clear"/>
            <w:vAlign w:val="center"/>
          </w:tcPr>
          <w:p w14:paraId="704131BD">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4</w:t>
            </w:r>
          </w:p>
        </w:tc>
      </w:tr>
      <w:tr w14:paraId="736420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90" w:type="pct"/>
            <w:tcBorders>
              <w:top w:val="nil"/>
              <w:left w:val="nil"/>
              <w:bottom w:val="nil"/>
              <w:right w:val="nil"/>
            </w:tcBorders>
            <w:shd w:val="clear"/>
            <w:vAlign w:val="center"/>
          </w:tcPr>
          <w:p w14:paraId="427B3726">
            <w:pPr>
              <w:jc w:val="left"/>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研发经费投入占比</w:t>
            </w:r>
          </w:p>
        </w:tc>
        <w:tc>
          <w:tcPr>
            <w:tcW w:w="991" w:type="pct"/>
            <w:tcBorders>
              <w:top w:val="nil"/>
              <w:left w:val="nil"/>
              <w:bottom w:val="nil"/>
              <w:right w:val="nil"/>
            </w:tcBorders>
            <w:shd w:val="clear"/>
            <w:vAlign w:val="center"/>
          </w:tcPr>
          <w:p w14:paraId="79D98C28">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2</w:t>
            </w:r>
          </w:p>
        </w:tc>
        <w:tc>
          <w:tcPr>
            <w:tcW w:w="779" w:type="pct"/>
            <w:tcBorders>
              <w:top w:val="nil"/>
              <w:left w:val="nil"/>
              <w:bottom w:val="nil"/>
              <w:right w:val="nil"/>
            </w:tcBorders>
            <w:shd w:val="clear"/>
            <w:vAlign w:val="center"/>
          </w:tcPr>
          <w:p w14:paraId="5D267394">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1</w:t>
            </w:r>
          </w:p>
        </w:tc>
        <w:tc>
          <w:tcPr>
            <w:tcW w:w="779" w:type="pct"/>
            <w:tcBorders>
              <w:top w:val="nil"/>
              <w:left w:val="nil"/>
              <w:bottom w:val="nil"/>
              <w:right w:val="nil"/>
            </w:tcBorders>
            <w:shd w:val="clear"/>
            <w:vAlign w:val="center"/>
          </w:tcPr>
          <w:p w14:paraId="557989B5">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6</w:t>
            </w:r>
          </w:p>
        </w:tc>
        <w:tc>
          <w:tcPr>
            <w:tcW w:w="779" w:type="pct"/>
            <w:tcBorders>
              <w:top w:val="nil"/>
              <w:left w:val="nil"/>
              <w:bottom w:val="nil"/>
              <w:right w:val="nil"/>
            </w:tcBorders>
            <w:shd w:val="clear"/>
            <w:vAlign w:val="center"/>
          </w:tcPr>
          <w:p w14:paraId="3DB51C62">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4</w:t>
            </w:r>
          </w:p>
        </w:tc>
        <w:tc>
          <w:tcPr>
            <w:tcW w:w="779" w:type="pct"/>
            <w:tcBorders>
              <w:top w:val="nil"/>
              <w:left w:val="nil"/>
              <w:bottom w:val="nil"/>
              <w:right w:val="nil"/>
            </w:tcBorders>
            <w:shd w:val="clear"/>
            <w:vAlign w:val="center"/>
          </w:tcPr>
          <w:p w14:paraId="150B504B">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5</w:t>
            </w:r>
          </w:p>
        </w:tc>
      </w:tr>
      <w:tr w14:paraId="64AA4DD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45" w:hRule="atLeast"/>
        </w:trPr>
        <w:tc>
          <w:tcPr>
            <w:tcW w:w="890" w:type="pct"/>
            <w:tcBorders>
              <w:top w:val="nil"/>
              <w:left w:val="nil"/>
              <w:bottom w:val="nil"/>
              <w:right w:val="nil"/>
            </w:tcBorders>
            <w:shd w:val="clear"/>
            <w:vAlign w:val="center"/>
          </w:tcPr>
          <w:p w14:paraId="79FEF3FC">
            <w:pPr>
              <w:jc w:val="left"/>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研发租赁费占比</w:t>
            </w:r>
          </w:p>
        </w:tc>
        <w:tc>
          <w:tcPr>
            <w:tcW w:w="991" w:type="pct"/>
            <w:tcBorders>
              <w:top w:val="nil"/>
              <w:left w:val="nil"/>
              <w:bottom w:val="nil"/>
              <w:right w:val="nil"/>
            </w:tcBorders>
            <w:shd w:val="clear"/>
            <w:vAlign w:val="center"/>
          </w:tcPr>
          <w:p w14:paraId="19648181">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1</w:t>
            </w:r>
          </w:p>
        </w:tc>
        <w:tc>
          <w:tcPr>
            <w:tcW w:w="779" w:type="pct"/>
            <w:tcBorders>
              <w:top w:val="nil"/>
              <w:left w:val="nil"/>
              <w:bottom w:val="nil"/>
              <w:right w:val="nil"/>
            </w:tcBorders>
            <w:shd w:val="clear"/>
            <w:vAlign w:val="center"/>
          </w:tcPr>
          <w:p w14:paraId="75261D24">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3</w:t>
            </w:r>
          </w:p>
        </w:tc>
        <w:tc>
          <w:tcPr>
            <w:tcW w:w="779" w:type="pct"/>
            <w:tcBorders>
              <w:top w:val="nil"/>
              <w:left w:val="nil"/>
              <w:bottom w:val="nil"/>
              <w:right w:val="nil"/>
            </w:tcBorders>
            <w:shd w:val="clear"/>
            <w:vAlign w:val="center"/>
          </w:tcPr>
          <w:p w14:paraId="40F44701">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5</w:t>
            </w:r>
          </w:p>
        </w:tc>
        <w:tc>
          <w:tcPr>
            <w:tcW w:w="779" w:type="pct"/>
            <w:tcBorders>
              <w:top w:val="nil"/>
              <w:left w:val="nil"/>
              <w:bottom w:val="nil"/>
              <w:right w:val="nil"/>
            </w:tcBorders>
            <w:shd w:val="clear"/>
            <w:vAlign w:val="center"/>
          </w:tcPr>
          <w:p w14:paraId="229777E9">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1</w:t>
            </w:r>
          </w:p>
        </w:tc>
        <w:tc>
          <w:tcPr>
            <w:tcW w:w="779" w:type="pct"/>
            <w:tcBorders>
              <w:top w:val="nil"/>
              <w:left w:val="nil"/>
              <w:bottom w:val="nil"/>
              <w:right w:val="nil"/>
            </w:tcBorders>
            <w:shd w:val="clear"/>
            <w:vAlign w:val="center"/>
          </w:tcPr>
          <w:p w14:paraId="6F5E4304">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1</w:t>
            </w:r>
          </w:p>
        </w:tc>
      </w:tr>
      <w:tr w14:paraId="0338737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trPr>
        <w:tc>
          <w:tcPr>
            <w:tcW w:w="890" w:type="pct"/>
            <w:tcBorders>
              <w:top w:val="nil"/>
              <w:left w:val="nil"/>
              <w:bottom w:val="nil"/>
              <w:right w:val="nil"/>
            </w:tcBorders>
            <w:shd w:val="clear"/>
            <w:vAlign w:val="center"/>
          </w:tcPr>
          <w:p w14:paraId="15A61D40">
            <w:pPr>
              <w:jc w:val="left"/>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企业创新水平</w:t>
            </w:r>
          </w:p>
        </w:tc>
        <w:tc>
          <w:tcPr>
            <w:tcW w:w="991" w:type="pct"/>
            <w:tcBorders>
              <w:top w:val="nil"/>
              <w:left w:val="nil"/>
              <w:bottom w:val="nil"/>
              <w:right w:val="nil"/>
            </w:tcBorders>
            <w:shd w:val="clear"/>
            <w:vAlign w:val="center"/>
          </w:tcPr>
          <w:p w14:paraId="493B834E">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4</w:t>
            </w:r>
          </w:p>
        </w:tc>
        <w:tc>
          <w:tcPr>
            <w:tcW w:w="779" w:type="pct"/>
            <w:tcBorders>
              <w:top w:val="nil"/>
              <w:left w:val="nil"/>
              <w:bottom w:val="nil"/>
              <w:right w:val="nil"/>
            </w:tcBorders>
            <w:shd w:val="clear"/>
            <w:vAlign w:val="center"/>
          </w:tcPr>
          <w:p w14:paraId="3F5DA447">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4</w:t>
            </w:r>
          </w:p>
        </w:tc>
        <w:tc>
          <w:tcPr>
            <w:tcW w:w="779" w:type="pct"/>
            <w:tcBorders>
              <w:top w:val="nil"/>
              <w:left w:val="nil"/>
              <w:bottom w:val="nil"/>
              <w:right w:val="nil"/>
            </w:tcBorders>
            <w:shd w:val="clear"/>
            <w:vAlign w:val="center"/>
          </w:tcPr>
          <w:p w14:paraId="4AAE2D79">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7</w:t>
            </w:r>
          </w:p>
        </w:tc>
        <w:tc>
          <w:tcPr>
            <w:tcW w:w="779" w:type="pct"/>
            <w:tcBorders>
              <w:top w:val="nil"/>
              <w:left w:val="nil"/>
              <w:bottom w:val="nil"/>
              <w:right w:val="nil"/>
            </w:tcBorders>
            <w:shd w:val="clear"/>
            <w:vAlign w:val="center"/>
          </w:tcPr>
          <w:p w14:paraId="649996FE">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7</w:t>
            </w:r>
          </w:p>
        </w:tc>
        <w:tc>
          <w:tcPr>
            <w:tcW w:w="779" w:type="pct"/>
            <w:tcBorders>
              <w:top w:val="nil"/>
              <w:left w:val="nil"/>
              <w:bottom w:val="nil"/>
              <w:right w:val="nil"/>
            </w:tcBorders>
            <w:shd w:val="clear"/>
            <w:vAlign w:val="center"/>
          </w:tcPr>
          <w:p w14:paraId="7D405658">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8</w:t>
            </w:r>
          </w:p>
        </w:tc>
      </w:tr>
      <w:tr w14:paraId="3DC880D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45" w:hRule="atLeast"/>
        </w:trPr>
        <w:tc>
          <w:tcPr>
            <w:tcW w:w="890" w:type="pct"/>
            <w:tcBorders>
              <w:top w:val="nil"/>
              <w:left w:val="nil"/>
              <w:bottom w:val="nil"/>
              <w:right w:val="nil"/>
            </w:tcBorders>
            <w:shd w:val="clear"/>
            <w:vAlign w:val="center"/>
          </w:tcPr>
          <w:p w14:paraId="39C51159">
            <w:pPr>
              <w:jc w:val="left"/>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数字资产占比</w:t>
            </w:r>
          </w:p>
        </w:tc>
        <w:tc>
          <w:tcPr>
            <w:tcW w:w="991" w:type="pct"/>
            <w:tcBorders>
              <w:top w:val="nil"/>
              <w:left w:val="nil"/>
              <w:bottom w:val="nil"/>
              <w:right w:val="nil"/>
            </w:tcBorders>
            <w:shd w:val="clear"/>
            <w:vAlign w:val="center"/>
          </w:tcPr>
          <w:p w14:paraId="5058BAF5">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6</w:t>
            </w:r>
          </w:p>
        </w:tc>
        <w:tc>
          <w:tcPr>
            <w:tcW w:w="779" w:type="pct"/>
            <w:tcBorders>
              <w:top w:val="nil"/>
              <w:left w:val="nil"/>
              <w:bottom w:val="nil"/>
              <w:right w:val="nil"/>
            </w:tcBorders>
            <w:shd w:val="clear"/>
            <w:vAlign w:val="center"/>
          </w:tcPr>
          <w:p w14:paraId="480F2A53">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6</w:t>
            </w:r>
          </w:p>
        </w:tc>
        <w:tc>
          <w:tcPr>
            <w:tcW w:w="779" w:type="pct"/>
            <w:tcBorders>
              <w:top w:val="nil"/>
              <w:left w:val="nil"/>
              <w:bottom w:val="nil"/>
              <w:right w:val="nil"/>
            </w:tcBorders>
            <w:shd w:val="clear"/>
            <w:vAlign w:val="center"/>
          </w:tcPr>
          <w:p w14:paraId="435B7826">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8</w:t>
            </w:r>
          </w:p>
        </w:tc>
        <w:tc>
          <w:tcPr>
            <w:tcW w:w="779" w:type="pct"/>
            <w:tcBorders>
              <w:top w:val="nil"/>
              <w:left w:val="nil"/>
              <w:bottom w:val="nil"/>
              <w:right w:val="nil"/>
            </w:tcBorders>
            <w:shd w:val="clear"/>
            <w:vAlign w:val="center"/>
          </w:tcPr>
          <w:p w14:paraId="0F87B8DB">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6</w:t>
            </w:r>
          </w:p>
        </w:tc>
        <w:tc>
          <w:tcPr>
            <w:tcW w:w="779" w:type="pct"/>
            <w:tcBorders>
              <w:top w:val="nil"/>
              <w:left w:val="nil"/>
              <w:bottom w:val="nil"/>
              <w:right w:val="nil"/>
            </w:tcBorders>
            <w:shd w:val="clear"/>
            <w:vAlign w:val="center"/>
          </w:tcPr>
          <w:p w14:paraId="08D8E076">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6</w:t>
            </w:r>
          </w:p>
        </w:tc>
      </w:tr>
      <w:tr w14:paraId="7FA3FAB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45" w:hRule="atLeast"/>
        </w:trPr>
        <w:tc>
          <w:tcPr>
            <w:tcW w:w="890" w:type="pct"/>
            <w:tcBorders>
              <w:top w:val="nil"/>
              <w:left w:val="nil"/>
              <w:bottom w:val="nil"/>
              <w:right w:val="nil"/>
            </w:tcBorders>
            <w:shd w:val="clear"/>
            <w:vAlign w:val="center"/>
          </w:tcPr>
          <w:p w14:paraId="117E294F">
            <w:pPr>
              <w:jc w:val="left"/>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固定资产占比</w:t>
            </w:r>
          </w:p>
        </w:tc>
        <w:tc>
          <w:tcPr>
            <w:tcW w:w="991" w:type="pct"/>
            <w:tcBorders>
              <w:top w:val="nil"/>
              <w:left w:val="nil"/>
              <w:bottom w:val="nil"/>
              <w:right w:val="nil"/>
            </w:tcBorders>
            <w:shd w:val="clear"/>
            <w:vAlign w:val="center"/>
          </w:tcPr>
          <w:p w14:paraId="40F9D4A3">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7</w:t>
            </w:r>
          </w:p>
        </w:tc>
        <w:tc>
          <w:tcPr>
            <w:tcW w:w="779" w:type="pct"/>
            <w:tcBorders>
              <w:top w:val="nil"/>
              <w:left w:val="nil"/>
              <w:bottom w:val="nil"/>
              <w:right w:val="nil"/>
            </w:tcBorders>
            <w:shd w:val="clear"/>
            <w:vAlign w:val="center"/>
          </w:tcPr>
          <w:p w14:paraId="3C311E0F">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7</w:t>
            </w:r>
          </w:p>
        </w:tc>
        <w:tc>
          <w:tcPr>
            <w:tcW w:w="779" w:type="pct"/>
            <w:tcBorders>
              <w:top w:val="nil"/>
              <w:left w:val="nil"/>
              <w:bottom w:val="nil"/>
              <w:right w:val="nil"/>
            </w:tcBorders>
            <w:shd w:val="clear"/>
            <w:vAlign w:val="center"/>
          </w:tcPr>
          <w:p w14:paraId="7CDB5935">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1</w:t>
            </w:r>
          </w:p>
        </w:tc>
        <w:tc>
          <w:tcPr>
            <w:tcW w:w="779" w:type="pct"/>
            <w:tcBorders>
              <w:top w:val="nil"/>
              <w:left w:val="nil"/>
              <w:bottom w:val="nil"/>
              <w:right w:val="nil"/>
            </w:tcBorders>
            <w:shd w:val="clear"/>
            <w:vAlign w:val="center"/>
          </w:tcPr>
          <w:p w14:paraId="520A2BF2">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8</w:t>
            </w:r>
          </w:p>
        </w:tc>
        <w:tc>
          <w:tcPr>
            <w:tcW w:w="779" w:type="pct"/>
            <w:tcBorders>
              <w:top w:val="nil"/>
              <w:left w:val="nil"/>
              <w:bottom w:val="nil"/>
              <w:right w:val="nil"/>
            </w:tcBorders>
            <w:shd w:val="clear"/>
            <w:vAlign w:val="center"/>
          </w:tcPr>
          <w:p w14:paraId="2316BB6B">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7</w:t>
            </w:r>
          </w:p>
        </w:tc>
      </w:tr>
      <w:tr w14:paraId="3A4678B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trPr>
        <w:tc>
          <w:tcPr>
            <w:tcW w:w="890" w:type="pct"/>
            <w:tcBorders>
              <w:top w:val="nil"/>
              <w:left w:val="nil"/>
              <w:bottom w:val="nil"/>
              <w:right w:val="nil"/>
            </w:tcBorders>
            <w:shd w:val="clear"/>
            <w:vAlign w:val="center"/>
          </w:tcPr>
          <w:p w14:paraId="2FC5581C">
            <w:pPr>
              <w:jc w:val="left"/>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无形资产占比</w:t>
            </w:r>
          </w:p>
        </w:tc>
        <w:tc>
          <w:tcPr>
            <w:tcW w:w="991" w:type="pct"/>
            <w:tcBorders>
              <w:top w:val="nil"/>
              <w:left w:val="nil"/>
              <w:bottom w:val="nil"/>
              <w:right w:val="nil"/>
            </w:tcBorders>
            <w:shd w:val="clear"/>
            <w:vAlign w:val="center"/>
          </w:tcPr>
          <w:p w14:paraId="21F130D7">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8</w:t>
            </w:r>
          </w:p>
        </w:tc>
        <w:tc>
          <w:tcPr>
            <w:tcW w:w="779" w:type="pct"/>
            <w:tcBorders>
              <w:top w:val="nil"/>
              <w:left w:val="nil"/>
              <w:bottom w:val="nil"/>
              <w:right w:val="nil"/>
            </w:tcBorders>
            <w:shd w:val="clear"/>
            <w:vAlign w:val="center"/>
          </w:tcPr>
          <w:p w14:paraId="596C88FF">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9</w:t>
            </w:r>
          </w:p>
        </w:tc>
        <w:tc>
          <w:tcPr>
            <w:tcW w:w="779" w:type="pct"/>
            <w:tcBorders>
              <w:top w:val="nil"/>
              <w:left w:val="nil"/>
              <w:bottom w:val="nil"/>
              <w:right w:val="nil"/>
            </w:tcBorders>
            <w:shd w:val="clear"/>
            <w:vAlign w:val="center"/>
          </w:tcPr>
          <w:p w14:paraId="5B95436B">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9</w:t>
            </w:r>
          </w:p>
        </w:tc>
        <w:tc>
          <w:tcPr>
            <w:tcW w:w="779" w:type="pct"/>
            <w:tcBorders>
              <w:top w:val="nil"/>
              <w:left w:val="nil"/>
              <w:bottom w:val="nil"/>
              <w:right w:val="nil"/>
            </w:tcBorders>
            <w:shd w:val="clear"/>
            <w:vAlign w:val="center"/>
          </w:tcPr>
          <w:p w14:paraId="7D9AF954">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9</w:t>
            </w:r>
          </w:p>
        </w:tc>
        <w:tc>
          <w:tcPr>
            <w:tcW w:w="779" w:type="pct"/>
            <w:tcBorders>
              <w:top w:val="nil"/>
              <w:left w:val="nil"/>
              <w:bottom w:val="nil"/>
              <w:right w:val="nil"/>
            </w:tcBorders>
            <w:shd w:val="clear"/>
            <w:vAlign w:val="center"/>
          </w:tcPr>
          <w:p w14:paraId="3BDC4103">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9</w:t>
            </w:r>
          </w:p>
        </w:tc>
      </w:tr>
      <w:tr w14:paraId="35A50A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trPr>
        <w:tc>
          <w:tcPr>
            <w:tcW w:w="890" w:type="pct"/>
            <w:tcBorders>
              <w:top w:val="nil"/>
              <w:left w:val="nil"/>
              <w:bottom w:val="nil"/>
              <w:right w:val="nil"/>
            </w:tcBorders>
            <w:shd w:val="clear"/>
            <w:vAlign w:val="center"/>
          </w:tcPr>
          <w:p w14:paraId="4BF44EC4">
            <w:pPr>
              <w:jc w:val="left"/>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机器人渗透率</w:t>
            </w:r>
          </w:p>
        </w:tc>
        <w:tc>
          <w:tcPr>
            <w:tcW w:w="991" w:type="pct"/>
            <w:tcBorders>
              <w:top w:val="nil"/>
              <w:left w:val="nil"/>
              <w:bottom w:val="nil"/>
              <w:right w:val="nil"/>
            </w:tcBorders>
            <w:shd w:val="clear"/>
            <w:vAlign w:val="center"/>
          </w:tcPr>
          <w:p w14:paraId="6E2B988A">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10</w:t>
            </w:r>
          </w:p>
        </w:tc>
        <w:tc>
          <w:tcPr>
            <w:tcW w:w="779" w:type="pct"/>
            <w:tcBorders>
              <w:top w:val="nil"/>
              <w:left w:val="nil"/>
              <w:bottom w:val="nil"/>
              <w:right w:val="nil"/>
            </w:tcBorders>
            <w:shd w:val="clear"/>
            <w:vAlign w:val="center"/>
          </w:tcPr>
          <w:p w14:paraId="0C690B1E">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10</w:t>
            </w:r>
          </w:p>
        </w:tc>
        <w:tc>
          <w:tcPr>
            <w:tcW w:w="779" w:type="pct"/>
            <w:tcBorders>
              <w:top w:val="nil"/>
              <w:left w:val="nil"/>
              <w:bottom w:val="nil"/>
              <w:right w:val="nil"/>
            </w:tcBorders>
            <w:shd w:val="clear"/>
            <w:vAlign w:val="center"/>
          </w:tcPr>
          <w:p w14:paraId="650D2957">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10</w:t>
            </w:r>
          </w:p>
        </w:tc>
        <w:tc>
          <w:tcPr>
            <w:tcW w:w="779" w:type="pct"/>
            <w:tcBorders>
              <w:top w:val="nil"/>
              <w:left w:val="nil"/>
              <w:bottom w:val="nil"/>
              <w:right w:val="nil"/>
            </w:tcBorders>
            <w:shd w:val="clear"/>
            <w:vAlign w:val="center"/>
          </w:tcPr>
          <w:p w14:paraId="4D206A3C">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10</w:t>
            </w:r>
          </w:p>
        </w:tc>
        <w:tc>
          <w:tcPr>
            <w:tcW w:w="779" w:type="pct"/>
            <w:tcBorders>
              <w:top w:val="nil"/>
              <w:left w:val="nil"/>
              <w:bottom w:val="nil"/>
              <w:right w:val="nil"/>
            </w:tcBorders>
            <w:shd w:val="clear"/>
            <w:vAlign w:val="center"/>
          </w:tcPr>
          <w:p w14:paraId="7CCDEB83">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10</w:t>
            </w:r>
          </w:p>
        </w:tc>
      </w:tr>
      <w:tr w14:paraId="3FA0529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trPr>
        <w:tc>
          <w:tcPr>
            <w:tcW w:w="890" w:type="pct"/>
            <w:tcBorders>
              <w:top w:val="nil"/>
              <w:left w:val="nil"/>
              <w:bottom w:val="nil"/>
              <w:right w:val="nil"/>
            </w:tcBorders>
            <w:shd w:val="clear"/>
            <w:vAlign w:val="center"/>
          </w:tcPr>
          <w:p w14:paraId="120BBD4D">
            <w:pPr>
              <w:jc w:val="left"/>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绿色环保</w:t>
            </w:r>
          </w:p>
        </w:tc>
        <w:tc>
          <w:tcPr>
            <w:tcW w:w="991" w:type="pct"/>
            <w:tcBorders>
              <w:top w:val="nil"/>
              <w:left w:val="nil"/>
              <w:bottom w:val="nil"/>
              <w:right w:val="nil"/>
            </w:tcBorders>
            <w:shd w:val="clear"/>
            <w:vAlign w:val="center"/>
          </w:tcPr>
          <w:p w14:paraId="0252C500">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11</w:t>
            </w:r>
          </w:p>
        </w:tc>
        <w:tc>
          <w:tcPr>
            <w:tcW w:w="779" w:type="pct"/>
            <w:tcBorders>
              <w:top w:val="nil"/>
              <w:left w:val="nil"/>
              <w:bottom w:val="nil"/>
              <w:right w:val="nil"/>
            </w:tcBorders>
            <w:shd w:val="clear"/>
            <w:vAlign w:val="top"/>
          </w:tcPr>
          <w:p w14:paraId="58377D21">
            <w:pPr>
              <w:jc w:val="center"/>
              <w:rPr>
                <w:rFonts w:hint="default" w:ascii="Times New Roman" w:hAnsi="Times New Roman" w:cs="Times New Roman"/>
                <w:color w:val="FF0000"/>
                <w:sz w:val="18"/>
                <w:szCs w:val="18"/>
              </w:rPr>
            </w:pPr>
            <w:r>
              <w:rPr>
                <w:rFonts w:hint="default" w:ascii="Times New Roman" w:hAnsi="Times New Roman" w:cs="Times New Roman"/>
                <w:color w:val="FF0000"/>
                <w:sz w:val="18"/>
                <w:szCs w:val="18"/>
                <w:lang w:val="en-US" w:eastAsia="zh-CN"/>
              </w:rPr>
              <w:t>11</w:t>
            </w:r>
          </w:p>
        </w:tc>
        <w:tc>
          <w:tcPr>
            <w:tcW w:w="779" w:type="pct"/>
            <w:tcBorders>
              <w:top w:val="nil"/>
              <w:left w:val="nil"/>
              <w:bottom w:val="nil"/>
              <w:right w:val="nil"/>
            </w:tcBorders>
            <w:shd w:val="clear"/>
            <w:vAlign w:val="center"/>
          </w:tcPr>
          <w:p w14:paraId="06306D5C">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11</w:t>
            </w:r>
          </w:p>
        </w:tc>
        <w:tc>
          <w:tcPr>
            <w:tcW w:w="779" w:type="pct"/>
            <w:tcBorders>
              <w:top w:val="nil"/>
              <w:left w:val="nil"/>
              <w:bottom w:val="nil"/>
              <w:right w:val="nil"/>
            </w:tcBorders>
            <w:shd w:val="clear"/>
            <w:vAlign w:val="center"/>
          </w:tcPr>
          <w:p w14:paraId="04C731A3">
            <w:pPr>
              <w:jc w:val="center"/>
              <w:rPr>
                <w:rFonts w:hint="eastAsia" w:ascii="Times New Roman" w:hAnsi="Times New Roman" w:cs="Times New Roman"/>
                <w:color w:val="FF0000"/>
                <w:sz w:val="18"/>
                <w:szCs w:val="18"/>
              </w:rPr>
            </w:pPr>
            <w:r>
              <w:rPr>
                <w:rFonts w:hint="eastAsia" w:ascii="Times New Roman" w:hAnsi="Times New Roman" w:cs="Times New Roman"/>
                <w:color w:val="FF0000"/>
                <w:sz w:val="18"/>
                <w:szCs w:val="18"/>
                <w:lang w:val="en-US" w:eastAsia="zh-CN"/>
              </w:rPr>
              <w:t>11</w:t>
            </w:r>
          </w:p>
        </w:tc>
        <w:tc>
          <w:tcPr>
            <w:tcW w:w="779" w:type="pct"/>
            <w:tcBorders>
              <w:top w:val="nil"/>
              <w:left w:val="nil"/>
              <w:bottom w:val="nil"/>
              <w:right w:val="nil"/>
            </w:tcBorders>
            <w:shd w:val="clear"/>
            <w:vAlign w:val="top"/>
          </w:tcPr>
          <w:p w14:paraId="787A1B26">
            <w:pPr>
              <w:jc w:val="center"/>
              <w:rPr>
                <w:rFonts w:hint="default" w:ascii="Times New Roman" w:hAnsi="Times New Roman" w:cs="Times New Roman"/>
                <w:color w:val="FF0000"/>
                <w:sz w:val="18"/>
                <w:szCs w:val="18"/>
              </w:rPr>
            </w:pPr>
            <w:r>
              <w:rPr>
                <w:rFonts w:hint="default" w:ascii="Times New Roman" w:hAnsi="Times New Roman" w:cs="Times New Roman"/>
                <w:color w:val="FF0000"/>
                <w:sz w:val="18"/>
                <w:szCs w:val="18"/>
                <w:lang w:val="en-US" w:eastAsia="zh-CN"/>
              </w:rPr>
              <w:t>11</w:t>
            </w:r>
          </w:p>
        </w:tc>
      </w:tr>
      <w:tr w14:paraId="600DDA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5" w:hRule="atLeast"/>
        </w:trPr>
        <w:tc>
          <w:tcPr>
            <w:tcW w:w="890" w:type="pct"/>
            <w:tcBorders>
              <w:top w:val="nil"/>
              <w:left w:val="nil"/>
              <w:bottom w:val="single" w:color="000000" w:sz="12" w:space="0"/>
              <w:right w:val="nil"/>
            </w:tcBorders>
            <w:shd w:val="clear" w:color="auto" w:fill="F1F1F1" w:themeFill="background1" w:themeFillShade="F2"/>
            <w:vAlign w:val="center"/>
          </w:tcPr>
          <w:p w14:paraId="0927A25B">
            <w:pPr>
              <w:jc w:val="left"/>
              <w:rPr>
                <w:rFonts w:hint="default" w:ascii="Times New Roman" w:hAnsi="Times New Roman" w:cs="Times New Roman"/>
                <w:color w:val="FF0000"/>
                <w:sz w:val="18"/>
                <w:szCs w:val="18"/>
                <w:lang w:val="en-US" w:eastAsia="zh-CN"/>
              </w:rPr>
            </w:pPr>
            <w:r>
              <w:rPr>
                <w:rFonts w:hint="eastAsia" w:cs="Times New Roman"/>
                <w:color w:val="FF0000"/>
                <w:sz w:val="18"/>
                <w:szCs w:val="18"/>
                <w:lang w:val="en-US" w:eastAsia="zh-CN"/>
              </w:rPr>
              <w:t>决策者对专家排序</w:t>
            </w:r>
          </w:p>
        </w:tc>
        <w:tc>
          <w:tcPr>
            <w:tcW w:w="991" w:type="pct"/>
            <w:tcBorders>
              <w:top w:val="nil"/>
              <w:left w:val="nil"/>
              <w:bottom w:val="single" w:color="000000" w:sz="12" w:space="0"/>
              <w:right w:val="nil"/>
            </w:tcBorders>
            <w:shd w:val="clear" w:color="auto" w:fill="F1F1F1" w:themeFill="background1" w:themeFillShade="F2"/>
            <w:vAlign w:val="center"/>
          </w:tcPr>
          <w:p w14:paraId="25CF5414">
            <w:pPr>
              <w:jc w:val="center"/>
              <w:rPr>
                <w:rFonts w:hint="default" w:ascii="Times New Roman" w:hAnsi="Times New Roman" w:cs="Times New Roman"/>
                <w:color w:val="FF0000"/>
                <w:sz w:val="18"/>
                <w:szCs w:val="18"/>
                <w:lang w:val="en-US" w:eastAsia="zh-CN"/>
              </w:rPr>
            </w:pPr>
            <w:r>
              <w:rPr>
                <w:rFonts w:hint="eastAsia" w:cs="Times New Roman"/>
                <w:color w:val="FF0000"/>
                <w:sz w:val="18"/>
                <w:szCs w:val="18"/>
                <w:lang w:val="en-US" w:eastAsia="zh-CN"/>
              </w:rPr>
              <w:t>1</w:t>
            </w:r>
          </w:p>
        </w:tc>
        <w:tc>
          <w:tcPr>
            <w:tcW w:w="779" w:type="pct"/>
            <w:tcBorders>
              <w:top w:val="nil"/>
              <w:left w:val="nil"/>
              <w:bottom w:val="single" w:color="000000" w:sz="12" w:space="0"/>
              <w:right w:val="nil"/>
            </w:tcBorders>
            <w:shd w:val="clear" w:color="auto" w:fill="F1F1F1" w:themeFill="background1" w:themeFillShade="F2"/>
            <w:vAlign w:val="top"/>
          </w:tcPr>
          <w:p w14:paraId="5CC6F8BE">
            <w:pPr>
              <w:jc w:val="center"/>
              <w:rPr>
                <w:rFonts w:hint="default" w:ascii="Times New Roman" w:hAnsi="Times New Roman" w:cs="Times New Roman"/>
                <w:color w:val="FF0000"/>
                <w:sz w:val="18"/>
                <w:szCs w:val="18"/>
                <w:lang w:val="en-US" w:eastAsia="zh-CN"/>
              </w:rPr>
            </w:pPr>
            <w:r>
              <w:rPr>
                <w:rFonts w:hint="eastAsia" w:cs="Times New Roman"/>
                <w:color w:val="FF0000"/>
                <w:sz w:val="18"/>
                <w:szCs w:val="18"/>
                <w:lang w:val="en-US" w:eastAsia="zh-CN"/>
              </w:rPr>
              <w:t>3</w:t>
            </w:r>
          </w:p>
        </w:tc>
        <w:tc>
          <w:tcPr>
            <w:tcW w:w="779" w:type="pct"/>
            <w:tcBorders>
              <w:top w:val="nil"/>
              <w:left w:val="nil"/>
              <w:bottom w:val="single" w:color="000000" w:sz="12" w:space="0"/>
              <w:right w:val="nil"/>
            </w:tcBorders>
            <w:shd w:val="clear" w:color="auto" w:fill="F1F1F1" w:themeFill="background1" w:themeFillShade="F2"/>
            <w:vAlign w:val="center"/>
          </w:tcPr>
          <w:p w14:paraId="6A9AEF44">
            <w:pPr>
              <w:jc w:val="center"/>
              <w:rPr>
                <w:rFonts w:hint="default" w:ascii="Times New Roman" w:hAnsi="Times New Roman" w:cs="Times New Roman"/>
                <w:color w:val="FF0000"/>
                <w:sz w:val="18"/>
                <w:szCs w:val="18"/>
                <w:lang w:val="en-US" w:eastAsia="zh-CN"/>
              </w:rPr>
            </w:pPr>
            <w:r>
              <w:rPr>
                <w:rFonts w:hint="eastAsia" w:cs="Times New Roman"/>
                <w:color w:val="FF0000"/>
                <w:sz w:val="18"/>
                <w:szCs w:val="18"/>
                <w:lang w:val="en-US" w:eastAsia="zh-CN"/>
              </w:rPr>
              <w:t>5</w:t>
            </w:r>
          </w:p>
        </w:tc>
        <w:tc>
          <w:tcPr>
            <w:tcW w:w="779" w:type="pct"/>
            <w:tcBorders>
              <w:top w:val="nil"/>
              <w:left w:val="nil"/>
              <w:bottom w:val="single" w:color="000000" w:sz="12" w:space="0"/>
              <w:right w:val="nil"/>
            </w:tcBorders>
            <w:shd w:val="clear" w:color="auto" w:fill="F1F1F1" w:themeFill="background1" w:themeFillShade="F2"/>
            <w:vAlign w:val="center"/>
          </w:tcPr>
          <w:p w14:paraId="50B68CFD">
            <w:pPr>
              <w:jc w:val="center"/>
              <w:rPr>
                <w:rFonts w:hint="default" w:ascii="Times New Roman" w:hAnsi="Times New Roman" w:cs="Times New Roman"/>
                <w:color w:val="FF0000"/>
                <w:sz w:val="18"/>
                <w:szCs w:val="18"/>
                <w:lang w:val="en-US" w:eastAsia="zh-CN"/>
              </w:rPr>
            </w:pPr>
            <w:r>
              <w:rPr>
                <w:rFonts w:hint="eastAsia" w:cs="Times New Roman"/>
                <w:color w:val="FF0000"/>
                <w:sz w:val="18"/>
                <w:szCs w:val="18"/>
                <w:lang w:val="en-US" w:eastAsia="zh-CN"/>
              </w:rPr>
              <w:t>2</w:t>
            </w:r>
          </w:p>
        </w:tc>
        <w:tc>
          <w:tcPr>
            <w:tcW w:w="779" w:type="pct"/>
            <w:tcBorders>
              <w:top w:val="nil"/>
              <w:left w:val="nil"/>
              <w:bottom w:val="single" w:color="000000" w:sz="12" w:space="0"/>
              <w:right w:val="nil"/>
            </w:tcBorders>
            <w:shd w:val="clear" w:color="auto" w:fill="F1F1F1" w:themeFill="background1" w:themeFillShade="F2"/>
            <w:vAlign w:val="top"/>
          </w:tcPr>
          <w:p w14:paraId="169E9F70">
            <w:pPr>
              <w:jc w:val="center"/>
              <w:rPr>
                <w:rFonts w:hint="default" w:ascii="Times New Roman" w:hAnsi="Times New Roman" w:cs="Times New Roman"/>
                <w:color w:val="FF0000"/>
                <w:sz w:val="18"/>
                <w:szCs w:val="18"/>
                <w:lang w:val="en-US" w:eastAsia="zh-CN"/>
              </w:rPr>
            </w:pPr>
            <w:r>
              <w:rPr>
                <w:rFonts w:hint="eastAsia" w:cs="Times New Roman"/>
                <w:color w:val="FF0000"/>
                <w:sz w:val="18"/>
                <w:szCs w:val="18"/>
                <w:lang w:val="en-US" w:eastAsia="zh-CN"/>
              </w:rPr>
              <w:t>4</w:t>
            </w:r>
          </w:p>
        </w:tc>
      </w:tr>
    </w:tbl>
    <w:p w14:paraId="0D42DB64">
      <w:pPr>
        <w:rPr>
          <w:rFonts w:cs="Times New Roman"/>
          <w:sz w:val="21"/>
          <w:szCs w:val="21"/>
          <w:lang w:bidi="ar"/>
        </w:rPr>
      </w:pPr>
      <w:r>
        <w:rPr>
          <w:rFonts w:hint="eastAsia" w:cs="Times New Roman"/>
          <w:sz w:val="21"/>
          <w:szCs w:val="21"/>
          <w:lang w:bidi="ar"/>
        </w:rPr>
        <w:t>4.2.2</w:t>
      </w:r>
      <w:r>
        <w:rPr>
          <w:rFonts w:cs="Times New Roman"/>
          <w:sz w:val="21"/>
          <w:szCs w:val="21"/>
          <w:lang w:bidi="ar"/>
        </w:rPr>
        <w:t xml:space="preserve"> 特征变量</w:t>
      </w:r>
    </w:p>
    <w:p w14:paraId="38646D66">
      <w:pPr>
        <w:ind w:firstLine="420" w:firstLineChars="200"/>
        <w:rPr>
          <w:rFonts w:cs="Times New Roman"/>
          <w:sz w:val="21"/>
          <w:szCs w:val="21"/>
          <w:lang w:eastAsia="zh" w:bidi="ar"/>
        </w:rPr>
      </w:pPr>
      <w:r>
        <w:rPr>
          <w:rFonts w:cs="Times New Roman"/>
          <w:sz w:val="21"/>
          <w:szCs w:val="21"/>
          <w:lang w:bidi="ar"/>
        </w:rPr>
        <w:t>本文根据TOE的理论框架和已有的关于企业新质生产力影响因素的研究，从以下三个维度选择模型的驱动力特征:①技术维度，参考肖有智</w:t>
      </w:r>
      <w:r>
        <w:rPr>
          <w:rFonts w:cs="Times New Roman"/>
          <w:sz w:val="21"/>
          <w:szCs w:val="21"/>
          <w:vertAlign w:val="superscript"/>
          <w:lang w:bidi="ar"/>
        </w:rPr>
        <w:t>[12]</w:t>
      </w:r>
      <w:r>
        <w:rPr>
          <w:rFonts w:cs="Times New Roman"/>
          <w:sz w:val="21"/>
          <w:szCs w:val="21"/>
          <w:lang w:bidi="ar"/>
        </w:rPr>
        <w:t>和白雪洁</w:t>
      </w:r>
      <w:r>
        <w:rPr>
          <w:rFonts w:cs="Times New Roman"/>
          <w:sz w:val="21"/>
          <w:szCs w:val="21"/>
          <w:vertAlign w:val="superscript"/>
          <w:lang w:bidi="ar"/>
        </w:rPr>
        <w:t>[16]</w:t>
      </w:r>
      <w:r>
        <w:rPr>
          <w:rFonts w:cs="Times New Roman"/>
          <w:sz w:val="21"/>
          <w:szCs w:val="21"/>
          <w:lang w:bidi="ar"/>
        </w:rPr>
        <w:t>和等人的研究，选择数字化转型程度、研发经费投入、研发人员占比、高学历人才和创新绩效等作为技术层面的指标；②组织维度，本文借鉴张秀娥</w:t>
      </w:r>
      <w:r>
        <w:rPr>
          <w:rFonts w:cs="Times New Roman"/>
          <w:sz w:val="21"/>
          <w:szCs w:val="21"/>
          <w:vertAlign w:val="superscript"/>
          <w:lang w:bidi="ar"/>
        </w:rPr>
        <w:t>[11]</w:t>
      </w:r>
      <w:r>
        <w:rPr>
          <w:rFonts w:cs="Times New Roman"/>
          <w:sz w:val="21"/>
          <w:szCs w:val="21"/>
          <w:lang w:bidi="ar"/>
        </w:rPr>
        <w:t>和陈运森</w:t>
      </w:r>
      <w:r>
        <w:rPr>
          <w:rFonts w:cs="Times New Roman"/>
          <w:sz w:val="21"/>
          <w:szCs w:val="21"/>
          <w:vertAlign w:val="superscript"/>
          <w:lang w:bidi="ar"/>
        </w:rPr>
        <w:t>[28]</w:t>
      </w:r>
      <w:r>
        <w:rPr>
          <w:rFonts w:cs="Times New Roman"/>
          <w:sz w:val="21"/>
          <w:szCs w:val="21"/>
          <w:lang w:bidi="ar"/>
        </w:rPr>
        <w:t>等人的研究，选择企业规模、企业年龄、流动比率、资产收益率、资产负债率和企业所有权等作为企业基本特征的指标，另外将管理层持股比例和股权集中度纳入治理结构方面的指标，高管能力则从他们的数字化背景和是否有海外背景考察，两职合一则采用虚拟变量，当CEO和董事长是同一人则取值1，反之为0；③环境维度，参考宋佳</w:t>
      </w:r>
      <w:r>
        <w:rPr>
          <w:rFonts w:cs="Times New Roman"/>
          <w:sz w:val="21"/>
          <w:szCs w:val="21"/>
          <w:vertAlign w:val="superscript"/>
          <w:lang w:bidi="ar"/>
        </w:rPr>
        <w:t>[10]</w:t>
      </w:r>
      <w:r>
        <w:rPr>
          <w:rFonts w:cs="Times New Roman"/>
          <w:sz w:val="21"/>
          <w:szCs w:val="21"/>
          <w:lang w:bidi="ar"/>
        </w:rPr>
        <w:t>和严兵</w:t>
      </w:r>
      <w:r>
        <w:rPr>
          <w:rFonts w:cs="Times New Roman"/>
          <w:sz w:val="21"/>
          <w:szCs w:val="21"/>
          <w:vertAlign w:val="superscript"/>
          <w:lang w:bidi="ar"/>
        </w:rPr>
        <w:t>[20]</w:t>
      </w:r>
      <w:r>
        <w:rPr>
          <w:rFonts w:cs="Times New Roman"/>
          <w:sz w:val="21"/>
          <w:szCs w:val="21"/>
          <w:lang w:bidi="ar"/>
        </w:rPr>
        <w:t>等人的研究，采取ESG评级、绿色创新水平作为绿色发展相关的指标。本文响应和特征变量及其说明如表</w:t>
      </w:r>
      <w:r>
        <w:rPr>
          <w:rFonts w:hint="eastAsia" w:cs="Times New Roman"/>
          <w:sz w:val="21"/>
          <w:szCs w:val="21"/>
          <w:lang w:val="en-US" w:eastAsia="zh-CN" w:bidi="ar"/>
        </w:rPr>
        <w:t>2</w:t>
      </w:r>
      <w:r>
        <w:rPr>
          <w:rFonts w:cs="Times New Roman"/>
          <w:sz w:val="21"/>
          <w:szCs w:val="21"/>
          <w:lang w:bidi="ar"/>
        </w:rPr>
        <w:t>所示</w:t>
      </w:r>
      <w:r>
        <w:rPr>
          <w:rFonts w:hint="eastAsia" w:cs="Times New Roman"/>
          <w:sz w:val="21"/>
          <w:szCs w:val="21"/>
          <w:lang w:eastAsia="zh" w:bidi="ar"/>
        </w:rPr>
        <w:t>。</w:t>
      </w:r>
    </w:p>
    <w:p w14:paraId="564EBDB0">
      <w:pPr>
        <w:ind w:firstLine="480"/>
        <w:jc w:val="center"/>
        <w:rPr>
          <w:rFonts w:cs="Times New Roman"/>
          <w:sz w:val="18"/>
          <w:szCs w:val="18"/>
          <w:lang w:bidi="ar"/>
        </w:rPr>
      </w:pPr>
      <w:r>
        <w:rPr>
          <w:rFonts w:cs="Times New Roman"/>
          <w:sz w:val="18"/>
          <w:szCs w:val="18"/>
          <w:lang w:bidi="ar"/>
        </w:rPr>
        <w:t>表</w:t>
      </w:r>
      <w:r>
        <w:rPr>
          <w:rFonts w:hint="eastAsia" w:cs="Times New Roman"/>
          <w:sz w:val="18"/>
          <w:szCs w:val="18"/>
          <w:lang w:val="en-US" w:eastAsia="zh-CN" w:bidi="ar"/>
        </w:rPr>
        <w:t>2</w:t>
      </w:r>
      <w:r>
        <w:rPr>
          <w:rFonts w:cs="Times New Roman"/>
          <w:sz w:val="18"/>
          <w:szCs w:val="18"/>
          <w:lang w:bidi="ar"/>
        </w:rPr>
        <w:t xml:space="preserve"> 企业新质生产力的驱动因素</w:t>
      </w:r>
    </w:p>
    <w:tbl>
      <w:tblPr>
        <w:tblStyle w:val="11"/>
        <w:tblW w:w="4999"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71"/>
        <w:gridCol w:w="1872"/>
        <w:gridCol w:w="3007"/>
        <w:gridCol w:w="4104"/>
      </w:tblGrid>
      <w:tr w14:paraId="4CE488A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3" w:hRule="atLeast"/>
          <w:jc w:val="center"/>
        </w:trPr>
        <w:tc>
          <w:tcPr>
            <w:tcW w:w="488" w:type="pct"/>
            <w:tcBorders>
              <w:bottom w:val="single" w:color="auto" w:sz="8" w:space="0"/>
            </w:tcBorders>
            <w:vAlign w:val="center"/>
          </w:tcPr>
          <w:p w14:paraId="25CFEACC">
            <w:pPr>
              <w:snapToGrid w:val="0"/>
              <w:jc w:val="center"/>
              <w:rPr>
                <w:rFonts w:cs="Times New Roman"/>
                <w:sz w:val="18"/>
                <w:szCs w:val="18"/>
              </w:rPr>
            </w:pPr>
            <w:r>
              <w:rPr>
                <w:rFonts w:cs="Times New Roman"/>
                <w:sz w:val="18"/>
                <w:szCs w:val="18"/>
              </w:rPr>
              <w:t>变量类型</w:t>
            </w:r>
          </w:p>
        </w:tc>
        <w:tc>
          <w:tcPr>
            <w:tcW w:w="940" w:type="pct"/>
            <w:tcBorders>
              <w:bottom w:val="single" w:color="auto" w:sz="8" w:space="0"/>
            </w:tcBorders>
            <w:vAlign w:val="center"/>
          </w:tcPr>
          <w:p w14:paraId="346F5021">
            <w:pPr>
              <w:snapToGrid w:val="0"/>
              <w:jc w:val="center"/>
              <w:rPr>
                <w:rFonts w:cs="Times New Roman"/>
                <w:sz w:val="18"/>
                <w:szCs w:val="18"/>
              </w:rPr>
            </w:pPr>
            <w:r>
              <w:rPr>
                <w:rFonts w:cs="Times New Roman"/>
                <w:sz w:val="18"/>
                <w:szCs w:val="18"/>
              </w:rPr>
              <w:t>变量名称</w:t>
            </w:r>
          </w:p>
        </w:tc>
        <w:tc>
          <w:tcPr>
            <w:tcW w:w="1510" w:type="pct"/>
            <w:tcBorders>
              <w:bottom w:val="single" w:color="auto" w:sz="8" w:space="0"/>
            </w:tcBorders>
            <w:vAlign w:val="center"/>
          </w:tcPr>
          <w:p w14:paraId="2D61C86C">
            <w:pPr>
              <w:snapToGrid w:val="0"/>
              <w:jc w:val="center"/>
              <w:rPr>
                <w:rFonts w:cs="Times New Roman"/>
                <w:sz w:val="18"/>
                <w:szCs w:val="18"/>
              </w:rPr>
            </w:pPr>
            <w:r>
              <w:rPr>
                <w:rFonts w:cs="Times New Roman"/>
                <w:sz w:val="18"/>
                <w:szCs w:val="18"/>
              </w:rPr>
              <w:t>符号</w:t>
            </w:r>
          </w:p>
        </w:tc>
        <w:tc>
          <w:tcPr>
            <w:tcW w:w="2061" w:type="pct"/>
            <w:tcBorders>
              <w:bottom w:val="single" w:color="auto" w:sz="8" w:space="0"/>
            </w:tcBorders>
            <w:vAlign w:val="center"/>
          </w:tcPr>
          <w:p w14:paraId="1B52A72F">
            <w:pPr>
              <w:snapToGrid w:val="0"/>
              <w:jc w:val="center"/>
              <w:rPr>
                <w:rFonts w:cs="Times New Roman"/>
                <w:sz w:val="18"/>
                <w:szCs w:val="18"/>
              </w:rPr>
            </w:pPr>
            <w:r>
              <w:rPr>
                <w:rFonts w:cs="Times New Roman"/>
                <w:sz w:val="18"/>
                <w:szCs w:val="18"/>
              </w:rPr>
              <w:t>变量定义</w:t>
            </w:r>
          </w:p>
        </w:tc>
      </w:tr>
      <w:tr w14:paraId="32F1AEB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3" w:hRule="atLeast"/>
          <w:jc w:val="center"/>
        </w:trPr>
        <w:tc>
          <w:tcPr>
            <w:tcW w:w="488" w:type="pct"/>
            <w:vMerge w:val="restart"/>
            <w:tcBorders>
              <w:top w:val="single" w:color="auto" w:sz="8" w:space="0"/>
              <w:tl2br w:val="nil"/>
              <w:tr2bl w:val="nil"/>
            </w:tcBorders>
            <w:vAlign w:val="center"/>
          </w:tcPr>
          <w:p w14:paraId="765B0239">
            <w:pPr>
              <w:jc w:val="center"/>
              <w:rPr>
                <w:rFonts w:cs="Times New Roman"/>
                <w:sz w:val="18"/>
                <w:szCs w:val="18"/>
              </w:rPr>
            </w:pPr>
            <w:r>
              <w:rPr>
                <w:rFonts w:cs="Times New Roman"/>
                <w:sz w:val="18"/>
                <w:szCs w:val="18"/>
              </w:rPr>
              <w:t>技术</w:t>
            </w:r>
          </w:p>
        </w:tc>
        <w:tc>
          <w:tcPr>
            <w:tcW w:w="940" w:type="pct"/>
            <w:tcBorders>
              <w:top w:val="single" w:color="auto" w:sz="8" w:space="0"/>
              <w:tl2br w:val="nil"/>
              <w:tr2bl w:val="nil"/>
            </w:tcBorders>
            <w:vAlign w:val="center"/>
          </w:tcPr>
          <w:p w14:paraId="1C712E35">
            <w:pPr>
              <w:rPr>
                <w:rFonts w:cs="Times New Roman"/>
                <w:sz w:val="18"/>
                <w:szCs w:val="18"/>
              </w:rPr>
            </w:pPr>
            <w:r>
              <w:rPr>
                <w:rFonts w:cs="Times New Roman"/>
                <w:sz w:val="18"/>
                <w:szCs w:val="18"/>
              </w:rPr>
              <w:t>数字化转型程度</w:t>
            </w:r>
          </w:p>
        </w:tc>
        <w:tc>
          <w:tcPr>
            <w:tcW w:w="1510" w:type="pct"/>
            <w:tcBorders>
              <w:top w:val="single" w:color="auto" w:sz="8" w:space="0"/>
              <w:tl2br w:val="nil"/>
              <w:tr2bl w:val="nil"/>
            </w:tcBorders>
            <w:vAlign w:val="center"/>
          </w:tcPr>
          <w:p w14:paraId="3D067781">
            <w:pPr>
              <w:rPr>
                <w:rFonts w:cs="Times New Roman"/>
                <w:sz w:val="18"/>
                <w:szCs w:val="18"/>
              </w:rPr>
            </w:pPr>
            <w:r>
              <w:rPr>
                <w:rFonts w:cs="Times New Roman"/>
                <w:sz w:val="18"/>
                <w:szCs w:val="18"/>
              </w:rPr>
              <w:t>Digital trans index</w:t>
            </w:r>
          </w:p>
        </w:tc>
        <w:tc>
          <w:tcPr>
            <w:tcW w:w="2061" w:type="pct"/>
            <w:tcBorders>
              <w:top w:val="single" w:color="auto" w:sz="8" w:space="0"/>
              <w:tl2br w:val="nil"/>
              <w:tr2bl w:val="nil"/>
            </w:tcBorders>
            <w:vAlign w:val="center"/>
          </w:tcPr>
          <w:p w14:paraId="3C2357F2">
            <w:pPr>
              <w:rPr>
                <w:rFonts w:cs="Times New Roman"/>
                <w:sz w:val="18"/>
                <w:szCs w:val="18"/>
              </w:rPr>
            </w:pPr>
            <w:r>
              <w:rPr>
                <w:rFonts w:cs="Times New Roman"/>
                <w:sz w:val="18"/>
                <w:szCs w:val="18"/>
              </w:rPr>
              <w:t>Ln(数字化转型词频数+1)</w:t>
            </w:r>
          </w:p>
        </w:tc>
      </w:tr>
      <w:tr w14:paraId="27BF201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3" w:hRule="atLeast"/>
          <w:jc w:val="center"/>
        </w:trPr>
        <w:tc>
          <w:tcPr>
            <w:tcW w:w="488" w:type="pct"/>
            <w:vMerge w:val="continue"/>
            <w:tcBorders>
              <w:tl2br w:val="nil"/>
              <w:tr2bl w:val="nil"/>
            </w:tcBorders>
            <w:vAlign w:val="center"/>
          </w:tcPr>
          <w:p w14:paraId="7CC8671D">
            <w:pPr>
              <w:jc w:val="center"/>
              <w:rPr>
                <w:rFonts w:cs="Times New Roman"/>
                <w:sz w:val="18"/>
                <w:szCs w:val="18"/>
              </w:rPr>
            </w:pPr>
          </w:p>
        </w:tc>
        <w:tc>
          <w:tcPr>
            <w:tcW w:w="940" w:type="pct"/>
            <w:tcBorders>
              <w:tl2br w:val="nil"/>
              <w:tr2bl w:val="nil"/>
            </w:tcBorders>
            <w:vAlign w:val="center"/>
          </w:tcPr>
          <w:p w14:paraId="2F28AC10">
            <w:pPr>
              <w:rPr>
                <w:rFonts w:cs="Times New Roman"/>
                <w:sz w:val="18"/>
                <w:szCs w:val="18"/>
              </w:rPr>
            </w:pPr>
            <w:r>
              <w:rPr>
                <w:rFonts w:cs="Times New Roman"/>
                <w:sz w:val="18"/>
                <w:szCs w:val="18"/>
              </w:rPr>
              <w:t>研发经费投入</w:t>
            </w:r>
          </w:p>
        </w:tc>
        <w:tc>
          <w:tcPr>
            <w:tcW w:w="1510" w:type="pct"/>
            <w:tcBorders>
              <w:tl2br w:val="nil"/>
              <w:tr2bl w:val="nil"/>
            </w:tcBorders>
            <w:vAlign w:val="center"/>
          </w:tcPr>
          <w:p w14:paraId="465DA446">
            <w:pPr>
              <w:rPr>
                <w:rFonts w:cs="Times New Roman"/>
                <w:sz w:val="18"/>
                <w:szCs w:val="18"/>
              </w:rPr>
            </w:pPr>
            <w:r>
              <w:rPr>
                <w:rFonts w:cs="Times New Roman"/>
                <w:sz w:val="18"/>
                <w:szCs w:val="18"/>
              </w:rPr>
              <w:t>R&amp;D expenses</w:t>
            </w:r>
          </w:p>
        </w:tc>
        <w:tc>
          <w:tcPr>
            <w:tcW w:w="2061" w:type="pct"/>
            <w:tcBorders>
              <w:tl2br w:val="nil"/>
              <w:tr2bl w:val="nil"/>
            </w:tcBorders>
            <w:vAlign w:val="center"/>
          </w:tcPr>
          <w:p w14:paraId="1173EFB1">
            <w:pPr>
              <w:rPr>
                <w:rFonts w:cs="Times New Roman"/>
                <w:sz w:val="18"/>
                <w:szCs w:val="18"/>
              </w:rPr>
            </w:pPr>
            <w:r>
              <w:rPr>
                <w:rFonts w:cs="Times New Roman"/>
                <w:sz w:val="18"/>
                <w:szCs w:val="18"/>
              </w:rPr>
              <w:t>企业研发支出/营业收入</w:t>
            </w:r>
          </w:p>
        </w:tc>
      </w:tr>
      <w:tr w14:paraId="23EE5B1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3" w:hRule="atLeast"/>
          <w:jc w:val="center"/>
        </w:trPr>
        <w:tc>
          <w:tcPr>
            <w:tcW w:w="488" w:type="pct"/>
            <w:vMerge w:val="continue"/>
            <w:tcBorders>
              <w:tl2br w:val="nil"/>
              <w:tr2bl w:val="nil"/>
            </w:tcBorders>
            <w:vAlign w:val="center"/>
          </w:tcPr>
          <w:p w14:paraId="6A3F9E99">
            <w:pPr>
              <w:jc w:val="center"/>
              <w:rPr>
                <w:rFonts w:cs="Times New Roman"/>
                <w:sz w:val="18"/>
                <w:szCs w:val="18"/>
              </w:rPr>
            </w:pPr>
          </w:p>
        </w:tc>
        <w:tc>
          <w:tcPr>
            <w:tcW w:w="940" w:type="pct"/>
            <w:tcBorders>
              <w:tl2br w:val="nil"/>
              <w:tr2bl w:val="nil"/>
            </w:tcBorders>
            <w:vAlign w:val="center"/>
          </w:tcPr>
          <w:p w14:paraId="25B437EA">
            <w:pPr>
              <w:rPr>
                <w:rFonts w:cs="Times New Roman"/>
                <w:sz w:val="18"/>
                <w:szCs w:val="18"/>
              </w:rPr>
            </w:pPr>
            <w:r>
              <w:rPr>
                <w:rFonts w:cs="Times New Roman"/>
                <w:sz w:val="18"/>
                <w:szCs w:val="18"/>
              </w:rPr>
              <w:t>研发人员占比</w:t>
            </w:r>
          </w:p>
        </w:tc>
        <w:tc>
          <w:tcPr>
            <w:tcW w:w="1510" w:type="pct"/>
            <w:tcBorders>
              <w:tl2br w:val="nil"/>
              <w:tr2bl w:val="nil"/>
            </w:tcBorders>
            <w:vAlign w:val="center"/>
          </w:tcPr>
          <w:p w14:paraId="0DD1C7CE">
            <w:pPr>
              <w:rPr>
                <w:rFonts w:cs="Times New Roman"/>
                <w:sz w:val="18"/>
                <w:szCs w:val="18"/>
              </w:rPr>
            </w:pPr>
            <w:r>
              <w:rPr>
                <w:rFonts w:cs="Times New Roman"/>
                <w:sz w:val="18"/>
                <w:szCs w:val="18"/>
              </w:rPr>
              <w:t>R&amp;D personnel</w:t>
            </w:r>
          </w:p>
        </w:tc>
        <w:tc>
          <w:tcPr>
            <w:tcW w:w="2061" w:type="pct"/>
            <w:tcBorders>
              <w:tl2br w:val="nil"/>
              <w:tr2bl w:val="nil"/>
            </w:tcBorders>
            <w:vAlign w:val="center"/>
          </w:tcPr>
          <w:p w14:paraId="43EADB5D">
            <w:pPr>
              <w:rPr>
                <w:rFonts w:cs="Times New Roman"/>
                <w:sz w:val="18"/>
                <w:szCs w:val="18"/>
              </w:rPr>
            </w:pPr>
            <w:r>
              <w:rPr>
                <w:rFonts w:cs="Times New Roman"/>
                <w:sz w:val="18"/>
                <w:szCs w:val="18"/>
              </w:rPr>
              <w:t>研发人员数/总员工数</w:t>
            </w:r>
          </w:p>
        </w:tc>
      </w:tr>
      <w:tr w14:paraId="5C0B00E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3" w:hRule="atLeast"/>
          <w:jc w:val="center"/>
        </w:trPr>
        <w:tc>
          <w:tcPr>
            <w:tcW w:w="488" w:type="pct"/>
            <w:vMerge w:val="continue"/>
            <w:tcBorders>
              <w:tl2br w:val="nil"/>
              <w:tr2bl w:val="nil"/>
            </w:tcBorders>
            <w:vAlign w:val="center"/>
          </w:tcPr>
          <w:p w14:paraId="0A299F88">
            <w:pPr>
              <w:jc w:val="center"/>
              <w:rPr>
                <w:rFonts w:cs="Times New Roman"/>
                <w:sz w:val="18"/>
                <w:szCs w:val="18"/>
              </w:rPr>
            </w:pPr>
          </w:p>
        </w:tc>
        <w:tc>
          <w:tcPr>
            <w:tcW w:w="940" w:type="pct"/>
            <w:tcBorders>
              <w:tl2br w:val="nil"/>
              <w:tr2bl w:val="nil"/>
            </w:tcBorders>
            <w:vAlign w:val="center"/>
          </w:tcPr>
          <w:p w14:paraId="79D9E8E3">
            <w:pPr>
              <w:rPr>
                <w:rFonts w:cs="Times New Roman"/>
                <w:sz w:val="18"/>
                <w:szCs w:val="18"/>
              </w:rPr>
            </w:pPr>
            <w:r>
              <w:rPr>
                <w:rFonts w:cs="Times New Roman"/>
                <w:sz w:val="18"/>
                <w:szCs w:val="18"/>
              </w:rPr>
              <w:t>高学历人才占比</w:t>
            </w:r>
          </w:p>
        </w:tc>
        <w:tc>
          <w:tcPr>
            <w:tcW w:w="1510" w:type="pct"/>
            <w:tcBorders>
              <w:tl2br w:val="nil"/>
              <w:tr2bl w:val="nil"/>
            </w:tcBorders>
            <w:vAlign w:val="center"/>
          </w:tcPr>
          <w:p w14:paraId="37C84D6B">
            <w:pPr>
              <w:rPr>
                <w:rFonts w:cs="Times New Roman"/>
                <w:sz w:val="18"/>
                <w:szCs w:val="18"/>
              </w:rPr>
            </w:pPr>
            <w:r>
              <w:rPr>
                <w:rFonts w:cs="Times New Roman"/>
                <w:sz w:val="18"/>
                <w:szCs w:val="18"/>
              </w:rPr>
              <w:t>highly educated people</w:t>
            </w:r>
          </w:p>
        </w:tc>
        <w:tc>
          <w:tcPr>
            <w:tcW w:w="2061" w:type="pct"/>
            <w:tcBorders>
              <w:tl2br w:val="nil"/>
              <w:tr2bl w:val="nil"/>
            </w:tcBorders>
            <w:vAlign w:val="center"/>
          </w:tcPr>
          <w:p w14:paraId="1A4ECC94">
            <w:pPr>
              <w:rPr>
                <w:rFonts w:cs="Times New Roman"/>
                <w:sz w:val="18"/>
                <w:szCs w:val="18"/>
              </w:rPr>
            </w:pPr>
            <w:r>
              <w:rPr>
                <w:rFonts w:cs="Times New Roman"/>
                <w:sz w:val="18"/>
                <w:szCs w:val="18"/>
              </w:rPr>
              <w:t>本科及以上学历员工数/总员工数</w:t>
            </w:r>
          </w:p>
        </w:tc>
      </w:tr>
      <w:tr w14:paraId="5F3B9DC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3" w:hRule="atLeast"/>
          <w:jc w:val="center"/>
        </w:trPr>
        <w:tc>
          <w:tcPr>
            <w:tcW w:w="488" w:type="pct"/>
            <w:vMerge w:val="continue"/>
            <w:tcBorders>
              <w:tl2br w:val="nil"/>
              <w:tr2bl w:val="nil"/>
            </w:tcBorders>
            <w:vAlign w:val="center"/>
          </w:tcPr>
          <w:p w14:paraId="2D2EDEDC">
            <w:pPr>
              <w:jc w:val="center"/>
              <w:rPr>
                <w:rFonts w:cs="Times New Roman"/>
                <w:sz w:val="18"/>
                <w:szCs w:val="18"/>
              </w:rPr>
            </w:pPr>
          </w:p>
        </w:tc>
        <w:tc>
          <w:tcPr>
            <w:tcW w:w="940" w:type="pct"/>
            <w:tcBorders>
              <w:tl2br w:val="nil"/>
              <w:tr2bl w:val="nil"/>
            </w:tcBorders>
            <w:vAlign w:val="center"/>
          </w:tcPr>
          <w:p w14:paraId="7A286D31">
            <w:pPr>
              <w:rPr>
                <w:rFonts w:cs="Times New Roman"/>
                <w:sz w:val="18"/>
                <w:szCs w:val="18"/>
              </w:rPr>
            </w:pPr>
            <w:r>
              <w:rPr>
                <w:rFonts w:cs="Times New Roman"/>
                <w:sz w:val="18"/>
                <w:szCs w:val="18"/>
              </w:rPr>
              <w:t>创新绩效</w:t>
            </w:r>
          </w:p>
        </w:tc>
        <w:tc>
          <w:tcPr>
            <w:tcW w:w="1510" w:type="pct"/>
            <w:tcBorders>
              <w:tl2br w:val="nil"/>
              <w:tr2bl w:val="nil"/>
            </w:tcBorders>
            <w:vAlign w:val="center"/>
          </w:tcPr>
          <w:p w14:paraId="7BF1F7BE">
            <w:pPr>
              <w:rPr>
                <w:rFonts w:cs="Times New Roman"/>
                <w:sz w:val="18"/>
                <w:szCs w:val="18"/>
              </w:rPr>
            </w:pPr>
            <w:r>
              <w:rPr>
                <w:rFonts w:cs="Times New Roman"/>
                <w:sz w:val="18"/>
                <w:szCs w:val="18"/>
              </w:rPr>
              <w:t>Innovation performance</w:t>
            </w:r>
          </w:p>
        </w:tc>
        <w:tc>
          <w:tcPr>
            <w:tcW w:w="2061" w:type="pct"/>
            <w:tcBorders>
              <w:tl2br w:val="nil"/>
              <w:tr2bl w:val="nil"/>
            </w:tcBorders>
            <w:vAlign w:val="center"/>
          </w:tcPr>
          <w:p w14:paraId="0CBA3979">
            <w:pPr>
              <w:rPr>
                <w:rFonts w:cs="Times New Roman"/>
                <w:sz w:val="18"/>
                <w:szCs w:val="18"/>
              </w:rPr>
            </w:pPr>
            <w:r>
              <w:rPr>
                <w:rFonts w:cs="Times New Roman"/>
                <w:sz w:val="18"/>
                <w:szCs w:val="18"/>
              </w:rPr>
              <w:t>Ln(企业申请专利数+1)</w:t>
            </w:r>
          </w:p>
        </w:tc>
      </w:tr>
      <w:tr w14:paraId="7EA60FA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3" w:hRule="atLeast"/>
          <w:jc w:val="center"/>
        </w:trPr>
        <w:tc>
          <w:tcPr>
            <w:tcW w:w="488" w:type="pct"/>
            <w:vMerge w:val="restart"/>
            <w:tcBorders>
              <w:tl2br w:val="nil"/>
              <w:tr2bl w:val="nil"/>
            </w:tcBorders>
            <w:vAlign w:val="center"/>
          </w:tcPr>
          <w:p w14:paraId="0D2034A2">
            <w:pPr>
              <w:jc w:val="center"/>
              <w:rPr>
                <w:rFonts w:cs="Times New Roman"/>
                <w:sz w:val="18"/>
                <w:szCs w:val="18"/>
              </w:rPr>
            </w:pPr>
            <w:r>
              <w:rPr>
                <w:rFonts w:cs="Times New Roman"/>
                <w:sz w:val="18"/>
                <w:szCs w:val="18"/>
              </w:rPr>
              <w:t>组织</w:t>
            </w:r>
          </w:p>
        </w:tc>
        <w:tc>
          <w:tcPr>
            <w:tcW w:w="940" w:type="pct"/>
            <w:tcBorders>
              <w:tl2br w:val="nil"/>
              <w:tr2bl w:val="nil"/>
            </w:tcBorders>
            <w:vAlign w:val="center"/>
          </w:tcPr>
          <w:p w14:paraId="278FE8D2">
            <w:pPr>
              <w:rPr>
                <w:rFonts w:cs="Times New Roman"/>
                <w:sz w:val="18"/>
                <w:szCs w:val="18"/>
              </w:rPr>
            </w:pPr>
            <w:r>
              <w:rPr>
                <w:rFonts w:cs="Times New Roman"/>
                <w:sz w:val="18"/>
                <w:szCs w:val="18"/>
              </w:rPr>
              <w:t>企业规模</w:t>
            </w:r>
          </w:p>
        </w:tc>
        <w:tc>
          <w:tcPr>
            <w:tcW w:w="1510" w:type="pct"/>
            <w:tcBorders>
              <w:tl2br w:val="nil"/>
              <w:tr2bl w:val="nil"/>
            </w:tcBorders>
            <w:vAlign w:val="center"/>
          </w:tcPr>
          <w:p w14:paraId="56E37C15">
            <w:pPr>
              <w:rPr>
                <w:rFonts w:cs="Times New Roman"/>
                <w:sz w:val="18"/>
                <w:szCs w:val="18"/>
              </w:rPr>
            </w:pPr>
            <w:r>
              <w:rPr>
                <w:rFonts w:cs="Times New Roman"/>
                <w:sz w:val="18"/>
                <w:szCs w:val="18"/>
              </w:rPr>
              <w:t>Firm size</w:t>
            </w:r>
          </w:p>
        </w:tc>
        <w:tc>
          <w:tcPr>
            <w:tcW w:w="2061" w:type="pct"/>
            <w:tcBorders>
              <w:tl2br w:val="nil"/>
              <w:tr2bl w:val="nil"/>
            </w:tcBorders>
            <w:vAlign w:val="center"/>
          </w:tcPr>
          <w:p w14:paraId="701C0984">
            <w:pPr>
              <w:rPr>
                <w:rFonts w:cs="Times New Roman"/>
                <w:sz w:val="18"/>
                <w:szCs w:val="18"/>
              </w:rPr>
            </w:pPr>
            <w:r>
              <w:rPr>
                <w:rFonts w:cs="Times New Roman"/>
                <w:sz w:val="18"/>
                <w:szCs w:val="18"/>
              </w:rPr>
              <w:t>总资产的对数</w:t>
            </w:r>
          </w:p>
        </w:tc>
      </w:tr>
      <w:tr w14:paraId="006A732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3" w:hRule="atLeast"/>
          <w:jc w:val="center"/>
        </w:trPr>
        <w:tc>
          <w:tcPr>
            <w:tcW w:w="488" w:type="pct"/>
            <w:vMerge w:val="continue"/>
            <w:tcBorders>
              <w:tl2br w:val="nil"/>
              <w:tr2bl w:val="nil"/>
            </w:tcBorders>
            <w:vAlign w:val="center"/>
          </w:tcPr>
          <w:p w14:paraId="43B264EF">
            <w:pPr>
              <w:jc w:val="center"/>
              <w:rPr>
                <w:rFonts w:cs="Times New Roman"/>
                <w:sz w:val="18"/>
                <w:szCs w:val="18"/>
              </w:rPr>
            </w:pPr>
          </w:p>
        </w:tc>
        <w:tc>
          <w:tcPr>
            <w:tcW w:w="940" w:type="pct"/>
            <w:tcBorders>
              <w:tl2br w:val="nil"/>
              <w:tr2bl w:val="nil"/>
            </w:tcBorders>
            <w:vAlign w:val="center"/>
          </w:tcPr>
          <w:p w14:paraId="2DD70FC0">
            <w:pPr>
              <w:rPr>
                <w:rFonts w:cs="Times New Roman"/>
                <w:sz w:val="18"/>
                <w:szCs w:val="18"/>
              </w:rPr>
            </w:pPr>
            <w:r>
              <w:rPr>
                <w:rFonts w:cs="Times New Roman"/>
                <w:sz w:val="18"/>
                <w:szCs w:val="18"/>
              </w:rPr>
              <w:t>企业年龄</w:t>
            </w:r>
          </w:p>
        </w:tc>
        <w:tc>
          <w:tcPr>
            <w:tcW w:w="1510" w:type="pct"/>
            <w:tcBorders>
              <w:tl2br w:val="nil"/>
              <w:tr2bl w:val="nil"/>
            </w:tcBorders>
            <w:vAlign w:val="center"/>
          </w:tcPr>
          <w:p w14:paraId="2E83F3F2">
            <w:pPr>
              <w:rPr>
                <w:rFonts w:cs="Times New Roman"/>
                <w:sz w:val="18"/>
                <w:szCs w:val="18"/>
              </w:rPr>
            </w:pPr>
            <w:r>
              <w:rPr>
                <w:rFonts w:cs="Times New Roman"/>
                <w:sz w:val="18"/>
                <w:szCs w:val="18"/>
              </w:rPr>
              <w:t>Firm age</w:t>
            </w:r>
          </w:p>
        </w:tc>
        <w:tc>
          <w:tcPr>
            <w:tcW w:w="2061" w:type="pct"/>
            <w:tcBorders>
              <w:tl2br w:val="nil"/>
              <w:tr2bl w:val="nil"/>
            </w:tcBorders>
            <w:vAlign w:val="center"/>
          </w:tcPr>
          <w:p w14:paraId="1732516D">
            <w:pPr>
              <w:rPr>
                <w:rFonts w:cs="Times New Roman"/>
                <w:sz w:val="18"/>
                <w:szCs w:val="18"/>
              </w:rPr>
            </w:pPr>
            <w:r>
              <w:rPr>
                <w:rFonts w:cs="Times New Roman"/>
                <w:sz w:val="18"/>
                <w:szCs w:val="18"/>
              </w:rPr>
              <w:t>企业成立至今的年份</w:t>
            </w:r>
          </w:p>
        </w:tc>
      </w:tr>
      <w:tr w14:paraId="1A33D54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3" w:hRule="atLeast"/>
          <w:jc w:val="center"/>
        </w:trPr>
        <w:tc>
          <w:tcPr>
            <w:tcW w:w="488" w:type="pct"/>
            <w:vMerge w:val="continue"/>
            <w:tcBorders>
              <w:tl2br w:val="nil"/>
              <w:tr2bl w:val="nil"/>
            </w:tcBorders>
            <w:vAlign w:val="center"/>
          </w:tcPr>
          <w:p w14:paraId="0ED06D9F">
            <w:pPr>
              <w:jc w:val="center"/>
              <w:rPr>
                <w:rFonts w:cs="Times New Roman"/>
                <w:sz w:val="18"/>
                <w:szCs w:val="18"/>
              </w:rPr>
            </w:pPr>
          </w:p>
        </w:tc>
        <w:tc>
          <w:tcPr>
            <w:tcW w:w="940" w:type="pct"/>
            <w:tcBorders>
              <w:tl2br w:val="nil"/>
              <w:tr2bl w:val="nil"/>
            </w:tcBorders>
            <w:vAlign w:val="center"/>
          </w:tcPr>
          <w:p w14:paraId="6D0A270E">
            <w:pPr>
              <w:rPr>
                <w:rFonts w:cs="Times New Roman"/>
                <w:sz w:val="18"/>
                <w:szCs w:val="18"/>
              </w:rPr>
            </w:pPr>
            <w:r>
              <w:rPr>
                <w:rFonts w:cs="Times New Roman"/>
                <w:sz w:val="18"/>
                <w:szCs w:val="18"/>
              </w:rPr>
              <w:t>流动比率</w:t>
            </w:r>
          </w:p>
        </w:tc>
        <w:tc>
          <w:tcPr>
            <w:tcW w:w="1510" w:type="pct"/>
            <w:tcBorders>
              <w:tl2br w:val="nil"/>
              <w:tr2bl w:val="nil"/>
            </w:tcBorders>
            <w:vAlign w:val="center"/>
          </w:tcPr>
          <w:p w14:paraId="39893591">
            <w:pPr>
              <w:rPr>
                <w:rFonts w:cs="Times New Roman"/>
                <w:sz w:val="18"/>
                <w:szCs w:val="18"/>
              </w:rPr>
            </w:pPr>
            <w:r>
              <w:rPr>
                <w:rFonts w:cs="Times New Roman"/>
                <w:sz w:val="18"/>
                <w:szCs w:val="18"/>
              </w:rPr>
              <w:t>Current ratio</w:t>
            </w:r>
          </w:p>
        </w:tc>
        <w:tc>
          <w:tcPr>
            <w:tcW w:w="2061" w:type="pct"/>
            <w:tcBorders>
              <w:tl2br w:val="nil"/>
              <w:tr2bl w:val="nil"/>
            </w:tcBorders>
            <w:vAlign w:val="center"/>
          </w:tcPr>
          <w:p w14:paraId="5FD8C614">
            <w:pPr>
              <w:rPr>
                <w:rFonts w:cs="Times New Roman"/>
                <w:sz w:val="18"/>
                <w:szCs w:val="18"/>
              </w:rPr>
            </w:pPr>
            <w:r>
              <w:rPr>
                <w:rFonts w:cs="Times New Roman"/>
                <w:sz w:val="18"/>
                <w:szCs w:val="18"/>
              </w:rPr>
              <w:t>流动资产/流动负债</w:t>
            </w:r>
          </w:p>
        </w:tc>
      </w:tr>
      <w:tr w14:paraId="485C825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3" w:hRule="atLeast"/>
          <w:jc w:val="center"/>
        </w:trPr>
        <w:tc>
          <w:tcPr>
            <w:tcW w:w="488" w:type="pct"/>
            <w:vMerge w:val="continue"/>
            <w:tcBorders>
              <w:tl2br w:val="nil"/>
              <w:tr2bl w:val="nil"/>
            </w:tcBorders>
            <w:vAlign w:val="center"/>
          </w:tcPr>
          <w:p w14:paraId="51897009">
            <w:pPr>
              <w:jc w:val="center"/>
              <w:rPr>
                <w:rFonts w:cs="Times New Roman"/>
                <w:sz w:val="18"/>
                <w:szCs w:val="18"/>
              </w:rPr>
            </w:pPr>
          </w:p>
        </w:tc>
        <w:tc>
          <w:tcPr>
            <w:tcW w:w="940" w:type="pct"/>
            <w:tcBorders>
              <w:tl2br w:val="nil"/>
              <w:tr2bl w:val="nil"/>
            </w:tcBorders>
            <w:vAlign w:val="center"/>
          </w:tcPr>
          <w:p w14:paraId="209BFD69">
            <w:pPr>
              <w:rPr>
                <w:rFonts w:cs="Times New Roman"/>
                <w:sz w:val="18"/>
                <w:szCs w:val="18"/>
              </w:rPr>
            </w:pPr>
            <w:r>
              <w:rPr>
                <w:rFonts w:cs="Times New Roman"/>
                <w:sz w:val="18"/>
                <w:szCs w:val="18"/>
              </w:rPr>
              <w:t>资产负债率</w:t>
            </w:r>
          </w:p>
        </w:tc>
        <w:tc>
          <w:tcPr>
            <w:tcW w:w="1510" w:type="pct"/>
            <w:tcBorders>
              <w:tl2br w:val="nil"/>
              <w:tr2bl w:val="nil"/>
            </w:tcBorders>
            <w:vAlign w:val="center"/>
          </w:tcPr>
          <w:p w14:paraId="1B556D74">
            <w:pPr>
              <w:rPr>
                <w:rFonts w:cs="Times New Roman"/>
                <w:sz w:val="18"/>
                <w:szCs w:val="18"/>
              </w:rPr>
            </w:pPr>
            <w:r>
              <w:rPr>
                <w:rFonts w:cs="Times New Roman"/>
                <w:sz w:val="18"/>
                <w:szCs w:val="18"/>
              </w:rPr>
              <w:t>Asset-liability ratio</w:t>
            </w:r>
          </w:p>
        </w:tc>
        <w:tc>
          <w:tcPr>
            <w:tcW w:w="2061" w:type="pct"/>
            <w:tcBorders>
              <w:tl2br w:val="nil"/>
              <w:tr2bl w:val="nil"/>
            </w:tcBorders>
            <w:vAlign w:val="center"/>
          </w:tcPr>
          <w:p w14:paraId="3754B97B">
            <w:pPr>
              <w:rPr>
                <w:rFonts w:cs="Times New Roman"/>
                <w:sz w:val="18"/>
                <w:szCs w:val="18"/>
              </w:rPr>
            </w:pPr>
            <w:r>
              <w:rPr>
                <w:rFonts w:cs="Times New Roman"/>
                <w:sz w:val="18"/>
                <w:szCs w:val="18"/>
              </w:rPr>
              <w:t>负债总额/资产总额</w:t>
            </w:r>
          </w:p>
        </w:tc>
      </w:tr>
      <w:tr w14:paraId="37CF4C1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3" w:hRule="atLeast"/>
          <w:jc w:val="center"/>
        </w:trPr>
        <w:tc>
          <w:tcPr>
            <w:tcW w:w="488" w:type="pct"/>
            <w:vMerge w:val="continue"/>
            <w:tcBorders>
              <w:tl2br w:val="nil"/>
              <w:tr2bl w:val="nil"/>
            </w:tcBorders>
            <w:vAlign w:val="center"/>
          </w:tcPr>
          <w:p w14:paraId="20004714">
            <w:pPr>
              <w:jc w:val="center"/>
              <w:rPr>
                <w:rFonts w:cs="Times New Roman"/>
                <w:sz w:val="18"/>
                <w:szCs w:val="18"/>
              </w:rPr>
            </w:pPr>
          </w:p>
        </w:tc>
        <w:tc>
          <w:tcPr>
            <w:tcW w:w="940" w:type="pct"/>
            <w:tcBorders>
              <w:tl2br w:val="nil"/>
              <w:tr2bl w:val="nil"/>
            </w:tcBorders>
            <w:vAlign w:val="center"/>
          </w:tcPr>
          <w:p w14:paraId="45B38216">
            <w:pPr>
              <w:rPr>
                <w:rFonts w:cs="Times New Roman"/>
                <w:sz w:val="18"/>
                <w:szCs w:val="18"/>
              </w:rPr>
            </w:pPr>
            <w:r>
              <w:rPr>
                <w:rFonts w:cs="Times New Roman"/>
                <w:sz w:val="18"/>
                <w:szCs w:val="18"/>
              </w:rPr>
              <w:t>资产收益率</w:t>
            </w:r>
          </w:p>
        </w:tc>
        <w:tc>
          <w:tcPr>
            <w:tcW w:w="1510" w:type="pct"/>
            <w:tcBorders>
              <w:tl2br w:val="nil"/>
              <w:tr2bl w:val="nil"/>
            </w:tcBorders>
            <w:vAlign w:val="center"/>
          </w:tcPr>
          <w:p w14:paraId="12926C33">
            <w:pPr>
              <w:rPr>
                <w:rFonts w:cs="Times New Roman"/>
                <w:sz w:val="18"/>
                <w:szCs w:val="18"/>
              </w:rPr>
            </w:pPr>
            <w:r>
              <w:rPr>
                <w:rFonts w:cs="Times New Roman"/>
                <w:sz w:val="18"/>
                <w:szCs w:val="18"/>
              </w:rPr>
              <w:t>ROA</w:t>
            </w:r>
          </w:p>
        </w:tc>
        <w:tc>
          <w:tcPr>
            <w:tcW w:w="2061" w:type="pct"/>
            <w:tcBorders>
              <w:tl2br w:val="nil"/>
              <w:tr2bl w:val="nil"/>
            </w:tcBorders>
            <w:vAlign w:val="center"/>
          </w:tcPr>
          <w:p w14:paraId="164D8AB7">
            <w:pPr>
              <w:rPr>
                <w:rFonts w:cs="Times New Roman"/>
                <w:sz w:val="18"/>
                <w:szCs w:val="18"/>
              </w:rPr>
            </w:pPr>
            <w:r>
              <w:rPr>
                <w:rFonts w:cs="Times New Roman"/>
                <w:sz w:val="18"/>
                <w:szCs w:val="18"/>
              </w:rPr>
              <w:t>净利润/平均资产总额</w:t>
            </w:r>
          </w:p>
        </w:tc>
      </w:tr>
      <w:tr w14:paraId="741F395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3" w:hRule="atLeast"/>
          <w:jc w:val="center"/>
        </w:trPr>
        <w:tc>
          <w:tcPr>
            <w:tcW w:w="488" w:type="pct"/>
            <w:vMerge w:val="continue"/>
            <w:tcBorders>
              <w:tl2br w:val="nil"/>
              <w:tr2bl w:val="nil"/>
            </w:tcBorders>
            <w:vAlign w:val="center"/>
          </w:tcPr>
          <w:p w14:paraId="26A63438">
            <w:pPr>
              <w:jc w:val="center"/>
              <w:rPr>
                <w:rFonts w:cs="Times New Roman"/>
                <w:sz w:val="18"/>
                <w:szCs w:val="18"/>
              </w:rPr>
            </w:pPr>
          </w:p>
        </w:tc>
        <w:tc>
          <w:tcPr>
            <w:tcW w:w="940" w:type="pct"/>
            <w:tcBorders>
              <w:tl2br w:val="nil"/>
              <w:tr2bl w:val="nil"/>
            </w:tcBorders>
            <w:vAlign w:val="center"/>
          </w:tcPr>
          <w:p w14:paraId="512E0E7A">
            <w:pPr>
              <w:rPr>
                <w:rFonts w:cs="Times New Roman"/>
                <w:sz w:val="18"/>
                <w:szCs w:val="18"/>
              </w:rPr>
            </w:pPr>
            <w:r>
              <w:rPr>
                <w:rFonts w:cs="Times New Roman"/>
                <w:sz w:val="18"/>
                <w:szCs w:val="18"/>
              </w:rPr>
              <w:t>企业所有权</w:t>
            </w:r>
          </w:p>
        </w:tc>
        <w:tc>
          <w:tcPr>
            <w:tcW w:w="1510" w:type="pct"/>
            <w:tcBorders>
              <w:tl2br w:val="nil"/>
              <w:tr2bl w:val="nil"/>
            </w:tcBorders>
            <w:vAlign w:val="center"/>
          </w:tcPr>
          <w:p w14:paraId="6EEE38C2">
            <w:pPr>
              <w:rPr>
                <w:rFonts w:cs="Times New Roman"/>
                <w:sz w:val="18"/>
                <w:szCs w:val="18"/>
              </w:rPr>
            </w:pPr>
            <w:r>
              <w:rPr>
                <w:rFonts w:cs="Times New Roman"/>
                <w:sz w:val="18"/>
                <w:szCs w:val="18"/>
              </w:rPr>
              <w:t>SOE</w:t>
            </w:r>
          </w:p>
        </w:tc>
        <w:tc>
          <w:tcPr>
            <w:tcW w:w="2061" w:type="pct"/>
            <w:tcBorders>
              <w:tl2br w:val="nil"/>
              <w:tr2bl w:val="nil"/>
            </w:tcBorders>
            <w:vAlign w:val="center"/>
          </w:tcPr>
          <w:p w14:paraId="44044D88">
            <w:pPr>
              <w:rPr>
                <w:rFonts w:cs="Times New Roman"/>
                <w:sz w:val="18"/>
                <w:szCs w:val="18"/>
              </w:rPr>
            </w:pPr>
            <w:r>
              <w:rPr>
                <w:rFonts w:cs="Times New Roman"/>
                <w:sz w:val="18"/>
                <w:szCs w:val="18"/>
              </w:rPr>
              <w:t>国有企业记为1，否则为0</w:t>
            </w:r>
          </w:p>
        </w:tc>
      </w:tr>
      <w:tr w14:paraId="7A78674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3" w:hRule="atLeast"/>
          <w:jc w:val="center"/>
        </w:trPr>
        <w:tc>
          <w:tcPr>
            <w:tcW w:w="488" w:type="pct"/>
            <w:vMerge w:val="continue"/>
            <w:tcBorders>
              <w:tl2br w:val="nil"/>
              <w:tr2bl w:val="nil"/>
            </w:tcBorders>
            <w:vAlign w:val="center"/>
          </w:tcPr>
          <w:p w14:paraId="6CE79DC3">
            <w:pPr>
              <w:jc w:val="center"/>
              <w:rPr>
                <w:rFonts w:cs="Times New Roman"/>
                <w:sz w:val="18"/>
                <w:szCs w:val="18"/>
              </w:rPr>
            </w:pPr>
          </w:p>
        </w:tc>
        <w:tc>
          <w:tcPr>
            <w:tcW w:w="940" w:type="pct"/>
            <w:tcBorders>
              <w:tl2br w:val="nil"/>
              <w:tr2bl w:val="nil"/>
            </w:tcBorders>
            <w:vAlign w:val="center"/>
          </w:tcPr>
          <w:p w14:paraId="0C9C360F">
            <w:pPr>
              <w:rPr>
                <w:rFonts w:cs="Times New Roman"/>
                <w:sz w:val="18"/>
                <w:szCs w:val="18"/>
              </w:rPr>
            </w:pPr>
            <w:r>
              <w:rPr>
                <w:rFonts w:cs="Times New Roman"/>
                <w:sz w:val="18"/>
                <w:szCs w:val="18"/>
              </w:rPr>
              <w:t>管理层持股比例</w:t>
            </w:r>
          </w:p>
        </w:tc>
        <w:tc>
          <w:tcPr>
            <w:tcW w:w="1510" w:type="pct"/>
            <w:tcBorders>
              <w:tl2br w:val="nil"/>
              <w:tr2bl w:val="nil"/>
            </w:tcBorders>
            <w:vAlign w:val="center"/>
          </w:tcPr>
          <w:p w14:paraId="5FD2866F">
            <w:pPr>
              <w:rPr>
                <w:rFonts w:cs="Times New Roman"/>
                <w:sz w:val="18"/>
                <w:szCs w:val="18"/>
              </w:rPr>
            </w:pPr>
            <w:r>
              <w:rPr>
                <w:rFonts w:cs="Times New Roman"/>
                <w:sz w:val="18"/>
                <w:szCs w:val="18"/>
              </w:rPr>
              <w:t>Executive ownership ratio</w:t>
            </w:r>
          </w:p>
        </w:tc>
        <w:tc>
          <w:tcPr>
            <w:tcW w:w="2061" w:type="pct"/>
            <w:tcBorders>
              <w:tl2br w:val="nil"/>
              <w:tr2bl w:val="nil"/>
            </w:tcBorders>
            <w:vAlign w:val="center"/>
          </w:tcPr>
          <w:p w14:paraId="2A7C37E0">
            <w:pPr>
              <w:rPr>
                <w:rFonts w:cs="Times New Roman"/>
                <w:sz w:val="18"/>
                <w:szCs w:val="18"/>
              </w:rPr>
            </w:pPr>
            <w:r>
              <w:rPr>
                <w:rFonts w:cs="Times New Roman"/>
                <w:sz w:val="18"/>
                <w:szCs w:val="18"/>
              </w:rPr>
              <w:t>高管持股数量/股份总额</w:t>
            </w:r>
          </w:p>
        </w:tc>
      </w:tr>
      <w:tr w14:paraId="7E230C8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3" w:hRule="atLeast"/>
          <w:jc w:val="center"/>
        </w:trPr>
        <w:tc>
          <w:tcPr>
            <w:tcW w:w="488" w:type="pct"/>
            <w:vMerge w:val="continue"/>
            <w:tcBorders>
              <w:tl2br w:val="nil"/>
              <w:tr2bl w:val="nil"/>
            </w:tcBorders>
            <w:vAlign w:val="center"/>
          </w:tcPr>
          <w:p w14:paraId="781E5BD7">
            <w:pPr>
              <w:jc w:val="center"/>
              <w:rPr>
                <w:rFonts w:cs="Times New Roman"/>
                <w:sz w:val="18"/>
                <w:szCs w:val="18"/>
              </w:rPr>
            </w:pPr>
          </w:p>
        </w:tc>
        <w:tc>
          <w:tcPr>
            <w:tcW w:w="940" w:type="pct"/>
            <w:tcBorders>
              <w:tl2br w:val="nil"/>
              <w:tr2bl w:val="nil"/>
            </w:tcBorders>
            <w:vAlign w:val="center"/>
          </w:tcPr>
          <w:p w14:paraId="3FB63387">
            <w:pPr>
              <w:rPr>
                <w:rFonts w:cs="Times New Roman"/>
                <w:sz w:val="18"/>
                <w:szCs w:val="18"/>
              </w:rPr>
            </w:pPr>
            <w:r>
              <w:rPr>
                <w:rFonts w:cs="Times New Roman"/>
                <w:sz w:val="18"/>
                <w:szCs w:val="18"/>
              </w:rPr>
              <w:t>股权集中度</w:t>
            </w:r>
          </w:p>
        </w:tc>
        <w:tc>
          <w:tcPr>
            <w:tcW w:w="1510" w:type="pct"/>
            <w:tcBorders>
              <w:tl2br w:val="nil"/>
              <w:tr2bl w:val="nil"/>
            </w:tcBorders>
            <w:vAlign w:val="center"/>
          </w:tcPr>
          <w:p w14:paraId="4BE39596">
            <w:pPr>
              <w:rPr>
                <w:rFonts w:cs="Times New Roman"/>
                <w:sz w:val="18"/>
                <w:szCs w:val="18"/>
              </w:rPr>
            </w:pPr>
            <w:r>
              <w:rPr>
                <w:rFonts w:cs="Times New Roman"/>
                <w:sz w:val="18"/>
                <w:szCs w:val="18"/>
              </w:rPr>
              <w:t>Ownership concentration</w:t>
            </w:r>
          </w:p>
        </w:tc>
        <w:tc>
          <w:tcPr>
            <w:tcW w:w="2061" w:type="pct"/>
            <w:tcBorders>
              <w:tl2br w:val="nil"/>
              <w:tr2bl w:val="nil"/>
            </w:tcBorders>
            <w:vAlign w:val="center"/>
          </w:tcPr>
          <w:p w14:paraId="74EE89A2">
            <w:pPr>
              <w:rPr>
                <w:rFonts w:cs="Times New Roman"/>
                <w:sz w:val="18"/>
                <w:szCs w:val="18"/>
              </w:rPr>
            </w:pPr>
            <w:r>
              <w:rPr>
                <w:rFonts w:cs="Times New Roman"/>
                <w:sz w:val="18"/>
                <w:szCs w:val="18"/>
              </w:rPr>
              <w:t>前十大股东持股比例</w:t>
            </w:r>
          </w:p>
        </w:tc>
      </w:tr>
      <w:tr w14:paraId="5C7F1EF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3" w:hRule="atLeast"/>
          <w:jc w:val="center"/>
        </w:trPr>
        <w:tc>
          <w:tcPr>
            <w:tcW w:w="488" w:type="pct"/>
            <w:vMerge w:val="continue"/>
            <w:tcBorders>
              <w:tl2br w:val="nil"/>
              <w:tr2bl w:val="nil"/>
            </w:tcBorders>
            <w:vAlign w:val="center"/>
          </w:tcPr>
          <w:p w14:paraId="21A3860F">
            <w:pPr>
              <w:jc w:val="center"/>
              <w:rPr>
                <w:rFonts w:cs="Times New Roman"/>
                <w:sz w:val="18"/>
                <w:szCs w:val="18"/>
              </w:rPr>
            </w:pPr>
          </w:p>
        </w:tc>
        <w:tc>
          <w:tcPr>
            <w:tcW w:w="940" w:type="pct"/>
            <w:tcBorders>
              <w:tl2br w:val="nil"/>
              <w:tr2bl w:val="nil"/>
            </w:tcBorders>
            <w:vAlign w:val="center"/>
          </w:tcPr>
          <w:p w14:paraId="195AB529">
            <w:pPr>
              <w:rPr>
                <w:rFonts w:cs="Times New Roman"/>
                <w:sz w:val="18"/>
                <w:szCs w:val="18"/>
              </w:rPr>
            </w:pPr>
            <w:r>
              <w:rPr>
                <w:rFonts w:cs="Times New Roman"/>
                <w:sz w:val="18"/>
                <w:szCs w:val="18"/>
              </w:rPr>
              <w:t>高管年龄</w:t>
            </w:r>
          </w:p>
        </w:tc>
        <w:tc>
          <w:tcPr>
            <w:tcW w:w="1510" w:type="pct"/>
            <w:tcBorders>
              <w:tl2br w:val="nil"/>
              <w:tr2bl w:val="nil"/>
            </w:tcBorders>
            <w:vAlign w:val="center"/>
          </w:tcPr>
          <w:p w14:paraId="47E492DA">
            <w:pPr>
              <w:rPr>
                <w:rFonts w:cs="Times New Roman"/>
                <w:sz w:val="18"/>
                <w:szCs w:val="18"/>
              </w:rPr>
            </w:pPr>
            <w:r>
              <w:rPr>
                <w:rFonts w:cs="Times New Roman"/>
                <w:sz w:val="18"/>
                <w:szCs w:val="18"/>
              </w:rPr>
              <w:t>Executive age</w:t>
            </w:r>
          </w:p>
        </w:tc>
        <w:tc>
          <w:tcPr>
            <w:tcW w:w="2061" w:type="pct"/>
            <w:tcBorders>
              <w:tl2br w:val="nil"/>
              <w:tr2bl w:val="nil"/>
            </w:tcBorders>
            <w:vAlign w:val="center"/>
          </w:tcPr>
          <w:p w14:paraId="26E28E70">
            <w:pPr>
              <w:rPr>
                <w:rFonts w:cs="Times New Roman"/>
                <w:sz w:val="18"/>
                <w:szCs w:val="18"/>
              </w:rPr>
            </w:pPr>
            <w:r>
              <w:rPr>
                <w:rFonts w:cs="Times New Roman"/>
                <w:sz w:val="18"/>
                <w:szCs w:val="18"/>
              </w:rPr>
              <w:t>高管年龄均值</w:t>
            </w:r>
          </w:p>
        </w:tc>
      </w:tr>
      <w:tr w14:paraId="2F314EE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3" w:hRule="atLeast"/>
          <w:jc w:val="center"/>
        </w:trPr>
        <w:tc>
          <w:tcPr>
            <w:tcW w:w="488" w:type="pct"/>
            <w:vMerge w:val="continue"/>
            <w:tcBorders>
              <w:tl2br w:val="nil"/>
              <w:tr2bl w:val="nil"/>
            </w:tcBorders>
            <w:vAlign w:val="center"/>
          </w:tcPr>
          <w:p w14:paraId="13D430D1">
            <w:pPr>
              <w:jc w:val="center"/>
              <w:rPr>
                <w:rFonts w:cs="Times New Roman"/>
                <w:sz w:val="18"/>
                <w:szCs w:val="18"/>
              </w:rPr>
            </w:pPr>
          </w:p>
        </w:tc>
        <w:tc>
          <w:tcPr>
            <w:tcW w:w="940" w:type="pct"/>
            <w:tcBorders>
              <w:tl2br w:val="nil"/>
              <w:tr2bl w:val="nil"/>
            </w:tcBorders>
            <w:vAlign w:val="center"/>
          </w:tcPr>
          <w:p w14:paraId="4E618D27">
            <w:pPr>
              <w:rPr>
                <w:rFonts w:cs="Times New Roman"/>
                <w:sz w:val="18"/>
                <w:szCs w:val="18"/>
              </w:rPr>
            </w:pPr>
            <w:r>
              <w:rPr>
                <w:rFonts w:cs="Times New Roman"/>
                <w:sz w:val="18"/>
                <w:szCs w:val="18"/>
              </w:rPr>
              <w:t>高管薪酬</w:t>
            </w:r>
          </w:p>
        </w:tc>
        <w:tc>
          <w:tcPr>
            <w:tcW w:w="1510" w:type="pct"/>
            <w:tcBorders>
              <w:tl2br w:val="nil"/>
              <w:tr2bl w:val="nil"/>
            </w:tcBorders>
            <w:vAlign w:val="center"/>
          </w:tcPr>
          <w:p w14:paraId="0F70F919">
            <w:pPr>
              <w:rPr>
                <w:rFonts w:cs="Times New Roman"/>
                <w:sz w:val="18"/>
                <w:szCs w:val="18"/>
              </w:rPr>
            </w:pPr>
            <w:r>
              <w:rPr>
                <w:rFonts w:cs="Times New Roman"/>
                <w:sz w:val="18"/>
                <w:szCs w:val="18"/>
              </w:rPr>
              <w:t>Executive compensation</w:t>
            </w:r>
          </w:p>
        </w:tc>
        <w:tc>
          <w:tcPr>
            <w:tcW w:w="2061" w:type="pct"/>
            <w:tcBorders>
              <w:tl2br w:val="nil"/>
              <w:tr2bl w:val="nil"/>
            </w:tcBorders>
            <w:vAlign w:val="center"/>
          </w:tcPr>
          <w:p w14:paraId="7C10E515">
            <w:pPr>
              <w:rPr>
                <w:rFonts w:cs="Times New Roman"/>
                <w:sz w:val="18"/>
                <w:szCs w:val="18"/>
              </w:rPr>
            </w:pPr>
            <w:r>
              <w:rPr>
                <w:rFonts w:cs="Times New Roman"/>
                <w:sz w:val="18"/>
                <w:szCs w:val="18"/>
              </w:rPr>
              <w:t>高管薪酬总额</w:t>
            </w:r>
          </w:p>
        </w:tc>
      </w:tr>
      <w:tr w14:paraId="6FDCE7A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3" w:hRule="atLeast"/>
          <w:jc w:val="center"/>
        </w:trPr>
        <w:tc>
          <w:tcPr>
            <w:tcW w:w="488" w:type="pct"/>
            <w:vMerge w:val="continue"/>
            <w:tcBorders>
              <w:tl2br w:val="nil"/>
              <w:tr2bl w:val="nil"/>
            </w:tcBorders>
            <w:vAlign w:val="center"/>
          </w:tcPr>
          <w:p w14:paraId="11AC48D6">
            <w:pPr>
              <w:jc w:val="center"/>
              <w:rPr>
                <w:rFonts w:cs="Times New Roman"/>
                <w:sz w:val="18"/>
                <w:szCs w:val="18"/>
              </w:rPr>
            </w:pPr>
          </w:p>
        </w:tc>
        <w:tc>
          <w:tcPr>
            <w:tcW w:w="940" w:type="pct"/>
            <w:tcBorders>
              <w:tl2br w:val="nil"/>
              <w:tr2bl w:val="nil"/>
            </w:tcBorders>
            <w:vAlign w:val="center"/>
          </w:tcPr>
          <w:p w14:paraId="19730293">
            <w:pPr>
              <w:rPr>
                <w:rFonts w:cs="Times New Roman"/>
                <w:sz w:val="18"/>
                <w:szCs w:val="18"/>
              </w:rPr>
            </w:pPr>
            <w:r>
              <w:rPr>
                <w:rFonts w:cs="Times New Roman"/>
                <w:sz w:val="18"/>
                <w:szCs w:val="18"/>
              </w:rPr>
              <w:t>数字化背景高管比例</w:t>
            </w:r>
          </w:p>
        </w:tc>
        <w:tc>
          <w:tcPr>
            <w:tcW w:w="1510" w:type="pct"/>
            <w:tcBorders>
              <w:tl2br w:val="nil"/>
              <w:tr2bl w:val="nil"/>
            </w:tcBorders>
            <w:vAlign w:val="center"/>
          </w:tcPr>
          <w:p w14:paraId="6C368A28">
            <w:pPr>
              <w:rPr>
                <w:rFonts w:cs="Times New Roman"/>
                <w:sz w:val="18"/>
                <w:szCs w:val="18"/>
              </w:rPr>
            </w:pPr>
            <w:r>
              <w:rPr>
                <w:rFonts w:cs="Times New Roman"/>
                <w:sz w:val="18"/>
                <w:szCs w:val="18"/>
              </w:rPr>
              <w:t>Executive with digital background</w:t>
            </w:r>
          </w:p>
        </w:tc>
        <w:tc>
          <w:tcPr>
            <w:tcW w:w="2061" w:type="pct"/>
            <w:tcBorders>
              <w:tl2br w:val="nil"/>
              <w:tr2bl w:val="nil"/>
            </w:tcBorders>
            <w:vAlign w:val="center"/>
          </w:tcPr>
          <w:p w14:paraId="035F08B0">
            <w:pPr>
              <w:rPr>
                <w:rFonts w:cs="Times New Roman"/>
                <w:sz w:val="18"/>
                <w:szCs w:val="18"/>
              </w:rPr>
            </w:pPr>
            <w:r>
              <w:rPr>
                <w:rFonts w:cs="Times New Roman"/>
                <w:sz w:val="18"/>
                <w:szCs w:val="18"/>
              </w:rPr>
              <w:t>数字化背景的高管/高管总人数</w:t>
            </w:r>
          </w:p>
        </w:tc>
      </w:tr>
      <w:tr w14:paraId="5EC22F5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3" w:hRule="atLeast"/>
          <w:jc w:val="center"/>
        </w:trPr>
        <w:tc>
          <w:tcPr>
            <w:tcW w:w="488" w:type="pct"/>
            <w:vMerge w:val="continue"/>
            <w:tcBorders>
              <w:tl2br w:val="nil"/>
              <w:tr2bl w:val="nil"/>
            </w:tcBorders>
            <w:vAlign w:val="center"/>
          </w:tcPr>
          <w:p w14:paraId="08AF0553">
            <w:pPr>
              <w:jc w:val="center"/>
              <w:rPr>
                <w:rFonts w:cs="Times New Roman"/>
                <w:sz w:val="18"/>
                <w:szCs w:val="18"/>
              </w:rPr>
            </w:pPr>
          </w:p>
        </w:tc>
        <w:tc>
          <w:tcPr>
            <w:tcW w:w="940" w:type="pct"/>
            <w:tcBorders>
              <w:tl2br w:val="nil"/>
              <w:tr2bl w:val="nil"/>
            </w:tcBorders>
            <w:vAlign w:val="center"/>
          </w:tcPr>
          <w:p w14:paraId="3D6C021E">
            <w:pPr>
              <w:rPr>
                <w:rFonts w:cs="Times New Roman"/>
                <w:sz w:val="18"/>
                <w:szCs w:val="18"/>
              </w:rPr>
            </w:pPr>
            <w:r>
              <w:rPr>
                <w:rFonts w:cs="Times New Roman"/>
                <w:sz w:val="18"/>
                <w:szCs w:val="18"/>
              </w:rPr>
              <w:t>海外背景的高管数量</w:t>
            </w:r>
          </w:p>
        </w:tc>
        <w:tc>
          <w:tcPr>
            <w:tcW w:w="1510" w:type="pct"/>
            <w:tcBorders>
              <w:tl2br w:val="nil"/>
              <w:tr2bl w:val="nil"/>
            </w:tcBorders>
            <w:vAlign w:val="center"/>
          </w:tcPr>
          <w:p w14:paraId="7399FEE1">
            <w:pPr>
              <w:rPr>
                <w:rFonts w:cs="Times New Roman"/>
                <w:sz w:val="18"/>
                <w:szCs w:val="18"/>
              </w:rPr>
            </w:pPr>
            <w:r>
              <w:rPr>
                <w:rFonts w:cs="Times New Roman"/>
                <w:sz w:val="18"/>
                <w:szCs w:val="18"/>
              </w:rPr>
              <w:t>Executives with overseas background</w:t>
            </w:r>
          </w:p>
        </w:tc>
        <w:tc>
          <w:tcPr>
            <w:tcW w:w="2061" w:type="pct"/>
            <w:tcBorders>
              <w:tl2br w:val="nil"/>
              <w:tr2bl w:val="nil"/>
            </w:tcBorders>
            <w:vAlign w:val="center"/>
          </w:tcPr>
          <w:p w14:paraId="75D3F09A">
            <w:pPr>
              <w:rPr>
                <w:rFonts w:cs="Times New Roman"/>
                <w:sz w:val="18"/>
                <w:szCs w:val="18"/>
              </w:rPr>
            </w:pPr>
            <w:r>
              <w:rPr>
                <w:rFonts w:cs="Times New Roman"/>
                <w:sz w:val="18"/>
                <w:szCs w:val="18"/>
              </w:rPr>
              <w:t>有海外背景的董事数量</w:t>
            </w:r>
          </w:p>
        </w:tc>
      </w:tr>
      <w:tr w14:paraId="20AC037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3" w:hRule="atLeast"/>
          <w:jc w:val="center"/>
        </w:trPr>
        <w:tc>
          <w:tcPr>
            <w:tcW w:w="488" w:type="pct"/>
            <w:vMerge w:val="continue"/>
            <w:tcBorders>
              <w:tl2br w:val="nil"/>
              <w:tr2bl w:val="nil"/>
            </w:tcBorders>
            <w:vAlign w:val="center"/>
          </w:tcPr>
          <w:p w14:paraId="5A9E1B81">
            <w:pPr>
              <w:jc w:val="center"/>
              <w:rPr>
                <w:rFonts w:cs="Times New Roman"/>
                <w:sz w:val="18"/>
                <w:szCs w:val="18"/>
              </w:rPr>
            </w:pPr>
          </w:p>
        </w:tc>
        <w:tc>
          <w:tcPr>
            <w:tcW w:w="940" w:type="pct"/>
            <w:tcBorders>
              <w:tl2br w:val="nil"/>
              <w:tr2bl w:val="nil"/>
            </w:tcBorders>
            <w:vAlign w:val="center"/>
          </w:tcPr>
          <w:p w14:paraId="7E91FEF9">
            <w:pPr>
              <w:rPr>
                <w:rFonts w:cs="Times New Roman"/>
                <w:sz w:val="18"/>
                <w:szCs w:val="18"/>
              </w:rPr>
            </w:pPr>
            <w:r>
              <w:rPr>
                <w:rFonts w:cs="Times New Roman"/>
                <w:sz w:val="18"/>
                <w:szCs w:val="18"/>
              </w:rPr>
              <w:t>两职合一</w:t>
            </w:r>
          </w:p>
        </w:tc>
        <w:tc>
          <w:tcPr>
            <w:tcW w:w="1510" w:type="pct"/>
            <w:tcBorders>
              <w:tl2br w:val="nil"/>
              <w:tr2bl w:val="nil"/>
            </w:tcBorders>
            <w:vAlign w:val="center"/>
          </w:tcPr>
          <w:p w14:paraId="41EF91DD">
            <w:pPr>
              <w:rPr>
                <w:rFonts w:cs="Times New Roman"/>
                <w:sz w:val="18"/>
                <w:szCs w:val="18"/>
              </w:rPr>
            </w:pPr>
            <w:r>
              <w:rPr>
                <w:rFonts w:cs="Times New Roman"/>
                <w:sz w:val="18"/>
                <w:szCs w:val="18"/>
              </w:rPr>
              <w:t>Duality</w:t>
            </w:r>
          </w:p>
        </w:tc>
        <w:tc>
          <w:tcPr>
            <w:tcW w:w="2061" w:type="pct"/>
            <w:tcBorders>
              <w:tl2br w:val="nil"/>
              <w:tr2bl w:val="nil"/>
            </w:tcBorders>
            <w:vAlign w:val="center"/>
          </w:tcPr>
          <w:p w14:paraId="1EBBAB6C">
            <w:pPr>
              <w:rPr>
                <w:rFonts w:cs="Times New Roman"/>
                <w:sz w:val="18"/>
                <w:szCs w:val="18"/>
              </w:rPr>
            </w:pPr>
            <w:r>
              <w:rPr>
                <w:rFonts w:cs="Times New Roman"/>
                <w:sz w:val="18"/>
                <w:szCs w:val="18"/>
              </w:rPr>
              <w:t>董事长与总经理为同一人为 1，否则为 0</w:t>
            </w:r>
          </w:p>
        </w:tc>
      </w:tr>
      <w:tr w14:paraId="5231ADA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3" w:hRule="atLeast"/>
          <w:jc w:val="center"/>
        </w:trPr>
        <w:tc>
          <w:tcPr>
            <w:tcW w:w="488" w:type="pct"/>
            <w:vMerge w:val="restart"/>
            <w:tcBorders>
              <w:tl2br w:val="nil"/>
              <w:tr2bl w:val="nil"/>
            </w:tcBorders>
            <w:vAlign w:val="center"/>
          </w:tcPr>
          <w:p w14:paraId="020C91D2">
            <w:pPr>
              <w:jc w:val="center"/>
              <w:rPr>
                <w:rFonts w:cs="Times New Roman"/>
                <w:sz w:val="18"/>
                <w:szCs w:val="18"/>
              </w:rPr>
            </w:pPr>
            <w:r>
              <w:rPr>
                <w:rFonts w:cs="Times New Roman"/>
                <w:sz w:val="18"/>
                <w:szCs w:val="18"/>
              </w:rPr>
              <w:t>环境</w:t>
            </w:r>
          </w:p>
        </w:tc>
        <w:tc>
          <w:tcPr>
            <w:tcW w:w="940" w:type="pct"/>
            <w:tcBorders>
              <w:tl2br w:val="nil"/>
              <w:tr2bl w:val="nil"/>
            </w:tcBorders>
            <w:vAlign w:val="center"/>
          </w:tcPr>
          <w:p w14:paraId="3742C642">
            <w:pPr>
              <w:rPr>
                <w:rFonts w:cs="Times New Roman"/>
                <w:sz w:val="18"/>
                <w:szCs w:val="18"/>
              </w:rPr>
            </w:pPr>
            <w:r>
              <w:rPr>
                <w:rFonts w:cs="Times New Roman"/>
                <w:sz w:val="18"/>
                <w:szCs w:val="18"/>
              </w:rPr>
              <w:t>ESG环境评级</w:t>
            </w:r>
          </w:p>
        </w:tc>
        <w:tc>
          <w:tcPr>
            <w:tcW w:w="1510" w:type="pct"/>
            <w:tcBorders>
              <w:tl2br w:val="nil"/>
              <w:tr2bl w:val="nil"/>
            </w:tcBorders>
            <w:vAlign w:val="center"/>
          </w:tcPr>
          <w:p w14:paraId="17BCA8D3">
            <w:pPr>
              <w:rPr>
                <w:rFonts w:cs="Times New Roman"/>
                <w:sz w:val="18"/>
                <w:szCs w:val="18"/>
              </w:rPr>
            </w:pPr>
            <w:r>
              <w:rPr>
                <w:rFonts w:cs="Times New Roman"/>
                <w:sz w:val="18"/>
                <w:szCs w:val="18"/>
              </w:rPr>
              <w:t>ESG rating</w:t>
            </w:r>
          </w:p>
        </w:tc>
        <w:tc>
          <w:tcPr>
            <w:tcW w:w="2061" w:type="pct"/>
            <w:tcBorders>
              <w:tl2br w:val="nil"/>
              <w:tr2bl w:val="nil"/>
            </w:tcBorders>
            <w:vAlign w:val="center"/>
          </w:tcPr>
          <w:p w14:paraId="3BA55EC6">
            <w:pPr>
              <w:rPr>
                <w:rFonts w:cs="Times New Roman"/>
                <w:sz w:val="18"/>
                <w:szCs w:val="18"/>
              </w:rPr>
            </w:pPr>
            <w:r>
              <w:rPr>
                <w:rFonts w:cs="Times New Roman"/>
                <w:sz w:val="18"/>
                <w:szCs w:val="18"/>
              </w:rPr>
              <w:t>华证 ESG 评分体系中的环境得分</w:t>
            </w:r>
          </w:p>
        </w:tc>
      </w:tr>
      <w:tr w14:paraId="465F2F0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3" w:hRule="atLeast"/>
          <w:jc w:val="center"/>
        </w:trPr>
        <w:tc>
          <w:tcPr>
            <w:tcW w:w="488" w:type="pct"/>
            <w:vMerge w:val="continue"/>
            <w:tcBorders>
              <w:tl2br w:val="nil"/>
              <w:tr2bl w:val="nil"/>
            </w:tcBorders>
            <w:vAlign w:val="center"/>
          </w:tcPr>
          <w:p w14:paraId="56DF5301">
            <w:pPr>
              <w:jc w:val="center"/>
              <w:rPr>
                <w:rFonts w:cs="Times New Roman"/>
                <w:sz w:val="18"/>
                <w:szCs w:val="18"/>
              </w:rPr>
            </w:pPr>
          </w:p>
        </w:tc>
        <w:tc>
          <w:tcPr>
            <w:tcW w:w="940" w:type="pct"/>
            <w:tcBorders>
              <w:tl2br w:val="nil"/>
              <w:tr2bl w:val="nil"/>
            </w:tcBorders>
            <w:vAlign w:val="center"/>
          </w:tcPr>
          <w:p w14:paraId="508032D1">
            <w:pPr>
              <w:rPr>
                <w:rFonts w:cs="Times New Roman"/>
                <w:sz w:val="18"/>
                <w:szCs w:val="18"/>
              </w:rPr>
            </w:pPr>
            <w:r>
              <w:rPr>
                <w:rFonts w:cs="Times New Roman"/>
                <w:sz w:val="18"/>
                <w:szCs w:val="18"/>
              </w:rPr>
              <w:t>碳排放量</w:t>
            </w:r>
          </w:p>
        </w:tc>
        <w:tc>
          <w:tcPr>
            <w:tcW w:w="1510" w:type="pct"/>
            <w:tcBorders>
              <w:tl2br w:val="nil"/>
              <w:tr2bl w:val="nil"/>
            </w:tcBorders>
            <w:vAlign w:val="center"/>
          </w:tcPr>
          <w:p w14:paraId="612A5384">
            <w:pPr>
              <w:rPr>
                <w:rFonts w:cs="Times New Roman"/>
                <w:sz w:val="18"/>
                <w:szCs w:val="18"/>
              </w:rPr>
            </w:pPr>
            <w:r>
              <w:rPr>
                <w:rFonts w:cs="Times New Roman"/>
                <w:sz w:val="18"/>
                <w:szCs w:val="18"/>
              </w:rPr>
              <w:t>Carbon emission</w:t>
            </w:r>
          </w:p>
        </w:tc>
        <w:tc>
          <w:tcPr>
            <w:tcW w:w="2061" w:type="pct"/>
            <w:tcBorders>
              <w:tl2br w:val="nil"/>
              <w:tr2bl w:val="nil"/>
            </w:tcBorders>
            <w:vAlign w:val="center"/>
          </w:tcPr>
          <w:p w14:paraId="2FD2D5C2">
            <w:pPr>
              <w:rPr>
                <w:rFonts w:cs="Times New Roman"/>
                <w:sz w:val="18"/>
                <w:szCs w:val="18"/>
              </w:rPr>
            </w:pPr>
            <w:r>
              <w:rPr>
                <w:rFonts w:cs="Times New Roman"/>
                <w:sz w:val="18"/>
                <w:szCs w:val="18"/>
              </w:rPr>
              <w:t>二氧化碳排放总量</w:t>
            </w:r>
          </w:p>
        </w:tc>
      </w:tr>
      <w:tr w14:paraId="5D0A6ED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3" w:hRule="atLeast"/>
          <w:jc w:val="center"/>
        </w:trPr>
        <w:tc>
          <w:tcPr>
            <w:tcW w:w="488" w:type="pct"/>
            <w:vMerge w:val="continue"/>
            <w:tcBorders>
              <w:tl2br w:val="nil"/>
              <w:tr2bl w:val="nil"/>
            </w:tcBorders>
            <w:vAlign w:val="center"/>
          </w:tcPr>
          <w:p w14:paraId="4C9CA258">
            <w:pPr>
              <w:jc w:val="center"/>
              <w:rPr>
                <w:rFonts w:cs="Times New Roman"/>
                <w:sz w:val="18"/>
                <w:szCs w:val="18"/>
              </w:rPr>
            </w:pPr>
          </w:p>
        </w:tc>
        <w:tc>
          <w:tcPr>
            <w:tcW w:w="940" w:type="pct"/>
            <w:tcBorders>
              <w:tl2br w:val="nil"/>
              <w:tr2bl w:val="nil"/>
            </w:tcBorders>
            <w:vAlign w:val="center"/>
          </w:tcPr>
          <w:p w14:paraId="300CF2A5">
            <w:pPr>
              <w:rPr>
                <w:rFonts w:cs="Times New Roman"/>
                <w:sz w:val="18"/>
                <w:szCs w:val="18"/>
              </w:rPr>
            </w:pPr>
            <w:r>
              <w:rPr>
                <w:rFonts w:cs="Times New Roman"/>
                <w:sz w:val="18"/>
                <w:szCs w:val="18"/>
              </w:rPr>
              <w:t>污染物排放</w:t>
            </w:r>
          </w:p>
        </w:tc>
        <w:tc>
          <w:tcPr>
            <w:tcW w:w="1510" w:type="pct"/>
            <w:tcBorders>
              <w:tl2br w:val="nil"/>
              <w:tr2bl w:val="nil"/>
            </w:tcBorders>
            <w:vAlign w:val="center"/>
          </w:tcPr>
          <w:p w14:paraId="7BC57443">
            <w:pPr>
              <w:rPr>
                <w:rFonts w:cs="Times New Roman"/>
                <w:sz w:val="18"/>
                <w:szCs w:val="18"/>
              </w:rPr>
            </w:pPr>
            <w:r>
              <w:rPr>
                <w:rFonts w:cs="Times New Roman"/>
                <w:sz w:val="18"/>
                <w:szCs w:val="18"/>
              </w:rPr>
              <w:t>Pollutant discharge</w:t>
            </w:r>
          </w:p>
        </w:tc>
        <w:tc>
          <w:tcPr>
            <w:tcW w:w="2061" w:type="pct"/>
            <w:tcBorders>
              <w:tl2br w:val="nil"/>
              <w:tr2bl w:val="nil"/>
            </w:tcBorders>
            <w:vAlign w:val="center"/>
          </w:tcPr>
          <w:p w14:paraId="610A23C0">
            <w:pPr>
              <w:rPr>
                <w:rFonts w:cs="Times New Roman"/>
                <w:sz w:val="18"/>
                <w:szCs w:val="18"/>
              </w:rPr>
            </w:pPr>
            <w:r>
              <w:rPr>
                <w:rFonts w:cs="Times New Roman"/>
                <w:sz w:val="18"/>
                <w:szCs w:val="18"/>
              </w:rPr>
              <w:t>Ln(污染物排放总量)</w:t>
            </w:r>
          </w:p>
        </w:tc>
      </w:tr>
      <w:tr w14:paraId="58DA1A6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3" w:hRule="atLeast"/>
          <w:jc w:val="center"/>
        </w:trPr>
        <w:tc>
          <w:tcPr>
            <w:tcW w:w="488" w:type="pct"/>
            <w:vMerge w:val="continue"/>
            <w:tcBorders>
              <w:tl2br w:val="nil"/>
              <w:tr2bl w:val="nil"/>
            </w:tcBorders>
            <w:vAlign w:val="center"/>
          </w:tcPr>
          <w:p w14:paraId="744C069F">
            <w:pPr>
              <w:jc w:val="center"/>
              <w:rPr>
                <w:rFonts w:cs="Times New Roman"/>
                <w:sz w:val="18"/>
                <w:szCs w:val="18"/>
              </w:rPr>
            </w:pPr>
          </w:p>
        </w:tc>
        <w:tc>
          <w:tcPr>
            <w:tcW w:w="940" w:type="pct"/>
            <w:tcBorders>
              <w:tl2br w:val="nil"/>
              <w:tr2bl w:val="nil"/>
            </w:tcBorders>
            <w:vAlign w:val="center"/>
          </w:tcPr>
          <w:p w14:paraId="23A70902">
            <w:pPr>
              <w:rPr>
                <w:rFonts w:cs="Times New Roman"/>
                <w:sz w:val="18"/>
                <w:szCs w:val="18"/>
              </w:rPr>
            </w:pPr>
            <w:r>
              <w:rPr>
                <w:rFonts w:cs="Times New Roman"/>
                <w:sz w:val="18"/>
                <w:szCs w:val="18"/>
              </w:rPr>
              <w:t>绿色创新水平</w:t>
            </w:r>
          </w:p>
        </w:tc>
        <w:tc>
          <w:tcPr>
            <w:tcW w:w="1510" w:type="pct"/>
            <w:tcBorders>
              <w:tl2br w:val="nil"/>
              <w:tr2bl w:val="nil"/>
            </w:tcBorders>
            <w:vAlign w:val="center"/>
          </w:tcPr>
          <w:p w14:paraId="5A116652">
            <w:pPr>
              <w:rPr>
                <w:rFonts w:cs="Times New Roman"/>
                <w:sz w:val="18"/>
                <w:szCs w:val="18"/>
              </w:rPr>
            </w:pPr>
            <w:r>
              <w:rPr>
                <w:rFonts w:cs="Times New Roman"/>
                <w:sz w:val="18"/>
                <w:szCs w:val="18"/>
              </w:rPr>
              <w:t>Green innovation level</w:t>
            </w:r>
          </w:p>
        </w:tc>
        <w:tc>
          <w:tcPr>
            <w:tcW w:w="2061" w:type="pct"/>
            <w:tcBorders>
              <w:tl2br w:val="nil"/>
              <w:tr2bl w:val="nil"/>
            </w:tcBorders>
            <w:vAlign w:val="center"/>
          </w:tcPr>
          <w:p w14:paraId="688F3466">
            <w:pPr>
              <w:rPr>
                <w:rFonts w:cs="Times New Roman"/>
                <w:sz w:val="18"/>
                <w:szCs w:val="18"/>
              </w:rPr>
            </w:pPr>
            <w:r>
              <w:rPr>
                <w:rFonts w:cs="Times New Roman"/>
                <w:sz w:val="18"/>
                <w:szCs w:val="18"/>
              </w:rPr>
              <w:t>Ln(绿色发明专利申请数+绿色实用新型申请数+1)</w:t>
            </w:r>
          </w:p>
        </w:tc>
      </w:tr>
    </w:tbl>
    <w:p w14:paraId="4232AF3D">
      <w:pPr>
        <w:pStyle w:val="4"/>
        <w:spacing w:before="0" w:after="0" w:line="240" w:lineRule="auto"/>
        <w:rPr>
          <w:rFonts w:cs="Times New Roman"/>
          <w:sz w:val="21"/>
          <w:szCs w:val="21"/>
        </w:rPr>
      </w:pPr>
      <w:r>
        <w:rPr>
          <w:rFonts w:cs="Times New Roman"/>
          <w:sz w:val="21"/>
          <w:szCs w:val="21"/>
        </w:rPr>
        <w:t>4.3 研究设计</w:t>
      </w:r>
    </w:p>
    <w:p w14:paraId="2D799340">
      <w:pPr>
        <w:widowControl/>
        <w:ind w:firstLine="420" w:firstLineChars="200"/>
        <w:jc w:val="left"/>
        <w:rPr>
          <w:rFonts w:cs="Times New Roman"/>
          <w:sz w:val="21"/>
          <w:szCs w:val="21"/>
          <w:lang w:bidi="ar"/>
        </w:rPr>
      </w:pPr>
      <w:r>
        <w:rPr>
          <w:rFonts w:cs="Times New Roman"/>
          <w:sz w:val="21"/>
          <w:szCs w:val="21"/>
          <w:lang w:bidi="ar"/>
        </w:rPr>
        <w:t>本文首先以企业新质生产力发展水平作为二项分类标签，基于K-</w:t>
      </w:r>
      <w:r>
        <w:rPr>
          <w:rFonts w:cs="Times New Roman"/>
          <w:sz w:val="21"/>
          <w:szCs w:val="21"/>
        </w:rPr>
        <w:t>means聚类算法</w:t>
      </w:r>
      <w:r>
        <w:rPr>
          <w:rFonts w:cs="Times New Roman"/>
          <w:b/>
          <w:bCs/>
          <w:sz w:val="21"/>
          <w:szCs w:val="21"/>
        </w:rPr>
        <w:t>[29]</w:t>
      </w:r>
      <w:r>
        <w:rPr>
          <w:rFonts w:cs="Times New Roman"/>
          <w:sz w:val="21"/>
          <w:szCs w:val="21"/>
          <w:lang w:bidi="ar"/>
        </w:rPr>
        <w:t>对企业的新质生产力发展水平进行强弱划分，其余的特征变量作为解释变量输入进行模型训练。为限制模型在数据上过度拟合，增强模型本身的泛化性，将数据随机划分为80%的训练集和20%的测试集，分别对9个分类模型：逻辑回归(LR)、随机森林(RF)、支持向量机(SVM)、极端梯度提升(XGBoost)、K近邻算法(KNN)、卷积神经网络(CNN)、贝叶斯优化随机森林(BO-RF)、贝叶斯优化卷积神经网络(BO-CNN)、SVM-RF组合模型进行训练和分类预测。其次为了获得更稳健的性能估计，采用K折交叉验证方法对每个模型的参数进行优化，以提高模型的泛化能力</w:t>
      </w:r>
      <w:r>
        <w:rPr>
          <w:rFonts w:cs="Times New Roman"/>
          <w:sz w:val="21"/>
          <w:szCs w:val="21"/>
          <w:vertAlign w:val="superscript"/>
          <w:lang w:bidi="ar"/>
        </w:rPr>
        <w:t>[30]</w:t>
      </w:r>
      <w:r>
        <w:rPr>
          <w:rFonts w:cs="Times New Roman"/>
          <w:sz w:val="21"/>
          <w:szCs w:val="21"/>
          <w:lang w:bidi="ar"/>
        </w:rPr>
        <w:t>。</w:t>
      </w:r>
    </w:p>
    <w:p w14:paraId="2C12BACB">
      <w:pPr>
        <w:widowControl/>
        <w:numPr>
          <w:ilvl w:val="0"/>
          <w:numId w:val="1"/>
        </w:numPr>
        <w:ind w:firstLine="480"/>
        <w:jc w:val="left"/>
        <w:rPr>
          <w:rFonts w:cs="Times New Roman"/>
          <w:sz w:val="21"/>
          <w:szCs w:val="21"/>
          <w:lang w:bidi="ar"/>
        </w:rPr>
      </w:pPr>
      <w:r>
        <w:rPr>
          <w:rFonts w:cs="Times New Roman"/>
          <w:sz w:val="21"/>
          <w:szCs w:val="21"/>
          <w:lang w:bidi="ar"/>
        </w:rPr>
        <w:t>在测试集上对各模型的性能进行了评价和比较，以准确率(Accuracy)、精确率(Precision)、召回率(Recall)、F1-score和AUC作为评估模型优劣的指标，找出最优模型</w:t>
      </w:r>
      <w:r>
        <w:rPr>
          <w:rFonts w:cs="Times New Roman"/>
          <w:sz w:val="21"/>
          <w:szCs w:val="21"/>
          <w:vertAlign w:val="superscript"/>
          <w:lang w:bidi="ar"/>
        </w:rPr>
        <w:t>[31]</w:t>
      </w:r>
      <w:r>
        <w:rPr>
          <w:rFonts w:cs="Times New Roman"/>
          <w:sz w:val="21"/>
          <w:szCs w:val="21"/>
          <w:lang w:bidi="ar"/>
        </w:rPr>
        <w:t>。Accuracy是衡量正确预测样本占总样本的比例，如公式(</w:t>
      </w:r>
      <w:r>
        <w:rPr>
          <w:rFonts w:hint="eastAsia" w:cs="Times New Roman"/>
          <w:sz w:val="21"/>
          <w:szCs w:val="21"/>
          <w:lang w:bidi="ar"/>
        </w:rPr>
        <w:t>1</w:t>
      </w:r>
      <w:r>
        <w:rPr>
          <w:rFonts w:cs="Times New Roman"/>
          <w:sz w:val="21"/>
          <w:szCs w:val="21"/>
          <w:lang w:bidi="ar"/>
        </w:rPr>
        <w:t>)所示。Precision是用来衡量预测结果的，如公式(</w:t>
      </w:r>
      <w:r>
        <w:rPr>
          <w:rFonts w:hint="eastAsia" w:cs="Times New Roman"/>
          <w:sz w:val="21"/>
          <w:szCs w:val="21"/>
          <w:lang w:bidi="ar"/>
        </w:rPr>
        <w:t>2</w:t>
      </w:r>
      <w:r>
        <w:rPr>
          <w:rFonts w:cs="Times New Roman"/>
          <w:sz w:val="21"/>
          <w:szCs w:val="21"/>
          <w:lang w:bidi="ar"/>
        </w:rPr>
        <w:t>)所示，可衡量有多少数据被正确预测。Recall又称查全率，是衡量所有实际为正的样本被正确预测为正的比例，如公式(</w:t>
      </w:r>
      <w:r>
        <w:rPr>
          <w:rFonts w:hint="eastAsia" w:cs="Times New Roman"/>
          <w:sz w:val="21"/>
          <w:szCs w:val="21"/>
          <w:lang w:bidi="ar"/>
        </w:rPr>
        <w:t>3</w:t>
      </w:r>
      <w:r>
        <w:rPr>
          <w:rFonts w:cs="Times New Roman"/>
          <w:sz w:val="21"/>
          <w:szCs w:val="21"/>
          <w:lang w:bidi="ar"/>
        </w:rPr>
        <w:t>)所示。F1-score值被用来综合评估精确率和召回率，如公式(</w:t>
      </w:r>
      <w:r>
        <w:rPr>
          <w:rFonts w:hint="eastAsia" w:cs="Times New Roman"/>
          <w:sz w:val="21"/>
          <w:szCs w:val="21"/>
          <w:lang w:bidi="ar"/>
        </w:rPr>
        <w:t>4</w:t>
      </w:r>
      <w:r>
        <w:rPr>
          <w:rFonts w:cs="Times New Roman"/>
          <w:sz w:val="21"/>
          <w:szCs w:val="21"/>
          <w:lang w:bidi="ar"/>
        </w:rPr>
        <w:t>)所示。AUC常被用来评估二分类模型的性能，也是</w:t>
      </w:r>
      <w:r>
        <w:rPr>
          <w:rFonts w:cs="Times New Roman"/>
          <w:sz w:val="21"/>
          <w:szCs w:val="21"/>
        </w:rPr>
        <w:fldChar w:fldCharType="begin"/>
      </w:r>
      <w:r>
        <w:rPr>
          <w:rFonts w:cs="Times New Roman"/>
          <w:sz w:val="21"/>
          <w:szCs w:val="21"/>
        </w:rPr>
        <w:instrText xml:space="preserve">HYPERLINK "https://en.wikipedia.org/wiki/Receiver_operating_characteristic"</w:instrText>
      </w:r>
      <w:r>
        <w:rPr>
          <w:rFonts w:cs="Times New Roman"/>
          <w:sz w:val="21"/>
          <w:szCs w:val="21"/>
        </w:rPr>
        <w:fldChar w:fldCharType="separate"/>
      </w:r>
      <w:r>
        <w:rPr>
          <w:rFonts w:cs="Times New Roman"/>
          <w:sz w:val="21"/>
          <w:szCs w:val="21"/>
          <w:lang w:bidi="ar"/>
        </w:rPr>
        <w:t>受试者操作曲线</w:t>
      </w:r>
      <w:r>
        <w:rPr>
          <w:rFonts w:cs="Times New Roman"/>
          <w:sz w:val="21"/>
          <w:szCs w:val="21"/>
          <w:lang w:bidi="ar"/>
        </w:rPr>
        <w:fldChar w:fldCharType="end"/>
      </w:r>
      <w:r>
        <w:rPr>
          <w:rFonts w:cs="Times New Roman"/>
          <w:sz w:val="21"/>
          <w:szCs w:val="21"/>
          <w:lang w:bidi="ar"/>
        </w:rPr>
        <w:t>(ROC)下的面积，AUC值越接近1，表明模型的性能越好。</w:t>
      </w:r>
    </w:p>
    <w:p w14:paraId="6594CE97">
      <w:pPr>
        <w:pStyle w:val="23"/>
        <w:rPr>
          <w:rFonts w:ascii="Times New Roman" w:hAnsi="Times New Roman"/>
          <w:lang w:bidi="ar"/>
        </w:rPr>
      </w:pPr>
      <w:r>
        <w:rPr>
          <w:rFonts w:ascii="Times New Roman" w:hAnsi="Times New Roman"/>
          <w:i w:val="0"/>
        </w:rPr>
        <w:tab/>
      </w:r>
      <m:oMath>
        <m:r>
          <m:rPr/>
          <m:t>Accuracy =</m:t>
        </m:r>
        <m:f>
          <m:fPr/>
          <m:num>
            <m:r>
              <m:rPr/>
              <m:t>TP+TN</m:t>
            </m:r>
          </m:num>
          <m:den>
            <m:r>
              <m:rPr/>
              <m:t>TP+TN+FP+FN</m:t>
            </m:r>
          </m:den>
        </m:f>
      </m:oMath>
      <w:r>
        <w:rPr>
          <w:rFonts w:hint="eastAsia"/>
          <w:i w:val="0"/>
        </w:rPr>
        <w:t>,</w:t>
      </w:r>
      <w:r>
        <w:rPr>
          <w:rFonts w:ascii="Times New Roman" w:hAnsi="Times New Roman"/>
          <w:i w:val="0"/>
        </w:rPr>
        <w:tab/>
      </w:r>
      <w:r>
        <w:rPr>
          <w:rFonts w:ascii="Times New Roman" w:hAnsi="Times New Roman"/>
          <w:i w:val="0"/>
        </w:rPr>
        <w:t>(</w:t>
      </w:r>
      <w:r>
        <w:rPr>
          <w:rFonts w:hint="eastAsia" w:ascii="Times New Roman" w:hAnsi="Times New Roman"/>
          <w:i w:val="0"/>
        </w:rPr>
        <w:t>1</w:t>
      </w:r>
      <w:r>
        <w:rPr>
          <w:rFonts w:ascii="Times New Roman" w:hAnsi="Times New Roman"/>
          <w:i w:val="0"/>
        </w:rPr>
        <w:t>)</w:t>
      </w:r>
    </w:p>
    <w:p w14:paraId="18C676B0">
      <w:pPr>
        <w:pStyle w:val="23"/>
        <w:rPr>
          <w:rFonts w:ascii="Times New Roman" w:hAnsi="Times New Roman"/>
          <w:i w:val="0"/>
        </w:rPr>
      </w:pPr>
      <w:r>
        <w:rPr>
          <w:rFonts w:ascii="Times New Roman" w:hAnsi="Times New Roman"/>
          <w:i w:val="0"/>
        </w:rPr>
        <w:tab/>
      </w:r>
      <m:oMath>
        <m:r>
          <m:rPr/>
          <m:t>Precision =</m:t>
        </m:r>
        <m:f>
          <m:fPr/>
          <m:num>
            <m:r>
              <m:rPr/>
              <m:t>TP</m:t>
            </m:r>
          </m:num>
          <m:den>
            <m:r>
              <m:rPr/>
              <m:t>TP+FP</m:t>
            </m:r>
          </m:den>
        </m:f>
      </m:oMath>
      <w:r>
        <w:rPr>
          <w:rFonts w:hint="eastAsia"/>
          <w:i w:val="0"/>
        </w:rPr>
        <w:t>,</w:t>
      </w:r>
      <w:r>
        <w:rPr>
          <w:rFonts w:ascii="Times New Roman" w:hAnsi="Times New Roman"/>
          <w:i w:val="0"/>
        </w:rPr>
        <w:t xml:space="preserve"> </w:t>
      </w:r>
      <w:r>
        <w:rPr>
          <w:rFonts w:ascii="Times New Roman" w:hAnsi="Times New Roman"/>
          <w:i w:val="0"/>
        </w:rPr>
        <w:tab/>
      </w:r>
      <w:r>
        <w:rPr>
          <w:rFonts w:ascii="Times New Roman" w:hAnsi="Times New Roman"/>
          <w:i w:val="0"/>
        </w:rPr>
        <w:t>(</w:t>
      </w:r>
      <w:r>
        <w:rPr>
          <w:rFonts w:hint="eastAsia" w:ascii="Times New Roman" w:hAnsi="Times New Roman"/>
          <w:i w:val="0"/>
        </w:rPr>
        <w:t>2</w:t>
      </w:r>
      <w:r>
        <w:rPr>
          <w:rFonts w:ascii="Times New Roman" w:hAnsi="Times New Roman"/>
          <w:i w:val="0"/>
        </w:rPr>
        <w:t>)</w:t>
      </w:r>
      <w:r>
        <w:rPr>
          <w:rFonts w:ascii="Times New Roman" w:hAnsi="Times New Roman"/>
          <w:i w:val="0"/>
        </w:rPr>
        <w:tab/>
      </w:r>
    </w:p>
    <w:p w14:paraId="10C3ECC5">
      <w:pPr>
        <w:pStyle w:val="23"/>
        <w:bidi w:val="0"/>
        <w:rPr>
          <w:rFonts w:ascii="Times New Roman" w:hAnsi="Times New Roman"/>
          <w:i w:val="0"/>
        </w:rPr>
      </w:pPr>
      <w:r>
        <w:rPr>
          <w:rFonts w:ascii="Times New Roman" w:hAnsi="Times New Roman"/>
          <w:i w:val="0"/>
          <w:lang w:bidi="ar"/>
        </w:rPr>
        <w:tab/>
      </w:r>
      <m:oMath>
        <m:r>
          <m:rPr/>
          <w:rPr>
            <w:lang w:bidi="ar"/>
          </w:rPr>
          <m:t>Recall =</m:t>
        </m:r>
        <m:f>
          <m:fPr/>
          <m:num>
            <m:r>
              <m:rPr/>
              <m:t>TP</m:t>
            </m:r>
          </m:num>
          <m:den>
            <m:r>
              <m:rPr/>
              <m:t>TP+FN</m:t>
            </m:r>
          </m:den>
        </m:f>
      </m:oMath>
      <w:r>
        <w:rPr>
          <w:rFonts w:hint="eastAsia"/>
          <w:i w:val="0"/>
        </w:rPr>
        <w:t>,</w:t>
      </w:r>
      <w:r>
        <w:rPr>
          <w:rFonts w:ascii="Times New Roman" w:hAnsi="Times New Roman"/>
          <w:i w:val="0"/>
        </w:rPr>
        <w:tab/>
      </w:r>
      <w:r>
        <w:rPr>
          <w:rFonts w:ascii="Times New Roman" w:hAnsi="Times New Roman"/>
          <w:i w:val="0"/>
        </w:rPr>
        <w:t>(</w:t>
      </w:r>
      <w:r>
        <w:rPr>
          <w:rFonts w:hint="eastAsia" w:ascii="Times New Roman" w:hAnsi="Times New Roman"/>
          <w:i w:val="0"/>
        </w:rPr>
        <w:t>3</w:t>
      </w:r>
      <w:r>
        <w:rPr>
          <w:rFonts w:ascii="Times New Roman" w:hAnsi="Times New Roman"/>
          <w:i w:val="0"/>
        </w:rPr>
        <w:t>)</w:t>
      </w:r>
    </w:p>
    <w:p w14:paraId="475F0933">
      <w:pPr>
        <w:pStyle w:val="23"/>
        <w:rPr>
          <w:rFonts w:ascii="Times New Roman" w:hAnsi="Times New Roman"/>
          <w:i w:val="0"/>
        </w:rPr>
      </w:pPr>
      <w:r>
        <w:rPr>
          <w:rFonts w:ascii="Times New Roman" w:hAnsi="Times New Roman"/>
          <w:i w:val="0"/>
          <w:lang w:bidi="ar"/>
        </w:rPr>
        <w:tab/>
      </w:r>
      <m:oMath>
        <m:r>
          <m:rPr/>
          <w:rPr>
            <w:lang w:bidi="ar"/>
          </w:rPr>
          <m:t>F1−score</m:t>
        </m:r>
        <m:r>
          <m:rPr/>
          <m:t>=</m:t>
        </m:r>
        <m:f>
          <m:fPr/>
          <m:num>
            <m:r>
              <m:rPr/>
              <m:t>2×</m:t>
            </m:r>
            <m:r>
              <m:rPr/>
              <w:rPr>
                <w:lang w:bidi="ar"/>
              </w:rPr>
              <m:t>Precision×Recall</m:t>
            </m:r>
          </m:num>
          <m:den>
            <m:r>
              <m:rPr/>
              <w:rPr>
                <w:lang w:bidi="ar"/>
              </w:rPr>
              <m:t>Precision+Recall</m:t>
            </m:r>
          </m:den>
        </m:f>
      </m:oMath>
      <w:r>
        <w:rPr>
          <w:rFonts w:hint="eastAsia"/>
          <w:i w:val="0"/>
        </w:rPr>
        <w:t>.</w:t>
      </w:r>
      <w:r>
        <w:rPr>
          <w:rFonts w:ascii="Times New Roman" w:hAnsi="Times New Roman"/>
          <w:i w:val="0"/>
        </w:rPr>
        <w:tab/>
      </w:r>
      <w:r>
        <w:rPr>
          <w:rFonts w:ascii="Times New Roman" w:hAnsi="Times New Roman"/>
          <w:i w:val="0"/>
        </w:rPr>
        <w:t>(</w:t>
      </w:r>
      <w:r>
        <w:rPr>
          <w:rFonts w:hint="eastAsia" w:ascii="Times New Roman" w:hAnsi="Times New Roman"/>
          <w:i w:val="0"/>
        </w:rPr>
        <w:t>4</w:t>
      </w:r>
      <w:r>
        <w:rPr>
          <w:rFonts w:ascii="Times New Roman" w:hAnsi="Times New Roman"/>
          <w:i w:val="0"/>
        </w:rPr>
        <w:t>)</w:t>
      </w:r>
    </w:p>
    <w:p w14:paraId="23F0B5E2">
      <w:pPr>
        <w:numPr>
          <w:ilvl w:val="0"/>
          <w:numId w:val="1"/>
        </w:numPr>
        <w:ind w:firstLine="480"/>
        <w:rPr>
          <w:rFonts w:cs="Times New Roman"/>
          <w:sz w:val="21"/>
          <w:szCs w:val="21"/>
        </w:rPr>
      </w:pPr>
      <w:r>
        <w:rPr>
          <w:rFonts w:cs="Times New Roman"/>
          <w:sz w:val="21"/>
          <w:szCs w:val="21"/>
        </w:rPr>
        <w:t>计算各驱动特征因素的SHAP值</w:t>
      </w:r>
      <w:r>
        <w:rPr>
          <w:rFonts w:cs="Times New Roman"/>
          <w:sz w:val="21"/>
          <w:szCs w:val="21"/>
          <w:vertAlign w:val="superscript"/>
        </w:rPr>
        <w:t>[32]</w:t>
      </w:r>
      <w:r>
        <w:rPr>
          <w:rFonts w:cs="Times New Roman"/>
          <w:sz w:val="21"/>
          <w:szCs w:val="21"/>
        </w:rPr>
        <w:t>，根据各特征贡献绝对值得出各因素对企业新质生产力发展的重要性排序，接着借助SHAP部分依赖图探究单个驱动因素对企业新质生产力发展的影响程度。最后对于研究结果进行稳健性检验：(1)为了削弱单次随机划分训练集与测试集所带来的偶然性对实验结果可靠性的潜在影响，我们采取了多次重复随机划分样本的策略，并对每次划分后的数据分别进行模型训练与评估，以此综合评估模型的性能；(2)利用随机森林、XGboost等以往文献常见的特征变量重要性方法对特征变量进行排序,与SHAP重要性排序进行比较。</w:t>
      </w:r>
    </w:p>
    <w:p w14:paraId="647E5619">
      <w:pPr>
        <w:ind w:left="480"/>
        <w:rPr>
          <w:rFonts w:cs="Times New Roman"/>
          <w:sz w:val="21"/>
          <w:szCs w:val="21"/>
        </w:rPr>
      </w:pPr>
      <w:bookmarkStart w:id="2" w:name="_GoBack"/>
      <w:bookmarkEnd w:id="2"/>
    </w:p>
    <w:p w14:paraId="5DB9E35C">
      <w:pPr>
        <w:adjustRightInd w:val="0"/>
        <w:snapToGrid w:val="0"/>
        <w:outlineLvl w:val="0"/>
        <w:rPr>
          <w:rFonts w:eastAsia="黑体" w:cs="Times New Roman"/>
          <w:b/>
          <w:sz w:val="28"/>
          <w:szCs w:val="28"/>
        </w:rPr>
      </w:pPr>
      <w:r>
        <w:rPr>
          <w:rFonts w:eastAsia="黑体" w:cs="Times New Roman"/>
          <w:b/>
          <w:sz w:val="28"/>
          <w:szCs w:val="28"/>
        </w:rPr>
        <w:t>5 结果分析</w:t>
      </w:r>
    </w:p>
    <w:p w14:paraId="3F5417F0">
      <w:pPr>
        <w:pStyle w:val="4"/>
        <w:spacing w:before="0" w:after="0" w:line="240" w:lineRule="auto"/>
        <w:rPr>
          <w:rFonts w:cs="Times New Roman"/>
          <w:sz w:val="21"/>
          <w:szCs w:val="21"/>
        </w:rPr>
      </w:pPr>
      <w:r>
        <w:rPr>
          <w:rFonts w:cs="Times New Roman"/>
          <w:sz w:val="21"/>
          <w:szCs w:val="21"/>
        </w:rPr>
        <w:t>5.1</w:t>
      </w:r>
      <w:r>
        <w:rPr>
          <w:rFonts w:hint="eastAsia" w:cs="Times New Roman"/>
          <w:sz w:val="21"/>
          <w:szCs w:val="21"/>
          <w:lang w:eastAsia="zh"/>
        </w:rPr>
        <w:t xml:space="preserve"> </w:t>
      </w:r>
      <w:r>
        <w:rPr>
          <w:rFonts w:cs="Times New Roman"/>
          <w:sz w:val="21"/>
          <w:szCs w:val="21"/>
        </w:rPr>
        <w:t>各个模型评价结果比较</w:t>
      </w:r>
    </w:p>
    <w:p w14:paraId="18273206">
      <w:pPr>
        <w:ind w:firstLine="420" w:firstLineChars="200"/>
        <w:rPr>
          <w:rFonts w:cs="Times New Roman"/>
          <w:sz w:val="21"/>
          <w:szCs w:val="21"/>
          <w:lang w:bidi="ar"/>
        </w:rPr>
      </w:pPr>
      <w:r>
        <w:rPr>
          <w:rFonts w:cs="Times New Roman"/>
          <w:sz w:val="21"/>
          <w:szCs w:val="21"/>
          <w:lang w:bidi="ar"/>
        </w:rPr>
        <w:t>表3展示了不同模型在测试集上的最终训练结果，可以看出SVM-RF模型取得了最优的准确率(85.95%)、精确率(85.60%)、召回率(81.91%)、F1-score(81.91%)，表明SVM-RF模型</w:t>
      </w:r>
      <w:r>
        <w:rPr>
          <w:rFonts w:hint="eastAsia" w:cs="Times New Roman"/>
          <w:sz w:val="21"/>
          <w:szCs w:val="21"/>
          <w:lang w:bidi="ar"/>
        </w:rPr>
        <w:t>对</w:t>
      </w:r>
      <w:r>
        <w:rPr>
          <w:rFonts w:cs="Times New Roman"/>
          <w:sz w:val="21"/>
          <w:szCs w:val="21"/>
          <w:lang w:bidi="ar"/>
        </w:rPr>
        <w:t>企业新质生产力分类的预测性能明显</w:t>
      </w:r>
      <w:r>
        <w:rPr>
          <w:rFonts w:hint="eastAsia" w:cs="Times New Roman"/>
          <w:sz w:val="21"/>
          <w:szCs w:val="21"/>
          <w:lang w:bidi="ar"/>
        </w:rPr>
        <w:t>高</w:t>
      </w:r>
      <w:r>
        <w:rPr>
          <w:rFonts w:cs="Times New Roman"/>
          <w:sz w:val="21"/>
          <w:szCs w:val="21"/>
          <w:lang w:bidi="ar"/>
        </w:rPr>
        <w:t>于其他的基准模型。同时SVM-RF模型的AUC也达到90.65%，也说明模型的</w:t>
      </w:r>
      <w:r>
        <w:rPr>
          <w:rFonts w:hint="eastAsia" w:cs="Times New Roman"/>
          <w:sz w:val="21"/>
          <w:szCs w:val="21"/>
          <w:lang w:bidi="ar"/>
        </w:rPr>
        <w:t>分类</w:t>
      </w:r>
      <w:r>
        <w:rPr>
          <w:rFonts w:cs="Times New Roman"/>
          <w:sz w:val="21"/>
          <w:szCs w:val="21"/>
          <w:lang w:bidi="ar"/>
        </w:rPr>
        <w:t>性能较好。</w:t>
      </w:r>
    </w:p>
    <w:p w14:paraId="32B6CFDF">
      <w:pPr>
        <w:ind w:firstLine="480"/>
        <w:jc w:val="center"/>
        <w:rPr>
          <w:rFonts w:cs="Times New Roman"/>
          <w:sz w:val="18"/>
          <w:szCs w:val="18"/>
          <w:lang w:bidi="ar"/>
        </w:rPr>
      </w:pPr>
      <w:r>
        <w:rPr>
          <w:rFonts w:cs="Times New Roman"/>
          <w:sz w:val="18"/>
          <w:szCs w:val="18"/>
          <w:lang w:bidi="ar"/>
        </w:rPr>
        <w:t>表3</w:t>
      </w:r>
      <w:r>
        <w:rPr>
          <w:rFonts w:hint="eastAsia" w:cs="Times New Roman"/>
          <w:sz w:val="18"/>
          <w:szCs w:val="18"/>
          <w:lang w:bidi="ar"/>
        </w:rPr>
        <w:t xml:space="preserve"> </w:t>
      </w:r>
      <w:r>
        <w:rPr>
          <w:rFonts w:cs="Times New Roman"/>
          <w:sz w:val="18"/>
          <w:szCs w:val="18"/>
          <w:lang w:bidi="ar"/>
        </w:rPr>
        <w:t>各模型的评价指标结果</w:t>
      </w:r>
    </w:p>
    <w:tbl>
      <w:tblPr>
        <w:tblStyle w:val="11"/>
        <w:tblW w:w="4997" w:type="pct"/>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57"/>
        <w:gridCol w:w="1657"/>
        <w:gridCol w:w="1657"/>
        <w:gridCol w:w="1657"/>
        <w:gridCol w:w="1661"/>
        <w:gridCol w:w="1661"/>
      </w:tblGrid>
      <w:tr w14:paraId="704A2CA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7" w:hRule="atLeast"/>
          <w:jc w:val="center"/>
        </w:trPr>
        <w:tc>
          <w:tcPr>
            <w:tcW w:w="832" w:type="pct"/>
            <w:tcBorders>
              <w:bottom w:val="single" w:color="auto" w:sz="8" w:space="0"/>
            </w:tcBorders>
            <w:vAlign w:val="center"/>
          </w:tcPr>
          <w:p w14:paraId="2A5160A0">
            <w:pPr>
              <w:snapToGrid w:val="0"/>
              <w:jc w:val="center"/>
              <w:rPr>
                <w:rFonts w:cs="Times New Roman"/>
                <w:sz w:val="18"/>
                <w:szCs w:val="18"/>
              </w:rPr>
            </w:pPr>
            <w:r>
              <w:rPr>
                <w:rFonts w:cs="Times New Roman"/>
                <w:sz w:val="18"/>
                <w:szCs w:val="18"/>
              </w:rPr>
              <w:t>模型名称</w:t>
            </w:r>
          </w:p>
        </w:tc>
        <w:tc>
          <w:tcPr>
            <w:tcW w:w="832" w:type="pct"/>
            <w:tcBorders>
              <w:bottom w:val="single" w:color="auto" w:sz="8" w:space="0"/>
            </w:tcBorders>
            <w:vAlign w:val="center"/>
          </w:tcPr>
          <w:p w14:paraId="0EF49FF6">
            <w:pPr>
              <w:snapToGrid w:val="0"/>
              <w:jc w:val="center"/>
              <w:rPr>
                <w:rFonts w:cs="Times New Roman"/>
                <w:sz w:val="18"/>
                <w:szCs w:val="18"/>
              </w:rPr>
            </w:pPr>
            <w:r>
              <w:rPr>
                <w:rFonts w:cs="Times New Roman"/>
                <w:sz w:val="18"/>
                <w:szCs w:val="18"/>
              </w:rPr>
              <w:t>Accuracy</w:t>
            </w:r>
          </w:p>
        </w:tc>
        <w:tc>
          <w:tcPr>
            <w:tcW w:w="832" w:type="pct"/>
            <w:tcBorders>
              <w:bottom w:val="single" w:color="auto" w:sz="8" w:space="0"/>
            </w:tcBorders>
            <w:vAlign w:val="center"/>
          </w:tcPr>
          <w:p w14:paraId="59A95EEE">
            <w:pPr>
              <w:snapToGrid w:val="0"/>
              <w:jc w:val="center"/>
              <w:rPr>
                <w:rFonts w:cs="Times New Roman"/>
                <w:sz w:val="18"/>
                <w:szCs w:val="18"/>
              </w:rPr>
            </w:pPr>
            <w:r>
              <w:rPr>
                <w:rFonts w:cs="Times New Roman"/>
                <w:sz w:val="18"/>
                <w:szCs w:val="18"/>
              </w:rPr>
              <w:t>Precision</w:t>
            </w:r>
          </w:p>
        </w:tc>
        <w:tc>
          <w:tcPr>
            <w:tcW w:w="832" w:type="pct"/>
            <w:tcBorders>
              <w:bottom w:val="single" w:color="auto" w:sz="8" w:space="0"/>
            </w:tcBorders>
            <w:vAlign w:val="center"/>
          </w:tcPr>
          <w:p w14:paraId="51ABC400">
            <w:pPr>
              <w:snapToGrid w:val="0"/>
              <w:jc w:val="center"/>
              <w:rPr>
                <w:rFonts w:cs="Times New Roman"/>
                <w:sz w:val="18"/>
                <w:szCs w:val="18"/>
              </w:rPr>
            </w:pPr>
            <w:r>
              <w:rPr>
                <w:rFonts w:cs="Times New Roman"/>
                <w:sz w:val="18"/>
                <w:szCs w:val="18"/>
              </w:rPr>
              <w:t>Recall</w:t>
            </w:r>
          </w:p>
        </w:tc>
        <w:tc>
          <w:tcPr>
            <w:tcW w:w="834" w:type="pct"/>
            <w:tcBorders>
              <w:bottom w:val="single" w:color="auto" w:sz="8" w:space="0"/>
            </w:tcBorders>
            <w:vAlign w:val="center"/>
          </w:tcPr>
          <w:p w14:paraId="458B1149">
            <w:pPr>
              <w:snapToGrid w:val="0"/>
              <w:jc w:val="center"/>
              <w:rPr>
                <w:rFonts w:cs="Times New Roman"/>
                <w:sz w:val="18"/>
                <w:szCs w:val="18"/>
              </w:rPr>
            </w:pPr>
            <w:r>
              <w:rPr>
                <w:rFonts w:cs="Times New Roman"/>
                <w:sz w:val="18"/>
                <w:szCs w:val="18"/>
              </w:rPr>
              <w:t>F1-score</w:t>
            </w:r>
          </w:p>
        </w:tc>
        <w:tc>
          <w:tcPr>
            <w:tcW w:w="834" w:type="pct"/>
            <w:tcBorders>
              <w:bottom w:val="single" w:color="auto" w:sz="8" w:space="0"/>
            </w:tcBorders>
            <w:vAlign w:val="center"/>
          </w:tcPr>
          <w:p w14:paraId="0322FCD5">
            <w:pPr>
              <w:snapToGrid w:val="0"/>
              <w:jc w:val="center"/>
              <w:rPr>
                <w:rFonts w:cs="Times New Roman"/>
                <w:sz w:val="18"/>
                <w:szCs w:val="18"/>
              </w:rPr>
            </w:pPr>
            <w:r>
              <w:rPr>
                <w:rFonts w:cs="Times New Roman"/>
                <w:sz w:val="18"/>
                <w:szCs w:val="18"/>
              </w:rPr>
              <w:t>AUC</w:t>
            </w:r>
          </w:p>
        </w:tc>
      </w:tr>
      <w:tr w14:paraId="183FFBB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7" w:hRule="atLeast"/>
          <w:jc w:val="center"/>
        </w:trPr>
        <w:tc>
          <w:tcPr>
            <w:tcW w:w="832" w:type="pct"/>
            <w:tcBorders>
              <w:top w:val="single" w:color="auto" w:sz="8" w:space="0"/>
              <w:tl2br w:val="nil"/>
              <w:tr2bl w:val="nil"/>
            </w:tcBorders>
            <w:vAlign w:val="center"/>
          </w:tcPr>
          <w:p w14:paraId="689FE220">
            <w:pPr>
              <w:snapToGrid w:val="0"/>
              <w:jc w:val="center"/>
              <w:rPr>
                <w:rFonts w:cs="Times New Roman"/>
                <w:sz w:val="18"/>
                <w:szCs w:val="18"/>
              </w:rPr>
            </w:pPr>
            <w:r>
              <w:rPr>
                <w:rFonts w:cs="Times New Roman"/>
                <w:sz w:val="18"/>
                <w:szCs w:val="18"/>
              </w:rPr>
              <w:t>LR</w:t>
            </w:r>
          </w:p>
        </w:tc>
        <w:tc>
          <w:tcPr>
            <w:tcW w:w="832" w:type="pct"/>
            <w:tcBorders>
              <w:top w:val="single" w:color="auto" w:sz="8" w:space="0"/>
              <w:tl2br w:val="nil"/>
              <w:tr2bl w:val="nil"/>
            </w:tcBorders>
            <w:vAlign w:val="center"/>
          </w:tcPr>
          <w:p w14:paraId="58B2E647">
            <w:pPr>
              <w:snapToGrid w:val="0"/>
              <w:jc w:val="center"/>
              <w:rPr>
                <w:rFonts w:cs="Times New Roman"/>
                <w:sz w:val="18"/>
                <w:szCs w:val="18"/>
              </w:rPr>
            </w:pPr>
            <w:r>
              <w:rPr>
                <w:rFonts w:cs="Times New Roman"/>
                <w:sz w:val="18"/>
                <w:szCs w:val="18"/>
              </w:rPr>
              <w:t>0.4899</w:t>
            </w:r>
          </w:p>
        </w:tc>
        <w:tc>
          <w:tcPr>
            <w:tcW w:w="832" w:type="pct"/>
            <w:tcBorders>
              <w:top w:val="single" w:color="auto" w:sz="8" w:space="0"/>
              <w:tl2br w:val="nil"/>
              <w:tr2bl w:val="nil"/>
            </w:tcBorders>
            <w:vAlign w:val="center"/>
          </w:tcPr>
          <w:p w14:paraId="623906E9">
            <w:pPr>
              <w:snapToGrid w:val="0"/>
              <w:jc w:val="center"/>
              <w:rPr>
                <w:rFonts w:cs="Times New Roman"/>
                <w:sz w:val="18"/>
                <w:szCs w:val="18"/>
              </w:rPr>
            </w:pPr>
            <w:r>
              <w:rPr>
                <w:rFonts w:cs="Times New Roman"/>
                <w:sz w:val="18"/>
                <w:szCs w:val="18"/>
              </w:rPr>
              <w:t>0.5192</w:t>
            </w:r>
          </w:p>
        </w:tc>
        <w:tc>
          <w:tcPr>
            <w:tcW w:w="832" w:type="pct"/>
            <w:tcBorders>
              <w:top w:val="single" w:color="auto" w:sz="8" w:space="0"/>
              <w:tl2br w:val="nil"/>
              <w:tr2bl w:val="nil"/>
            </w:tcBorders>
            <w:vAlign w:val="center"/>
          </w:tcPr>
          <w:p w14:paraId="40CAFFAC">
            <w:pPr>
              <w:snapToGrid w:val="0"/>
              <w:jc w:val="center"/>
              <w:rPr>
                <w:rFonts w:cs="Times New Roman"/>
                <w:sz w:val="18"/>
                <w:szCs w:val="18"/>
              </w:rPr>
            </w:pPr>
            <w:r>
              <w:rPr>
                <w:rFonts w:cs="Times New Roman"/>
                <w:sz w:val="18"/>
                <w:szCs w:val="18"/>
              </w:rPr>
              <w:t>0.4968</w:t>
            </w:r>
          </w:p>
        </w:tc>
        <w:tc>
          <w:tcPr>
            <w:tcW w:w="834" w:type="pct"/>
            <w:tcBorders>
              <w:top w:val="single" w:color="auto" w:sz="8" w:space="0"/>
              <w:tl2br w:val="nil"/>
              <w:tr2bl w:val="nil"/>
            </w:tcBorders>
            <w:vAlign w:val="center"/>
          </w:tcPr>
          <w:p w14:paraId="46BF39F5">
            <w:pPr>
              <w:snapToGrid w:val="0"/>
              <w:jc w:val="center"/>
              <w:rPr>
                <w:rFonts w:cs="Times New Roman"/>
                <w:sz w:val="18"/>
                <w:szCs w:val="18"/>
              </w:rPr>
            </w:pPr>
            <w:r>
              <w:rPr>
                <w:rFonts w:cs="Times New Roman"/>
                <w:sz w:val="18"/>
                <w:szCs w:val="18"/>
              </w:rPr>
              <w:t>0.4760</w:t>
            </w:r>
          </w:p>
        </w:tc>
        <w:tc>
          <w:tcPr>
            <w:tcW w:w="834" w:type="pct"/>
            <w:tcBorders>
              <w:top w:val="single" w:color="auto" w:sz="8" w:space="0"/>
              <w:tl2br w:val="nil"/>
              <w:tr2bl w:val="nil"/>
            </w:tcBorders>
            <w:vAlign w:val="center"/>
          </w:tcPr>
          <w:p w14:paraId="311F48FE">
            <w:pPr>
              <w:snapToGrid w:val="0"/>
              <w:jc w:val="center"/>
              <w:rPr>
                <w:rFonts w:cs="Times New Roman"/>
                <w:sz w:val="18"/>
                <w:szCs w:val="18"/>
              </w:rPr>
            </w:pPr>
            <w:r>
              <w:rPr>
                <w:rFonts w:cs="Times New Roman"/>
                <w:sz w:val="18"/>
                <w:szCs w:val="18"/>
              </w:rPr>
              <w:t>0.4977</w:t>
            </w:r>
          </w:p>
        </w:tc>
      </w:tr>
      <w:tr w14:paraId="2846037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7" w:hRule="atLeast"/>
          <w:jc w:val="center"/>
        </w:trPr>
        <w:tc>
          <w:tcPr>
            <w:tcW w:w="832" w:type="pct"/>
            <w:tcBorders>
              <w:tl2br w:val="nil"/>
              <w:tr2bl w:val="nil"/>
            </w:tcBorders>
            <w:vAlign w:val="center"/>
          </w:tcPr>
          <w:p w14:paraId="69A83AE0">
            <w:pPr>
              <w:snapToGrid w:val="0"/>
              <w:jc w:val="center"/>
              <w:rPr>
                <w:rFonts w:cs="Times New Roman"/>
                <w:sz w:val="18"/>
                <w:szCs w:val="18"/>
              </w:rPr>
            </w:pPr>
            <w:r>
              <w:rPr>
                <w:rFonts w:cs="Times New Roman"/>
                <w:sz w:val="18"/>
                <w:szCs w:val="18"/>
              </w:rPr>
              <w:t>RF</w:t>
            </w:r>
          </w:p>
        </w:tc>
        <w:tc>
          <w:tcPr>
            <w:tcW w:w="832" w:type="pct"/>
            <w:tcBorders>
              <w:tl2br w:val="nil"/>
              <w:tr2bl w:val="nil"/>
            </w:tcBorders>
            <w:vAlign w:val="center"/>
          </w:tcPr>
          <w:p w14:paraId="75E78155">
            <w:pPr>
              <w:snapToGrid w:val="0"/>
              <w:jc w:val="center"/>
              <w:rPr>
                <w:rFonts w:cs="Times New Roman"/>
                <w:sz w:val="18"/>
                <w:szCs w:val="18"/>
              </w:rPr>
            </w:pPr>
            <w:r>
              <w:rPr>
                <w:rFonts w:cs="Times New Roman"/>
                <w:sz w:val="18"/>
                <w:szCs w:val="18"/>
              </w:rPr>
              <w:t>0.7689</w:t>
            </w:r>
          </w:p>
        </w:tc>
        <w:tc>
          <w:tcPr>
            <w:tcW w:w="832" w:type="pct"/>
            <w:tcBorders>
              <w:tl2br w:val="nil"/>
              <w:tr2bl w:val="nil"/>
            </w:tcBorders>
            <w:vAlign w:val="center"/>
          </w:tcPr>
          <w:p w14:paraId="4D59918A">
            <w:pPr>
              <w:snapToGrid w:val="0"/>
              <w:jc w:val="center"/>
              <w:rPr>
                <w:rFonts w:cs="Times New Roman"/>
                <w:sz w:val="18"/>
                <w:szCs w:val="18"/>
              </w:rPr>
            </w:pPr>
            <w:r>
              <w:rPr>
                <w:rFonts w:cs="Times New Roman"/>
                <w:sz w:val="18"/>
                <w:szCs w:val="18"/>
              </w:rPr>
              <w:t>0.7899</w:t>
            </w:r>
          </w:p>
        </w:tc>
        <w:tc>
          <w:tcPr>
            <w:tcW w:w="832" w:type="pct"/>
            <w:tcBorders>
              <w:tl2br w:val="nil"/>
              <w:tr2bl w:val="nil"/>
            </w:tcBorders>
            <w:vAlign w:val="center"/>
          </w:tcPr>
          <w:p w14:paraId="0031381F">
            <w:pPr>
              <w:snapToGrid w:val="0"/>
              <w:jc w:val="center"/>
              <w:rPr>
                <w:rFonts w:cs="Times New Roman"/>
                <w:sz w:val="18"/>
                <w:szCs w:val="18"/>
              </w:rPr>
            </w:pPr>
            <w:r>
              <w:rPr>
                <w:rFonts w:cs="Times New Roman"/>
                <w:sz w:val="18"/>
                <w:szCs w:val="18"/>
              </w:rPr>
              <w:t>0.6538</w:t>
            </w:r>
          </w:p>
        </w:tc>
        <w:tc>
          <w:tcPr>
            <w:tcW w:w="834" w:type="pct"/>
            <w:tcBorders>
              <w:tl2br w:val="nil"/>
              <w:tr2bl w:val="nil"/>
            </w:tcBorders>
            <w:vAlign w:val="center"/>
          </w:tcPr>
          <w:p w14:paraId="7B42C0B2">
            <w:pPr>
              <w:snapToGrid w:val="0"/>
              <w:jc w:val="center"/>
              <w:rPr>
                <w:rFonts w:cs="Times New Roman"/>
                <w:sz w:val="18"/>
                <w:szCs w:val="18"/>
              </w:rPr>
            </w:pPr>
            <w:r>
              <w:rPr>
                <w:rFonts w:cs="Times New Roman"/>
                <w:sz w:val="18"/>
                <w:szCs w:val="18"/>
              </w:rPr>
              <w:t>0.7814</w:t>
            </w:r>
          </w:p>
        </w:tc>
        <w:tc>
          <w:tcPr>
            <w:tcW w:w="834" w:type="pct"/>
            <w:tcBorders>
              <w:tl2br w:val="nil"/>
              <w:tr2bl w:val="nil"/>
            </w:tcBorders>
            <w:vAlign w:val="center"/>
          </w:tcPr>
          <w:p w14:paraId="4AE758C9">
            <w:pPr>
              <w:snapToGrid w:val="0"/>
              <w:jc w:val="center"/>
              <w:rPr>
                <w:rFonts w:cs="Times New Roman"/>
                <w:sz w:val="18"/>
                <w:szCs w:val="18"/>
              </w:rPr>
            </w:pPr>
            <w:r>
              <w:rPr>
                <w:rFonts w:cs="Times New Roman"/>
                <w:sz w:val="18"/>
                <w:szCs w:val="18"/>
              </w:rPr>
              <w:t>0.8869</w:t>
            </w:r>
          </w:p>
        </w:tc>
      </w:tr>
      <w:tr w14:paraId="1E30586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7" w:hRule="atLeast"/>
          <w:jc w:val="center"/>
        </w:trPr>
        <w:tc>
          <w:tcPr>
            <w:tcW w:w="832" w:type="pct"/>
            <w:tcBorders>
              <w:tl2br w:val="nil"/>
              <w:tr2bl w:val="nil"/>
            </w:tcBorders>
            <w:vAlign w:val="center"/>
          </w:tcPr>
          <w:p w14:paraId="20FED986">
            <w:pPr>
              <w:snapToGrid w:val="0"/>
              <w:jc w:val="center"/>
              <w:rPr>
                <w:rFonts w:cs="Times New Roman"/>
                <w:sz w:val="18"/>
                <w:szCs w:val="18"/>
              </w:rPr>
            </w:pPr>
            <w:r>
              <w:rPr>
                <w:rFonts w:cs="Times New Roman"/>
                <w:sz w:val="18"/>
                <w:szCs w:val="18"/>
              </w:rPr>
              <w:t>SVM</w:t>
            </w:r>
          </w:p>
        </w:tc>
        <w:tc>
          <w:tcPr>
            <w:tcW w:w="832" w:type="pct"/>
            <w:tcBorders>
              <w:tl2br w:val="nil"/>
              <w:tr2bl w:val="nil"/>
            </w:tcBorders>
            <w:vAlign w:val="center"/>
          </w:tcPr>
          <w:p w14:paraId="6BEBAA7E">
            <w:pPr>
              <w:snapToGrid w:val="0"/>
              <w:jc w:val="center"/>
              <w:rPr>
                <w:rFonts w:cs="Times New Roman"/>
                <w:sz w:val="18"/>
                <w:szCs w:val="18"/>
              </w:rPr>
            </w:pPr>
            <w:r>
              <w:rPr>
                <w:rFonts w:cs="Times New Roman"/>
                <w:sz w:val="18"/>
                <w:szCs w:val="18"/>
              </w:rPr>
              <w:t>0.6838</w:t>
            </w:r>
          </w:p>
        </w:tc>
        <w:tc>
          <w:tcPr>
            <w:tcW w:w="832" w:type="pct"/>
            <w:tcBorders>
              <w:tl2br w:val="nil"/>
              <w:tr2bl w:val="nil"/>
            </w:tcBorders>
            <w:vAlign w:val="center"/>
          </w:tcPr>
          <w:p w14:paraId="4AF8822F">
            <w:pPr>
              <w:snapToGrid w:val="0"/>
              <w:jc w:val="center"/>
              <w:rPr>
                <w:rFonts w:cs="Times New Roman"/>
                <w:sz w:val="18"/>
                <w:szCs w:val="18"/>
              </w:rPr>
            </w:pPr>
            <w:r>
              <w:rPr>
                <w:rFonts w:cs="Times New Roman"/>
                <w:sz w:val="18"/>
                <w:szCs w:val="18"/>
              </w:rPr>
              <w:t>0.8398</w:t>
            </w:r>
          </w:p>
        </w:tc>
        <w:tc>
          <w:tcPr>
            <w:tcW w:w="832" w:type="pct"/>
            <w:tcBorders>
              <w:tl2br w:val="nil"/>
              <w:tr2bl w:val="nil"/>
            </w:tcBorders>
            <w:vAlign w:val="center"/>
          </w:tcPr>
          <w:p w14:paraId="3AA719D2">
            <w:pPr>
              <w:snapToGrid w:val="0"/>
              <w:jc w:val="center"/>
              <w:rPr>
                <w:rFonts w:cs="Times New Roman"/>
                <w:sz w:val="18"/>
                <w:szCs w:val="18"/>
              </w:rPr>
            </w:pPr>
            <w:r>
              <w:rPr>
                <w:rFonts w:cs="Times New Roman"/>
                <w:sz w:val="18"/>
                <w:szCs w:val="18"/>
              </w:rPr>
              <w:t>0.6168</w:t>
            </w:r>
          </w:p>
        </w:tc>
        <w:tc>
          <w:tcPr>
            <w:tcW w:w="834" w:type="pct"/>
            <w:tcBorders>
              <w:tl2br w:val="nil"/>
              <w:tr2bl w:val="nil"/>
            </w:tcBorders>
            <w:vAlign w:val="center"/>
          </w:tcPr>
          <w:p w14:paraId="3796517A">
            <w:pPr>
              <w:snapToGrid w:val="0"/>
              <w:jc w:val="center"/>
              <w:rPr>
                <w:rFonts w:cs="Times New Roman"/>
                <w:sz w:val="18"/>
                <w:szCs w:val="18"/>
              </w:rPr>
            </w:pPr>
            <w:r>
              <w:rPr>
                <w:rFonts w:cs="Times New Roman"/>
                <w:sz w:val="18"/>
                <w:szCs w:val="18"/>
              </w:rPr>
              <w:t>0.6245</w:t>
            </w:r>
          </w:p>
        </w:tc>
        <w:tc>
          <w:tcPr>
            <w:tcW w:w="834" w:type="pct"/>
            <w:tcBorders>
              <w:tl2br w:val="nil"/>
              <w:tr2bl w:val="nil"/>
            </w:tcBorders>
            <w:vAlign w:val="center"/>
          </w:tcPr>
          <w:p w14:paraId="1CC0740A">
            <w:pPr>
              <w:snapToGrid w:val="0"/>
              <w:jc w:val="center"/>
              <w:rPr>
                <w:rFonts w:cs="Times New Roman"/>
                <w:sz w:val="18"/>
                <w:szCs w:val="18"/>
              </w:rPr>
            </w:pPr>
            <w:r>
              <w:rPr>
                <w:rFonts w:cs="Times New Roman"/>
                <w:sz w:val="18"/>
                <w:szCs w:val="18"/>
              </w:rPr>
              <w:t>0.5014</w:t>
            </w:r>
          </w:p>
        </w:tc>
      </w:tr>
      <w:tr w14:paraId="44D3728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7" w:hRule="atLeast"/>
          <w:jc w:val="center"/>
        </w:trPr>
        <w:tc>
          <w:tcPr>
            <w:tcW w:w="832" w:type="pct"/>
            <w:tcBorders>
              <w:tl2br w:val="nil"/>
              <w:tr2bl w:val="nil"/>
            </w:tcBorders>
            <w:vAlign w:val="center"/>
          </w:tcPr>
          <w:p w14:paraId="3FBB7CA5">
            <w:pPr>
              <w:snapToGrid w:val="0"/>
              <w:jc w:val="center"/>
              <w:rPr>
                <w:rFonts w:cs="Times New Roman"/>
                <w:sz w:val="18"/>
                <w:szCs w:val="18"/>
              </w:rPr>
            </w:pPr>
            <w:r>
              <w:rPr>
                <w:rFonts w:cs="Times New Roman"/>
                <w:sz w:val="18"/>
                <w:szCs w:val="18"/>
              </w:rPr>
              <w:t>XGBoost</w:t>
            </w:r>
          </w:p>
        </w:tc>
        <w:tc>
          <w:tcPr>
            <w:tcW w:w="832" w:type="pct"/>
            <w:tcBorders>
              <w:tl2br w:val="nil"/>
              <w:tr2bl w:val="nil"/>
            </w:tcBorders>
            <w:vAlign w:val="center"/>
          </w:tcPr>
          <w:p w14:paraId="16A9A601">
            <w:pPr>
              <w:snapToGrid w:val="0"/>
              <w:jc w:val="center"/>
              <w:rPr>
                <w:rFonts w:cs="Times New Roman"/>
                <w:sz w:val="18"/>
                <w:szCs w:val="18"/>
              </w:rPr>
            </w:pPr>
            <w:r>
              <w:rPr>
                <w:rFonts w:cs="Times New Roman"/>
                <w:sz w:val="18"/>
                <w:szCs w:val="18"/>
              </w:rPr>
              <w:t>0.8396</w:t>
            </w:r>
          </w:p>
        </w:tc>
        <w:tc>
          <w:tcPr>
            <w:tcW w:w="832" w:type="pct"/>
            <w:tcBorders>
              <w:tl2br w:val="nil"/>
              <w:tr2bl w:val="nil"/>
            </w:tcBorders>
            <w:vAlign w:val="center"/>
          </w:tcPr>
          <w:p w14:paraId="05522299">
            <w:pPr>
              <w:snapToGrid w:val="0"/>
              <w:jc w:val="center"/>
              <w:rPr>
                <w:rFonts w:cs="Times New Roman"/>
                <w:sz w:val="18"/>
                <w:szCs w:val="18"/>
              </w:rPr>
            </w:pPr>
            <w:r>
              <w:rPr>
                <w:rFonts w:cs="Times New Roman"/>
                <w:sz w:val="18"/>
                <w:szCs w:val="18"/>
              </w:rPr>
              <w:t>0.8059</w:t>
            </w:r>
          </w:p>
        </w:tc>
        <w:tc>
          <w:tcPr>
            <w:tcW w:w="832" w:type="pct"/>
            <w:tcBorders>
              <w:tl2br w:val="nil"/>
              <w:tr2bl w:val="nil"/>
            </w:tcBorders>
            <w:vAlign w:val="center"/>
          </w:tcPr>
          <w:p w14:paraId="3B05FDD5">
            <w:pPr>
              <w:snapToGrid w:val="0"/>
              <w:jc w:val="center"/>
              <w:rPr>
                <w:rFonts w:cs="Times New Roman"/>
                <w:sz w:val="18"/>
                <w:szCs w:val="18"/>
              </w:rPr>
            </w:pPr>
            <w:r>
              <w:rPr>
                <w:rFonts w:cs="Times New Roman"/>
                <w:sz w:val="18"/>
                <w:szCs w:val="18"/>
              </w:rPr>
              <w:t>0.6406</w:t>
            </w:r>
          </w:p>
        </w:tc>
        <w:tc>
          <w:tcPr>
            <w:tcW w:w="834" w:type="pct"/>
            <w:tcBorders>
              <w:tl2br w:val="nil"/>
              <w:tr2bl w:val="nil"/>
            </w:tcBorders>
            <w:vAlign w:val="center"/>
          </w:tcPr>
          <w:p w14:paraId="6FE79B55">
            <w:pPr>
              <w:snapToGrid w:val="0"/>
              <w:jc w:val="center"/>
              <w:rPr>
                <w:rFonts w:cs="Times New Roman"/>
                <w:sz w:val="18"/>
                <w:szCs w:val="18"/>
              </w:rPr>
            </w:pPr>
            <w:r>
              <w:rPr>
                <w:rFonts w:cs="Times New Roman"/>
                <w:sz w:val="18"/>
                <w:szCs w:val="18"/>
              </w:rPr>
              <w:t>0.6985</w:t>
            </w:r>
          </w:p>
        </w:tc>
        <w:tc>
          <w:tcPr>
            <w:tcW w:w="834" w:type="pct"/>
            <w:tcBorders>
              <w:tl2br w:val="nil"/>
              <w:tr2bl w:val="nil"/>
            </w:tcBorders>
            <w:vAlign w:val="center"/>
          </w:tcPr>
          <w:p w14:paraId="233F0C9C">
            <w:pPr>
              <w:snapToGrid w:val="0"/>
              <w:jc w:val="center"/>
              <w:rPr>
                <w:rFonts w:cs="Times New Roman"/>
                <w:sz w:val="18"/>
                <w:szCs w:val="18"/>
              </w:rPr>
            </w:pPr>
            <w:r>
              <w:rPr>
                <w:rFonts w:cs="Times New Roman"/>
                <w:sz w:val="18"/>
                <w:szCs w:val="18"/>
              </w:rPr>
              <w:t>0.8813</w:t>
            </w:r>
          </w:p>
        </w:tc>
      </w:tr>
      <w:tr w14:paraId="507A8F6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7" w:hRule="atLeast"/>
          <w:jc w:val="center"/>
        </w:trPr>
        <w:tc>
          <w:tcPr>
            <w:tcW w:w="832" w:type="pct"/>
            <w:tcBorders>
              <w:tl2br w:val="nil"/>
              <w:tr2bl w:val="nil"/>
            </w:tcBorders>
            <w:vAlign w:val="center"/>
          </w:tcPr>
          <w:p w14:paraId="7EDE2F56">
            <w:pPr>
              <w:snapToGrid w:val="0"/>
              <w:jc w:val="center"/>
              <w:rPr>
                <w:rFonts w:cs="Times New Roman"/>
                <w:sz w:val="18"/>
                <w:szCs w:val="18"/>
              </w:rPr>
            </w:pPr>
            <w:r>
              <w:rPr>
                <w:rFonts w:cs="Times New Roman"/>
                <w:sz w:val="18"/>
                <w:szCs w:val="18"/>
              </w:rPr>
              <w:t>KNN</w:t>
            </w:r>
          </w:p>
        </w:tc>
        <w:tc>
          <w:tcPr>
            <w:tcW w:w="832" w:type="pct"/>
            <w:tcBorders>
              <w:tl2br w:val="nil"/>
              <w:tr2bl w:val="nil"/>
            </w:tcBorders>
            <w:vAlign w:val="center"/>
          </w:tcPr>
          <w:p w14:paraId="2CCAE536">
            <w:pPr>
              <w:snapToGrid w:val="0"/>
              <w:jc w:val="center"/>
              <w:rPr>
                <w:rFonts w:cs="Times New Roman"/>
                <w:sz w:val="18"/>
                <w:szCs w:val="18"/>
              </w:rPr>
            </w:pPr>
            <w:r>
              <w:rPr>
                <w:rFonts w:cs="Times New Roman"/>
                <w:sz w:val="18"/>
                <w:szCs w:val="18"/>
              </w:rPr>
              <w:t>0.8228</w:t>
            </w:r>
          </w:p>
        </w:tc>
        <w:tc>
          <w:tcPr>
            <w:tcW w:w="832" w:type="pct"/>
            <w:tcBorders>
              <w:tl2br w:val="nil"/>
              <w:tr2bl w:val="nil"/>
            </w:tcBorders>
            <w:vAlign w:val="center"/>
          </w:tcPr>
          <w:p w14:paraId="7EC822E7">
            <w:pPr>
              <w:snapToGrid w:val="0"/>
              <w:jc w:val="center"/>
              <w:rPr>
                <w:rFonts w:cs="Times New Roman"/>
                <w:sz w:val="18"/>
                <w:szCs w:val="18"/>
              </w:rPr>
            </w:pPr>
            <w:r>
              <w:rPr>
                <w:rFonts w:cs="Times New Roman"/>
                <w:sz w:val="18"/>
                <w:szCs w:val="18"/>
              </w:rPr>
              <w:t>0.8095</w:t>
            </w:r>
          </w:p>
        </w:tc>
        <w:tc>
          <w:tcPr>
            <w:tcW w:w="832" w:type="pct"/>
            <w:tcBorders>
              <w:tl2br w:val="nil"/>
              <w:tr2bl w:val="nil"/>
            </w:tcBorders>
            <w:vAlign w:val="center"/>
          </w:tcPr>
          <w:p w14:paraId="5EEFF366">
            <w:pPr>
              <w:snapToGrid w:val="0"/>
              <w:jc w:val="center"/>
              <w:rPr>
                <w:rFonts w:cs="Times New Roman"/>
                <w:sz w:val="18"/>
                <w:szCs w:val="18"/>
              </w:rPr>
            </w:pPr>
            <w:r>
              <w:rPr>
                <w:rFonts w:cs="Times New Roman"/>
                <w:sz w:val="18"/>
                <w:szCs w:val="18"/>
              </w:rPr>
              <w:t>0.7889</w:t>
            </w:r>
          </w:p>
        </w:tc>
        <w:tc>
          <w:tcPr>
            <w:tcW w:w="834" w:type="pct"/>
            <w:tcBorders>
              <w:tl2br w:val="nil"/>
              <w:tr2bl w:val="nil"/>
            </w:tcBorders>
            <w:vAlign w:val="center"/>
          </w:tcPr>
          <w:p w14:paraId="36597715">
            <w:pPr>
              <w:snapToGrid w:val="0"/>
              <w:jc w:val="center"/>
              <w:rPr>
                <w:rFonts w:cs="Times New Roman"/>
                <w:sz w:val="18"/>
                <w:szCs w:val="18"/>
              </w:rPr>
            </w:pPr>
            <w:r>
              <w:rPr>
                <w:rFonts w:cs="Times New Roman"/>
                <w:sz w:val="18"/>
                <w:szCs w:val="18"/>
              </w:rPr>
              <w:t>0.7903</w:t>
            </w:r>
          </w:p>
        </w:tc>
        <w:tc>
          <w:tcPr>
            <w:tcW w:w="834" w:type="pct"/>
            <w:tcBorders>
              <w:tl2br w:val="nil"/>
              <w:tr2bl w:val="nil"/>
            </w:tcBorders>
            <w:vAlign w:val="center"/>
          </w:tcPr>
          <w:p w14:paraId="213A311B">
            <w:pPr>
              <w:snapToGrid w:val="0"/>
              <w:jc w:val="center"/>
              <w:rPr>
                <w:rFonts w:cs="Times New Roman"/>
                <w:sz w:val="18"/>
                <w:szCs w:val="18"/>
              </w:rPr>
            </w:pPr>
            <w:r>
              <w:rPr>
                <w:rFonts w:cs="Times New Roman"/>
                <w:sz w:val="18"/>
                <w:szCs w:val="18"/>
              </w:rPr>
              <w:t>0.5560</w:t>
            </w:r>
          </w:p>
        </w:tc>
      </w:tr>
      <w:tr w14:paraId="6B5A952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7" w:hRule="atLeast"/>
          <w:jc w:val="center"/>
        </w:trPr>
        <w:tc>
          <w:tcPr>
            <w:tcW w:w="832" w:type="pct"/>
            <w:tcBorders>
              <w:tl2br w:val="nil"/>
              <w:tr2bl w:val="nil"/>
            </w:tcBorders>
            <w:vAlign w:val="center"/>
          </w:tcPr>
          <w:p w14:paraId="08DD58C3">
            <w:pPr>
              <w:snapToGrid w:val="0"/>
              <w:jc w:val="center"/>
              <w:rPr>
                <w:rFonts w:cs="Times New Roman"/>
                <w:sz w:val="18"/>
                <w:szCs w:val="18"/>
              </w:rPr>
            </w:pPr>
            <w:r>
              <w:rPr>
                <w:rFonts w:cs="Times New Roman"/>
                <w:sz w:val="18"/>
                <w:szCs w:val="18"/>
              </w:rPr>
              <w:t>CNN</w:t>
            </w:r>
          </w:p>
        </w:tc>
        <w:tc>
          <w:tcPr>
            <w:tcW w:w="832" w:type="pct"/>
            <w:tcBorders>
              <w:tl2br w:val="nil"/>
              <w:tr2bl w:val="nil"/>
            </w:tcBorders>
            <w:vAlign w:val="center"/>
          </w:tcPr>
          <w:p w14:paraId="2EA2F699">
            <w:pPr>
              <w:snapToGrid w:val="0"/>
              <w:jc w:val="center"/>
              <w:rPr>
                <w:rFonts w:cs="Times New Roman"/>
                <w:sz w:val="18"/>
                <w:szCs w:val="18"/>
              </w:rPr>
            </w:pPr>
            <w:r>
              <w:rPr>
                <w:rFonts w:cs="Times New Roman"/>
                <w:sz w:val="18"/>
                <w:szCs w:val="18"/>
              </w:rPr>
              <w:t>0.7744</w:t>
            </w:r>
          </w:p>
        </w:tc>
        <w:tc>
          <w:tcPr>
            <w:tcW w:w="832" w:type="pct"/>
            <w:tcBorders>
              <w:tl2br w:val="nil"/>
              <w:tr2bl w:val="nil"/>
            </w:tcBorders>
            <w:vAlign w:val="center"/>
          </w:tcPr>
          <w:p w14:paraId="3CDB298B">
            <w:pPr>
              <w:snapToGrid w:val="0"/>
              <w:jc w:val="center"/>
              <w:rPr>
                <w:rFonts w:cs="Times New Roman"/>
                <w:sz w:val="18"/>
                <w:szCs w:val="18"/>
              </w:rPr>
            </w:pPr>
            <w:r>
              <w:rPr>
                <w:rFonts w:cs="Times New Roman"/>
                <w:sz w:val="18"/>
                <w:szCs w:val="18"/>
              </w:rPr>
              <w:t>0.7334</w:t>
            </w:r>
          </w:p>
        </w:tc>
        <w:tc>
          <w:tcPr>
            <w:tcW w:w="832" w:type="pct"/>
            <w:tcBorders>
              <w:tl2br w:val="nil"/>
              <w:tr2bl w:val="nil"/>
            </w:tcBorders>
            <w:vAlign w:val="center"/>
          </w:tcPr>
          <w:p w14:paraId="3ED58ACB">
            <w:pPr>
              <w:snapToGrid w:val="0"/>
              <w:jc w:val="center"/>
              <w:rPr>
                <w:rFonts w:cs="Times New Roman"/>
                <w:sz w:val="18"/>
                <w:szCs w:val="18"/>
              </w:rPr>
            </w:pPr>
            <w:r>
              <w:rPr>
                <w:rFonts w:cs="Times New Roman"/>
                <w:sz w:val="18"/>
                <w:szCs w:val="18"/>
              </w:rPr>
              <w:t>0.6721</w:t>
            </w:r>
          </w:p>
        </w:tc>
        <w:tc>
          <w:tcPr>
            <w:tcW w:w="834" w:type="pct"/>
            <w:tcBorders>
              <w:tl2br w:val="nil"/>
              <w:tr2bl w:val="nil"/>
            </w:tcBorders>
            <w:vAlign w:val="center"/>
          </w:tcPr>
          <w:p w14:paraId="213A6AA9">
            <w:pPr>
              <w:snapToGrid w:val="0"/>
              <w:jc w:val="center"/>
              <w:rPr>
                <w:rFonts w:cs="Times New Roman"/>
                <w:sz w:val="18"/>
                <w:szCs w:val="18"/>
              </w:rPr>
            </w:pPr>
            <w:r>
              <w:rPr>
                <w:rFonts w:cs="Times New Roman"/>
                <w:sz w:val="18"/>
                <w:szCs w:val="18"/>
              </w:rPr>
              <w:t>0.6887</w:t>
            </w:r>
          </w:p>
        </w:tc>
        <w:tc>
          <w:tcPr>
            <w:tcW w:w="834" w:type="pct"/>
            <w:tcBorders>
              <w:tl2br w:val="nil"/>
              <w:tr2bl w:val="nil"/>
            </w:tcBorders>
            <w:vAlign w:val="center"/>
          </w:tcPr>
          <w:p w14:paraId="591A91DC">
            <w:pPr>
              <w:snapToGrid w:val="0"/>
              <w:jc w:val="center"/>
              <w:rPr>
                <w:rFonts w:cs="Times New Roman"/>
                <w:sz w:val="18"/>
                <w:szCs w:val="18"/>
              </w:rPr>
            </w:pPr>
            <w:r>
              <w:rPr>
                <w:rFonts w:cs="Times New Roman"/>
                <w:sz w:val="18"/>
                <w:szCs w:val="18"/>
              </w:rPr>
              <w:t>0.8726</w:t>
            </w:r>
          </w:p>
        </w:tc>
      </w:tr>
      <w:tr w14:paraId="25AFFB6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7" w:hRule="atLeast"/>
          <w:jc w:val="center"/>
        </w:trPr>
        <w:tc>
          <w:tcPr>
            <w:tcW w:w="832" w:type="pct"/>
            <w:tcBorders>
              <w:tl2br w:val="nil"/>
              <w:tr2bl w:val="nil"/>
            </w:tcBorders>
            <w:vAlign w:val="center"/>
          </w:tcPr>
          <w:p w14:paraId="0D1949D9">
            <w:pPr>
              <w:snapToGrid w:val="0"/>
              <w:jc w:val="center"/>
              <w:rPr>
                <w:rFonts w:cs="Times New Roman"/>
                <w:sz w:val="18"/>
                <w:szCs w:val="18"/>
              </w:rPr>
            </w:pPr>
            <w:r>
              <w:rPr>
                <w:rFonts w:cs="Times New Roman"/>
                <w:sz w:val="18"/>
                <w:szCs w:val="18"/>
              </w:rPr>
              <w:t>BO-RF</w:t>
            </w:r>
          </w:p>
        </w:tc>
        <w:tc>
          <w:tcPr>
            <w:tcW w:w="832" w:type="pct"/>
            <w:tcBorders>
              <w:tl2br w:val="nil"/>
              <w:tr2bl w:val="nil"/>
            </w:tcBorders>
            <w:vAlign w:val="center"/>
          </w:tcPr>
          <w:p w14:paraId="1E32B85D">
            <w:pPr>
              <w:snapToGrid w:val="0"/>
              <w:jc w:val="center"/>
              <w:rPr>
                <w:rFonts w:cs="Times New Roman"/>
                <w:sz w:val="18"/>
                <w:szCs w:val="18"/>
              </w:rPr>
            </w:pPr>
            <w:r>
              <w:rPr>
                <w:rFonts w:cs="Times New Roman"/>
                <w:sz w:val="18"/>
                <w:szCs w:val="18"/>
              </w:rPr>
              <w:t>0.8298</w:t>
            </w:r>
          </w:p>
        </w:tc>
        <w:tc>
          <w:tcPr>
            <w:tcW w:w="832" w:type="pct"/>
            <w:tcBorders>
              <w:tl2br w:val="nil"/>
              <w:tr2bl w:val="nil"/>
            </w:tcBorders>
            <w:vAlign w:val="center"/>
          </w:tcPr>
          <w:p w14:paraId="1AD799E9">
            <w:pPr>
              <w:snapToGrid w:val="0"/>
              <w:jc w:val="center"/>
              <w:rPr>
                <w:rFonts w:cs="Times New Roman"/>
                <w:sz w:val="18"/>
                <w:szCs w:val="18"/>
              </w:rPr>
            </w:pPr>
            <w:r>
              <w:rPr>
                <w:rFonts w:cs="Times New Roman"/>
                <w:sz w:val="18"/>
                <w:szCs w:val="18"/>
              </w:rPr>
              <w:t>0.8113</w:t>
            </w:r>
          </w:p>
        </w:tc>
        <w:tc>
          <w:tcPr>
            <w:tcW w:w="832" w:type="pct"/>
            <w:tcBorders>
              <w:tl2br w:val="nil"/>
              <w:tr2bl w:val="nil"/>
            </w:tcBorders>
            <w:vAlign w:val="center"/>
          </w:tcPr>
          <w:p w14:paraId="5C38361E">
            <w:pPr>
              <w:snapToGrid w:val="0"/>
              <w:jc w:val="center"/>
              <w:rPr>
                <w:rFonts w:cs="Times New Roman"/>
                <w:sz w:val="18"/>
                <w:szCs w:val="18"/>
              </w:rPr>
            </w:pPr>
            <w:r>
              <w:rPr>
                <w:rFonts w:cs="Times New Roman"/>
                <w:sz w:val="18"/>
                <w:szCs w:val="18"/>
              </w:rPr>
              <w:t>0.7611</w:t>
            </w:r>
          </w:p>
        </w:tc>
        <w:tc>
          <w:tcPr>
            <w:tcW w:w="834" w:type="pct"/>
            <w:tcBorders>
              <w:tl2br w:val="nil"/>
              <w:tr2bl w:val="nil"/>
            </w:tcBorders>
            <w:vAlign w:val="center"/>
          </w:tcPr>
          <w:p w14:paraId="7380F8C2">
            <w:pPr>
              <w:snapToGrid w:val="0"/>
              <w:jc w:val="center"/>
              <w:rPr>
                <w:rFonts w:cs="Times New Roman"/>
                <w:sz w:val="18"/>
                <w:szCs w:val="18"/>
              </w:rPr>
            </w:pPr>
            <w:r>
              <w:rPr>
                <w:rFonts w:cs="Times New Roman"/>
                <w:sz w:val="18"/>
                <w:szCs w:val="18"/>
              </w:rPr>
              <w:t>0.7822</w:t>
            </w:r>
          </w:p>
        </w:tc>
        <w:tc>
          <w:tcPr>
            <w:tcW w:w="834" w:type="pct"/>
            <w:tcBorders>
              <w:tl2br w:val="nil"/>
              <w:tr2bl w:val="nil"/>
            </w:tcBorders>
            <w:vAlign w:val="center"/>
          </w:tcPr>
          <w:p w14:paraId="35D41ED7">
            <w:pPr>
              <w:snapToGrid w:val="0"/>
              <w:jc w:val="center"/>
              <w:rPr>
                <w:rFonts w:cs="Times New Roman"/>
                <w:sz w:val="18"/>
                <w:szCs w:val="18"/>
              </w:rPr>
            </w:pPr>
            <w:r>
              <w:rPr>
                <w:rFonts w:cs="Times New Roman"/>
                <w:sz w:val="18"/>
                <w:szCs w:val="18"/>
              </w:rPr>
              <w:t>0.8593</w:t>
            </w:r>
          </w:p>
        </w:tc>
      </w:tr>
      <w:tr w14:paraId="7D551C1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7" w:hRule="atLeast"/>
          <w:jc w:val="center"/>
        </w:trPr>
        <w:tc>
          <w:tcPr>
            <w:tcW w:w="832" w:type="pct"/>
            <w:tcBorders>
              <w:tl2br w:val="nil"/>
              <w:tr2bl w:val="nil"/>
            </w:tcBorders>
            <w:vAlign w:val="center"/>
          </w:tcPr>
          <w:p w14:paraId="6B4C0AA2">
            <w:pPr>
              <w:snapToGrid w:val="0"/>
              <w:jc w:val="center"/>
              <w:rPr>
                <w:rFonts w:cs="Times New Roman"/>
                <w:sz w:val="18"/>
                <w:szCs w:val="18"/>
              </w:rPr>
            </w:pPr>
            <w:r>
              <w:rPr>
                <w:rFonts w:cs="Times New Roman"/>
                <w:sz w:val="18"/>
                <w:szCs w:val="18"/>
              </w:rPr>
              <w:t>BO-CNN</w:t>
            </w:r>
          </w:p>
        </w:tc>
        <w:tc>
          <w:tcPr>
            <w:tcW w:w="832" w:type="pct"/>
            <w:tcBorders>
              <w:tl2br w:val="nil"/>
              <w:tr2bl w:val="nil"/>
            </w:tcBorders>
            <w:vAlign w:val="center"/>
          </w:tcPr>
          <w:p w14:paraId="5F40EADA">
            <w:pPr>
              <w:snapToGrid w:val="0"/>
              <w:jc w:val="center"/>
              <w:rPr>
                <w:rFonts w:cs="Times New Roman"/>
                <w:sz w:val="18"/>
                <w:szCs w:val="18"/>
              </w:rPr>
            </w:pPr>
            <w:r>
              <w:rPr>
                <w:rFonts w:cs="Times New Roman"/>
                <w:sz w:val="18"/>
                <w:szCs w:val="18"/>
              </w:rPr>
              <w:t>0.8322</w:t>
            </w:r>
          </w:p>
        </w:tc>
        <w:tc>
          <w:tcPr>
            <w:tcW w:w="832" w:type="pct"/>
            <w:tcBorders>
              <w:tl2br w:val="nil"/>
              <w:tr2bl w:val="nil"/>
            </w:tcBorders>
            <w:vAlign w:val="center"/>
          </w:tcPr>
          <w:p w14:paraId="587E8CBA">
            <w:pPr>
              <w:snapToGrid w:val="0"/>
              <w:jc w:val="center"/>
              <w:rPr>
                <w:rFonts w:cs="Times New Roman"/>
                <w:sz w:val="18"/>
                <w:szCs w:val="18"/>
              </w:rPr>
            </w:pPr>
            <w:r>
              <w:rPr>
                <w:rFonts w:cs="Times New Roman"/>
                <w:sz w:val="18"/>
                <w:szCs w:val="18"/>
              </w:rPr>
              <w:t>0.8361</w:t>
            </w:r>
          </w:p>
        </w:tc>
        <w:tc>
          <w:tcPr>
            <w:tcW w:w="832" w:type="pct"/>
            <w:tcBorders>
              <w:tl2br w:val="nil"/>
              <w:tr2bl w:val="nil"/>
            </w:tcBorders>
            <w:vAlign w:val="center"/>
          </w:tcPr>
          <w:p w14:paraId="09E9AC1E">
            <w:pPr>
              <w:snapToGrid w:val="0"/>
              <w:jc w:val="center"/>
              <w:rPr>
                <w:rFonts w:cs="Times New Roman"/>
                <w:sz w:val="18"/>
                <w:szCs w:val="18"/>
              </w:rPr>
            </w:pPr>
            <w:r>
              <w:rPr>
                <w:rFonts w:cs="Times New Roman"/>
                <w:sz w:val="18"/>
                <w:szCs w:val="18"/>
              </w:rPr>
              <w:t>0.7404</w:t>
            </w:r>
          </w:p>
        </w:tc>
        <w:tc>
          <w:tcPr>
            <w:tcW w:w="834" w:type="pct"/>
            <w:tcBorders>
              <w:tl2br w:val="nil"/>
              <w:tr2bl w:val="nil"/>
            </w:tcBorders>
            <w:vAlign w:val="center"/>
          </w:tcPr>
          <w:p w14:paraId="647CA7A1">
            <w:pPr>
              <w:snapToGrid w:val="0"/>
              <w:jc w:val="center"/>
              <w:rPr>
                <w:rFonts w:cs="Times New Roman"/>
                <w:sz w:val="18"/>
                <w:szCs w:val="18"/>
              </w:rPr>
            </w:pPr>
            <w:r>
              <w:rPr>
                <w:rFonts w:cs="Times New Roman"/>
                <w:sz w:val="18"/>
                <w:szCs w:val="18"/>
              </w:rPr>
              <w:t>0.7679</w:t>
            </w:r>
          </w:p>
        </w:tc>
        <w:tc>
          <w:tcPr>
            <w:tcW w:w="834" w:type="pct"/>
            <w:tcBorders>
              <w:tl2br w:val="nil"/>
              <w:tr2bl w:val="nil"/>
            </w:tcBorders>
            <w:vAlign w:val="center"/>
          </w:tcPr>
          <w:p w14:paraId="1D37B630">
            <w:pPr>
              <w:snapToGrid w:val="0"/>
              <w:jc w:val="center"/>
              <w:rPr>
                <w:rFonts w:cs="Times New Roman"/>
                <w:sz w:val="18"/>
                <w:szCs w:val="18"/>
              </w:rPr>
            </w:pPr>
            <w:r>
              <w:rPr>
                <w:rFonts w:cs="Times New Roman"/>
                <w:sz w:val="18"/>
                <w:szCs w:val="18"/>
              </w:rPr>
              <w:t>0.8284</w:t>
            </w:r>
          </w:p>
        </w:tc>
      </w:tr>
      <w:tr w14:paraId="68CD7CB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7" w:hRule="atLeast"/>
          <w:jc w:val="center"/>
        </w:trPr>
        <w:tc>
          <w:tcPr>
            <w:tcW w:w="832" w:type="pct"/>
            <w:tcBorders>
              <w:tl2br w:val="nil"/>
              <w:tr2bl w:val="nil"/>
            </w:tcBorders>
            <w:vAlign w:val="center"/>
          </w:tcPr>
          <w:p w14:paraId="4523713A">
            <w:pPr>
              <w:snapToGrid w:val="0"/>
              <w:jc w:val="center"/>
              <w:rPr>
                <w:rFonts w:cs="Times New Roman"/>
                <w:sz w:val="18"/>
                <w:szCs w:val="18"/>
              </w:rPr>
            </w:pPr>
            <w:r>
              <w:rPr>
                <w:rFonts w:cs="Times New Roman"/>
                <w:sz w:val="18"/>
                <w:szCs w:val="18"/>
              </w:rPr>
              <w:t>SVM-RF</w:t>
            </w:r>
          </w:p>
        </w:tc>
        <w:tc>
          <w:tcPr>
            <w:tcW w:w="832" w:type="pct"/>
            <w:tcBorders>
              <w:tl2br w:val="nil"/>
              <w:tr2bl w:val="nil"/>
            </w:tcBorders>
            <w:vAlign w:val="center"/>
          </w:tcPr>
          <w:p w14:paraId="7BBB9402">
            <w:pPr>
              <w:snapToGrid w:val="0"/>
              <w:jc w:val="center"/>
              <w:rPr>
                <w:rFonts w:cs="Times New Roman"/>
                <w:sz w:val="18"/>
                <w:szCs w:val="18"/>
              </w:rPr>
            </w:pPr>
            <w:r>
              <w:rPr>
                <w:rFonts w:cs="Times New Roman"/>
                <w:sz w:val="18"/>
                <w:szCs w:val="18"/>
              </w:rPr>
              <w:t>0.8595</w:t>
            </w:r>
          </w:p>
        </w:tc>
        <w:tc>
          <w:tcPr>
            <w:tcW w:w="832" w:type="pct"/>
            <w:tcBorders>
              <w:tl2br w:val="nil"/>
              <w:tr2bl w:val="nil"/>
            </w:tcBorders>
            <w:vAlign w:val="center"/>
          </w:tcPr>
          <w:p w14:paraId="662A1E0A">
            <w:pPr>
              <w:snapToGrid w:val="0"/>
              <w:jc w:val="center"/>
              <w:rPr>
                <w:rFonts w:cs="Times New Roman"/>
                <w:sz w:val="18"/>
                <w:szCs w:val="18"/>
              </w:rPr>
            </w:pPr>
            <w:r>
              <w:rPr>
                <w:rFonts w:cs="Times New Roman"/>
                <w:sz w:val="18"/>
                <w:szCs w:val="18"/>
              </w:rPr>
              <w:t>0.8560</w:t>
            </w:r>
          </w:p>
        </w:tc>
        <w:tc>
          <w:tcPr>
            <w:tcW w:w="832" w:type="pct"/>
            <w:tcBorders>
              <w:tl2br w:val="nil"/>
              <w:tr2bl w:val="nil"/>
            </w:tcBorders>
            <w:vAlign w:val="center"/>
          </w:tcPr>
          <w:p w14:paraId="78CF55A6">
            <w:pPr>
              <w:snapToGrid w:val="0"/>
              <w:jc w:val="center"/>
              <w:rPr>
                <w:rFonts w:cs="Times New Roman"/>
                <w:sz w:val="18"/>
                <w:szCs w:val="18"/>
              </w:rPr>
            </w:pPr>
            <w:r>
              <w:rPr>
                <w:rFonts w:cs="Times New Roman"/>
                <w:sz w:val="18"/>
                <w:szCs w:val="18"/>
              </w:rPr>
              <w:t>0.8198</w:t>
            </w:r>
          </w:p>
        </w:tc>
        <w:tc>
          <w:tcPr>
            <w:tcW w:w="834" w:type="pct"/>
            <w:tcBorders>
              <w:tl2br w:val="nil"/>
              <w:tr2bl w:val="nil"/>
            </w:tcBorders>
            <w:vAlign w:val="center"/>
          </w:tcPr>
          <w:p w14:paraId="4515B059">
            <w:pPr>
              <w:snapToGrid w:val="0"/>
              <w:jc w:val="center"/>
              <w:rPr>
                <w:rFonts w:cs="Times New Roman"/>
                <w:sz w:val="18"/>
                <w:szCs w:val="18"/>
              </w:rPr>
            </w:pPr>
            <w:r>
              <w:rPr>
                <w:rFonts w:cs="Times New Roman"/>
                <w:sz w:val="18"/>
                <w:szCs w:val="18"/>
              </w:rPr>
              <w:t>0.8191</w:t>
            </w:r>
          </w:p>
        </w:tc>
        <w:tc>
          <w:tcPr>
            <w:tcW w:w="834" w:type="pct"/>
            <w:tcBorders>
              <w:tl2br w:val="nil"/>
              <w:tr2bl w:val="nil"/>
            </w:tcBorders>
            <w:vAlign w:val="center"/>
          </w:tcPr>
          <w:p w14:paraId="6C1B27A9">
            <w:pPr>
              <w:snapToGrid w:val="0"/>
              <w:jc w:val="center"/>
              <w:rPr>
                <w:rFonts w:cs="Times New Roman"/>
                <w:sz w:val="18"/>
                <w:szCs w:val="18"/>
              </w:rPr>
            </w:pPr>
            <w:r>
              <w:rPr>
                <w:rFonts w:cs="Times New Roman"/>
                <w:sz w:val="18"/>
                <w:szCs w:val="18"/>
              </w:rPr>
              <w:t>0.9065</w:t>
            </w:r>
          </w:p>
        </w:tc>
      </w:tr>
    </w:tbl>
    <w:p w14:paraId="2E36A8A3">
      <w:pPr>
        <w:ind w:firstLine="420" w:firstLineChars="200"/>
        <w:rPr>
          <w:rFonts w:cs="Times New Roman"/>
          <w:sz w:val="21"/>
          <w:szCs w:val="21"/>
          <w:lang w:bidi="ar"/>
        </w:rPr>
      </w:pPr>
      <w:r>
        <w:rPr>
          <w:rFonts w:cs="Times New Roman"/>
          <w:sz w:val="21"/>
          <w:szCs w:val="21"/>
          <w:lang w:bidi="ar"/>
        </w:rPr>
        <w:t>另外XGBoost、RF等集成学习算法在预测效果上远高于逻辑回归模型，也说明企业新质生产力发展水平的驱动因素相对复杂，驱动因素之间的相互关系以及与响应变量之间的非线性关系，传统的逻辑回归模型都难以预测与解释</w:t>
      </w:r>
      <w:r>
        <w:rPr>
          <w:rFonts w:cs="Times New Roman"/>
          <w:sz w:val="21"/>
          <w:szCs w:val="21"/>
          <w:vertAlign w:val="superscript"/>
          <w:lang w:bidi="ar"/>
        </w:rPr>
        <w:t>[33]</w:t>
      </w:r>
      <w:r>
        <w:rPr>
          <w:rFonts w:cs="Times New Roman"/>
          <w:sz w:val="21"/>
          <w:szCs w:val="21"/>
          <w:lang w:bidi="ar"/>
        </w:rPr>
        <w:t>。</w:t>
      </w:r>
    </w:p>
    <w:p w14:paraId="01F0507B">
      <w:pPr>
        <w:pStyle w:val="4"/>
        <w:spacing w:before="0" w:after="0" w:line="240" w:lineRule="auto"/>
        <w:rPr>
          <w:rFonts w:cs="Times New Roman"/>
          <w:sz w:val="21"/>
          <w:szCs w:val="21"/>
        </w:rPr>
      </w:pPr>
      <w:r>
        <w:rPr>
          <w:rFonts w:cs="Times New Roman"/>
          <w:sz w:val="21"/>
          <w:szCs w:val="21"/>
        </w:rPr>
        <w:t>5.2 基于SHAP的特征重要性分析</w:t>
      </w:r>
    </w:p>
    <w:p w14:paraId="7B4C3B4C">
      <w:pPr>
        <w:ind w:firstLine="420" w:firstLineChars="200"/>
        <w:rPr>
          <w:rFonts w:cs="Times New Roman"/>
          <w:sz w:val="21"/>
          <w:szCs w:val="21"/>
          <w:lang w:bidi="ar"/>
        </w:rPr>
      </w:pPr>
      <w:r>
        <w:rPr>
          <w:rFonts w:cs="Times New Roman"/>
          <w:sz w:val="21"/>
          <w:szCs w:val="21"/>
          <w:lang w:bidi="ar"/>
        </w:rPr>
        <w:t>针对不同的机器学习算法，可将SHAP分为三种类型：TreeSHAP、DeepSHAP、Kernel SHAP</w:t>
      </w:r>
      <w:r>
        <w:rPr>
          <w:rFonts w:cs="Times New Roman"/>
          <w:sz w:val="21"/>
          <w:szCs w:val="21"/>
          <w:vertAlign w:val="superscript"/>
          <w:lang w:bidi="ar"/>
        </w:rPr>
        <w:t>[34]</w:t>
      </w:r>
      <w:r>
        <w:rPr>
          <w:rFonts w:cs="Times New Roman"/>
          <w:sz w:val="21"/>
          <w:szCs w:val="21"/>
          <w:lang w:bidi="ar"/>
        </w:rPr>
        <w:t>。本文使用的TreeSHAP为Lundberg和Lee(2017)提出，主要针对树模型，具体可用于解释随机森林、XGBoost和LightGBM等树模型。其显著的降低了SHAP计算的复杂度，可高效地计算得出单个样本、局部样本和全局样本特征的Shapley值。</w:t>
      </w:r>
    </w:p>
    <w:p w14:paraId="368BD0CB">
      <w:pPr>
        <w:ind w:firstLine="420" w:firstLineChars="200"/>
        <w:rPr>
          <w:rFonts w:cs="Times New Roman"/>
          <w:sz w:val="21"/>
          <w:szCs w:val="21"/>
          <w:lang w:bidi="ar"/>
        </w:rPr>
      </w:pPr>
      <w:r>
        <w:rPr>
          <w:rFonts w:cs="Times New Roman"/>
          <w:sz w:val="21"/>
          <w:szCs w:val="21"/>
        </w:rPr>
        <w:t>如图2所示，每个点都是一个特征变量的SHAP值，它们的颜色反映特征对预测结果的影响是正向(红色)、负向(蓝色)还是介于两者之间(紫色)</w:t>
      </w:r>
      <w:r>
        <w:rPr>
          <w:rFonts w:cs="Times New Roman"/>
          <w:sz w:val="21"/>
          <w:szCs w:val="21"/>
          <w:vertAlign w:val="superscript"/>
        </w:rPr>
        <w:t>[35]</w:t>
      </w:r>
      <w:r>
        <w:rPr>
          <w:rFonts w:cs="Times New Roman"/>
          <w:sz w:val="21"/>
          <w:szCs w:val="21"/>
        </w:rPr>
        <w:t>。结果表明，研发经费投入、高学历人才占比、企业规模、</w:t>
      </w:r>
      <w:r>
        <w:rPr>
          <w:rFonts w:cs="Times New Roman"/>
          <w:sz w:val="21"/>
          <w:szCs w:val="21"/>
          <w:lang w:bidi="ar"/>
        </w:rPr>
        <w:t>碳排放量</w:t>
      </w:r>
      <w:r>
        <w:rPr>
          <w:rFonts w:cs="Times New Roman"/>
          <w:sz w:val="21"/>
          <w:szCs w:val="21"/>
        </w:rPr>
        <w:t>和管理层持股比例</w:t>
      </w:r>
      <w:r>
        <w:rPr>
          <w:rFonts w:cs="Times New Roman"/>
          <w:sz w:val="21"/>
          <w:szCs w:val="21"/>
          <w:lang w:bidi="ar"/>
        </w:rPr>
        <w:t>是影响企业新质生产力发展的5个最重要因素。接着我们计算了各个驱动因素在企业新质生产力发展的特征重要性排序，并研究这些因素对新质生产力的积极或者消极影响。</w:t>
      </w:r>
    </w:p>
    <w:p w14:paraId="2CD5C1CE">
      <w:pPr>
        <w:jc w:val="center"/>
        <w:rPr>
          <w:lang w:bidi="ar"/>
        </w:rPr>
      </w:pPr>
      <w:r>
        <w:rPr>
          <w:rFonts w:hint="eastAsia"/>
          <w:lang w:bidi="ar"/>
        </w:rPr>
        <w:drawing>
          <wp:inline distT="0" distB="0" distL="114300" distR="114300">
            <wp:extent cx="2807335" cy="3239770"/>
            <wp:effectExtent l="0" t="0" r="2540" b="8255"/>
            <wp:docPr id="2" name="图片 2" descr="shap_Beeswarm_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hap_Beeswarm_plots"/>
                    <pic:cNvPicPr>
                      <a:picLocks noChangeAspect="1"/>
                    </pic:cNvPicPr>
                  </pic:nvPicPr>
                  <pic:blipFill>
                    <a:blip r:embed="rId6"/>
                    <a:stretch>
                      <a:fillRect/>
                    </a:stretch>
                  </pic:blipFill>
                  <pic:spPr>
                    <a:xfrm>
                      <a:off x="0" y="0"/>
                      <a:ext cx="2807335" cy="3239770"/>
                    </a:xfrm>
                    <a:prstGeom prst="rect">
                      <a:avLst/>
                    </a:prstGeom>
                  </pic:spPr>
                </pic:pic>
              </a:graphicData>
            </a:graphic>
          </wp:inline>
        </w:drawing>
      </w:r>
    </w:p>
    <w:p w14:paraId="1F78CF4F">
      <w:pPr>
        <w:jc w:val="center"/>
        <w:rPr>
          <w:rFonts w:cs="Times New Roman"/>
          <w:sz w:val="21"/>
          <w:szCs w:val="21"/>
          <w:lang w:bidi="ar"/>
        </w:rPr>
      </w:pPr>
      <w:r>
        <w:rPr>
          <w:rFonts w:cs="Times New Roman"/>
          <w:color w:val="000000"/>
          <w:sz w:val="18"/>
          <w:szCs w:val="18"/>
        </w:rPr>
        <w:t>图2 SHAP值对企业新质生产力驱动因素的解释</w:t>
      </w:r>
    </w:p>
    <w:p w14:paraId="78B5CA82">
      <w:pPr>
        <w:ind w:firstLine="420" w:firstLineChars="200"/>
        <w:rPr>
          <w:rFonts w:cs="Times New Roman"/>
          <w:sz w:val="21"/>
          <w:szCs w:val="21"/>
        </w:rPr>
      </w:pPr>
      <w:r>
        <w:rPr>
          <w:rFonts w:cs="Times New Roman"/>
          <w:sz w:val="21"/>
          <w:szCs w:val="21"/>
        </w:rPr>
        <w:t>如图3所示，颜色区域宽度越大，说明该特征的影响越大，同时该图也反映了企业新质生产力驱动因素的重要性排序。红色表示自变量与新质生产力发展水平呈正相关关系，蓝色表示负相关关系。结果表明：研发经费投入、高学历人才占比、企业规模、管理层持股比例、创新绩效、流动比率、高管年龄、企业所有权、资产收益率、资产负债率、污染物排放、研发人员占比、绿色创新水平、高管薪酬和数字化转型程度与新质生产力发展呈正相关。然而碳排放量、股权集中度、高管年龄、海外背景的高管数量和两职合一的影响与新质生产力发展呈负相关。</w:t>
      </w:r>
    </w:p>
    <w:p w14:paraId="7126E1FF">
      <w:pPr>
        <w:pStyle w:val="4"/>
        <w:spacing w:before="0" w:after="0" w:line="240" w:lineRule="auto"/>
        <w:rPr>
          <w:rFonts w:cs="Times New Roman"/>
          <w:sz w:val="21"/>
          <w:szCs w:val="21"/>
        </w:rPr>
      </w:pPr>
      <w:r>
        <w:rPr>
          <w:rFonts w:cs="Times New Roman"/>
          <w:sz w:val="21"/>
          <w:szCs w:val="21"/>
        </w:rPr>
        <w:t>5.3 单特征解释分析</w:t>
      </w:r>
    </w:p>
    <w:p w14:paraId="7BB8EEBE">
      <w:pPr>
        <w:ind w:firstLine="420" w:firstLineChars="200"/>
        <w:rPr>
          <w:rFonts w:cs="Times New Roman"/>
          <w:sz w:val="21"/>
          <w:szCs w:val="21"/>
        </w:rPr>
      </w:pPr>
      <w:r>
        <w:rPr>
          <w:rFonts w:cs="Times New Roman"/>
          <w:sz w:val="21"/>
          <w:szCs w:val="21"/>
        </w:rPr>
        <w:t>为了进一步验证特征与结果之间的关系，使用SHAP依赖图分析单个特征与新质生产力之间的关系，研究不同特征之间的相互作用。SHAP 依赖图是一种散点图，其中每个点代表一个具体的样本，横轴表示被观察的特征Fx，纵轴表示 Fx的 SHAP 值；与Fx有交互作用的特征 Fy 通过颜色深浅来表示[36]。在本研究中，企业所有权作为Fy，而几个三级驱动因素则作为Fx。</w:t>
      </w:r>
    </w:p>
    <w:p w14:paraId="00ABD9A7">
      <w:pPr>
        <w:ind w:firstLine="420" w:firstLineChars="200"/>
        <w:rPr>
          <w:rFonts w:cs="Times New Roman"/>
          <w:sz w:val="21"/>
          <w:szCs w:val="21"/>
        </w:rPr>
      </w:pPr>
      <w:r>
        <w:rPr>
          <w:rFonts w:cs="Times New Roman"/>
          <w:sz w:val="21"/>
          <w:szCs w:val="21"/>
          <w:lang w:bidi="ar"/>
        </w:rPr>
        <w:t>从图4观察到，国有企业与非国有企业的数字化转型程度和研发经费投入都与SHAP值呈现整体正相关的趋势。而创新绩效则呈现先上升后趋近平缓再上升的趋势，说明专利申请数量与新质生产力发展水平的关系并非绝对的正相关，有些专利可能只是对现有技术的微小改进或优化，其市场价值和技术含量相对较低，另外有些企业可能拥有大量的专利，但由于缺乏有效的专利管理和转化机制，未能有效推动企业新质生产力的发展。整体而言，随着企业科技创新的程度增加，企业的新质生产力发展水平高的概率增大。</w:t>
      </w:r>
    </w:p>
    <w:p w14:paraId="5BC97B10">
      <w:pPr>
        <w:ind w:firstLine="480" w:firstLineChars="200"/>
        <w:jc w:val="center"/>
        <w:rPr>
          <w:lang w:bidi="ar"/>
        </w:rPr>
      </w:pPr>
      <w:r>
        <w:rPr>
          <w:rFonts w:hint="eastAsia"/>
          <w:lang w:bidi="ar"/>
        </w:rPr>
        <w:drawing>
          <wp:inline distT="0" distB="0" distL="114300" distR="114300">
            <wp:extent cx="3148330" cy="2520315"/>
            <wp:effectExtent l="0" t="0" r="4445" b="3810"/>
            <wp:docPr id="17" name="图片 17" descr="shap_abs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hap_abs_plot"/>
                    <pic:cNvPicPr>
                      <a:picLocks noChangeAspect="1"/>
                    </pic:cNvPicPr>
                  </pic:nvPicPr>
                  <pic:blipFill>
                    <a:blip r:embed="rId7"/>
                    <a:stretch>
                      <a:fillRect/>
                    </a:stretch>
                  </pic:blipFill>
                  <pic:spPr>
                    <a:xfrm>
                      <a:off x="0" y="0"/>
                      <a:ext cx="3148330" cy="2520315"/>
                    </a:xfrm>
                    <a:prstGeom prst="rect">
                      <a:avLst/>
                    </a:prstGeom>
                  </pic:spPr>
                </pic:pic>
              </a:graphicData>
            </a:graphic>
          </wp:inline>
        </w:drawing>
      </w:r>
    </w:p>
    <w:p w14:paraId="5B82F2C6">
      <w:pPr>
        <w:ind w:firstLine="360" w:firstLineChars="200"/>
        <w:jc w:val="center"/>
        <w:rPr>
          <w:lang w:bidi="ar"/>
        </w:rPr>
      </w:pPr>
      <w:r>
        <w:rPr>
          <w:rFonts w:cs="Times New Roman"/>
          <w:color w:val="000000"/>
          <w:sz w:val="18"/>
          <w:szCs w:val="18"/>
        </w:rPr>
        <w:t>图3  企业新质生产力的影响因素效应</w:t>
      </w:r>
    </w:p>
    <w:p w14:paraId="49A872B1">
      <w:pPr>
        <w:rPr>
          <w:rFonts w:cs="Times New Roman"/>
          <w:color w:val="000000"/>
          <w:sz w:val="18"/>
          <w:szCs w:val="18"/>
          <w:lang w:eastAsia="zh"/>
        </w:rPr>
      </w:pPr>
      <w:r>
        <w:rPr>
          <w:rFonts w:hint="eastAsia" w:cs="Times New Roman"/>
          <w:color w:val="000000"/>
          <w:sz w:val="18"/>
          <w:szCs w:val="18"/>
          <w:lang w:eastAsia="zh"/>
        </w:rPr>
        <w:t xml:space="preserve">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18"/>
        <w:gridCol w:w="3319"/>
        <w:gridCol w:w="3319"/>
      </w:tblGrid>
      <w:tr w14:paraId="5D70A0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18" w:type="dxa"/>
            <w:tcBorders>
              <w:top w:val="nil"/>
              <w:left w:val="nil"/>
              <w:bottom w:val="nil"/>
              <w:right w:val="nil"/>
            </w:tcBorders>
            <w:vAlign w:val="center"/>
          </w:tcPr>
          <w:p w14:paraId="5E44C531">
            <w:pPr>
              <w:jc w:val="center"/>
              <w:rPr>
                <w:rFonts w:cs="Times New Roman"/>
                <w:sz w:val="21"/>
                <w:szCs w:val="21"/>
                <w:lang w:bidi="ar"/>
              </w:rPr>
            </w:pPr>
            <w:r>
              <w:rPr>
                <w:rFonts w:cs="Times New Roman"/>
                <w:sz w:val="21"/>
                <w:szCs w:val="21"/>
                <w:lang w:bidi="ar"/>
              </w:rPr>
              <w:drawing>
                <wp:inline distT="0" distB="0" distL="114300" distR="114300">
                  <wp:extent cx="1620520" cy="1080135"/>
                  <wp:effectExtent l="0" t="0" r="8255" b="5715"/>
                  <wp:docPr id="3" name="图片 3" descr="shap_dependence_plot_Digitaltrans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hap_dependence_plot_Digitaltransindex"/>
                          <pic:cNvPicPr>
                            <a:picLocks noChangeAspect="1"/>
                          </pic:cNvPicPr>
                        </pic:nvPicPr>
                        <pic:blipFill>
                          <a:blip r:embed="rId8"/>
                          <a:stretch>
                            <a:fillRect/>
                          </a:stretch>
                        </pic:blipFill>
                        <pic:spPr>
                          <a:xfrm>
                            <a:off x="0" y="0"/>
                            <a:ext cx="1620520" cy="1080135"/>
                          </a:xfrm>
                          <a:prstGeom prst="rect">
                            <a:avLst/>
                          </a:prstGeom>
                        </pic:spPr>
                      </pic:pic>
                    </a:graphicData>
                  </a:graphic>
                </wp:inline>
              </w:drawing>
            </w:r>
          </w:p>
        </w:tc>
        <w:tc>
          <w:tcPr>
            <w:tcW w:w="3319" w:type="dxa"/>
            <w:tcBorders>
              <w:top w:val="nil"/>
              <w:left w:val="nil"/>
              <w:bottom w:val="nil"/>
              <w:right w:val="nil"/>
            </w:tcBorders>
            <w:vAlign w:val="center"/>
          </w:tcPr>
          <w:p w14:paraId="0F4DE14A">
            <w:pPr>
              <w:jc w:val="center"/>
              <w:rPr>
                <w:rFonts w:cs="Times New Roman"/>
                <w:sz w:val="21"/>
                <w:szCs w:val="21"/>
                <w:lang w:bidi="ar"/>
              </w:rPr>
            </w:pPr>
            <w:r>
              <w:rPr>
                <w:rFonts w:cs="Times New Roman"/>
                <w:sz w:val="21"/>
                <w:szCs w:val="21"/>
                <w:lang w:bidi="ar"/>
              </w:rPr>
              <w:drawing>
                <wp:inline distT="0" distB="0" distL="114300" distR="114300">
                  <wp:extent cx="1620520" cy="1080135"/>
                  <wp:effectExtent l="0" t="0" r="8255" b="5715"/>
                  <wp:docPr id="4" name="图片 4" descr="shap_dependence_plot_R&amp;D expe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hap_dependence_plot_R&amp;D expenses"/>
                          <pic:cNvPicPr>
                            <a:picLocks noChangeAspect="1"/>
                          </pic:cNvPicPr>
                        </pic:nvPicPr>
                        <pic:blipFill>
                          <a:blip r:embed="rId9"/>
                          <a:stretch>
                            <a:fillRect/>
                          </a:stretch>
                        </pic:blipFill>
                        <pic:spPr>
                          <a:xfrm>
                            <a:off x="0" y="0"/>
                            <a:ext cx="1620520" cy="1080135"/>
                          </a:xfrm>
                          <a:prstGeom prst="rect">
                            <a:avLst/>
                          </a:prstGeom>
                        </pic:spPr>
                      </pic:pic>
                    </a:graphicData>
                  </a:graphic>
                </wp:inline>
              </w:drawing>
            </w:r>
          </w:p>
        </w:tc>
        <w:tc>
          <w:tcPr>
            <w:tcW w:w="3319" w:type="dxa"/>
            <w:tcBorders>
              <w:top w:val="nil"/>
              <w:left w:val="nil"/>
              <w:bottom w:val="nil"/>
              <w:right w:val="nil"/>
            </w:tcBorders>
            <w:vAlign w:val="center"/>
          </w:tcPr>
          <w:p w14:paraId="39C88A5B">
            <w:pPr>
              <w:jc w:val="center"/>
              <w:rPr>
                <w:rFonts w:cs="Times New Roman"/>
                <w:sz w:val="21"/>
                <w:szCs w:val="21"/>
                <w:lang w:bidi="ar"/>
              </w:rPr>
            </w:pPr>
            <w:r>
              <w:rPr>
                <w:rFonts w:cs="Times New Roman"/>
                <w:sz w:val="21"/>
                <w:szCs w:val="21"/>
                <w:lang w:bidi="ar"/>
              </w:rPr>
              <w:drawing>
                <wp:inline distT="0" distB="0" distL="114300" distR="114300">
                  <wp:extent cx="1619885" cy="1080135"/>
                  <wp:effectExtent l="0" t="0" r="8890" b="5715"/>
                  <wp:docPr id="29" name="图片 29" descr="shap_dependence_plot_Innovatio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shap_dependence_plot_Innovatio performance"/>
                          <pic:cNvPicPr>
                            <a:picLocks noChangeAspect="1"/>
                          </pic:cNvPicPr>
                        </pic:nvPicPr>
                        <pic:blipFill>
                          <a:blip r:embed="rId10"/>
                          <a:stretch>
                            <a:fillRect/>
                          </a:stretch>
                        </pic:blipFill>
                        <pic:spPr>
                          <a:xfrm>
                            <a:off x="0" y="0"/>
                            <a:ext cx="1619885" cy="1080135"/>
                          </a:xfrm>
                          <a:prstGeom prst="rect">
                            <a:avLst/>
                          </a:prstGeom>
                        </pic:spPr>
                      </pic:pic>
                    </a:graphicData>
                  </a:graphic>
                </wp:inline>
              </w:drawing>
            </w:r>
          </w:p>
        </w:tc>
      </w:tr>
      <w:tr w14:paraId="059848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56" w:type="dxa"/>
            <w:gridSpan w:val="3"/>
            <w:tcBorders>
              <w:top w:val="nil"/>
              <w:left w:val="nil"/>
              <w:bottom w:val="nil"/>
              <w:right w:val="nil"/>
            </w:tcBorders>
            <w:vAlign w:val="center"/>
          </w:tcPr>
          <w:p w14:paraId="44DA4BBC">
            <w:pPr>
              <w:jc w:val="center"/>
              <w:rPr>
                <w:rFonts w:cs="Times New Roman"/>
                <w:sz w:val="21"/>
                <w:szCs w:val="21"/>
                <w:lang w:bidi="ar"/>
              </w:rPr>
            </w:pPr>
            <w:r>
              <w:rPr>
                <w:rFonts w:cs="Times New Roman"/>
                <w:color w:val="000000"/>
                <w:sz w:val="18"/>
                <w:szCs w:val="18"/>
              </w:rPr>
              <w:t>图4  科技创新-SHAP交互效应分析图</w:t>
            </w:r>
          </w:p>
        </w:tc>
      </w:tr>
    </w:tbl>
    <w:p w14:paraId="3E227B91">
      <w:pPr>
        <w:ind w:firstLine="420" w:firstLineChars="200"/>
        <w:jc w:val="left"/>
        <w:rPr>
          <w:rFonts w:cs="Times New Roman"/>
          <w:sz w:val="21"/>
          <w:szCs w:val="21"/>
          <w:lang w:bidi="ar"/>
        </w:rPr>
      </w:pPr>
      <w:r>
        <w:rPr>
          <w:rFonts w:cs="Times New Roman"/>
          <w:sz w:val="21"/>
          <w:szCs w:val="21"/>
          <w:lang w:bidi="ar"/>
        </w:rPr>
        <w:t>从图5观察到，国有企业与非国有企业随着研发人员投入占比的提高，SHAP值不断提高，即企业的新质生产力发展水平高的概率越高。针对非国有企业(蓝色点)，高学历人才占比呈现先上升后小幅下降的图像，说明高学历人才占比并非越高越好，企业需要根据自身的发展需求和实际情况，合理配置高学历人才和其他类型的人才，形成优势互补的人才队伍。而针对国有企业(红色点)，SHAP值受高学历人才占比影响不大。</w:t>
      </w:r>
    </w:p>
    <w:tbl>
      <w:tblPr>
        <w:tblStyle w:val="11"/>
        <w:tblpPr w:leftFromText="180" w:rightFromText="180" w:vertAnchor="text" w:horzAnchor="page" w:tblpXSpec="center" w:tblpY="13"/>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81"/>
        <w:gridCol w:w="2781"/>
      </w:tblGrid>
      <w:tr w14:paraId="1D9BB0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7" w:hRule="atLeast"/>
          <w:jc w:val="center"/>
        </w:trPr>
        <w:tc>
          <w:tcPr>
            <w:tcW w:w="1894" w:type="dxa"/>
            <w:tcBorders>
              <w:top w:val="nil"/>
              <w:left w:val="nil"/>
              <w:bottom w:val="nil"/>
              <w:right w:val="nil"/>
            </w:tcBorders>
          </w:tcPr>
          <w:p w14:paraId="4BEB496F">
            <w:pPr>
              <w:rPr>
                <w:rFonts w:cs="Times New Roman"/>
                <w:sz w:val="21"/>
                <w:szCs w:val="21"/>
                <w:lang w:bidi="ar"/>
              </w:rPr>
            </w:pPr>
            <w:r>
              <w:rPr>
                <w:rFonts w:cs="Times New Roman"/>
                <w:sz w:val="21"/>
                <w:szCs w:val="21"/>
                <w:lang w:bidi="ar"/>
              </w:rPr>
              <w:drawing>
                <wp:inline distT="0" distB="0" distL="114300" distR="114300">
                  <wp:extent cx="1620520" cy="1080135"/>
                  <wp:effectExtent l="0" t="0" r="8255" b="5715"/>
                  <wp:docPr id="7" name="图片 7" descr="shap_dependence_plot_R&amp;D perso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hap_dependence_plot_R&amp;D personnel"/>
                          <pic:cNvPicPr>
                            <a:picLocks noChangeAspect="1"/>
                          </pic:cNvPicPr>
                        </pic:nvPicPr>
                        <pic:blipFill>
                          <a:blip r:embed="rId11"/>
                          <a:stretch>
                            <a:fillRect/>
                          </a:stretch>
                        </pic:blipFill>
                        <pic:spPr>
                          <a:xfrm>
                            <a:off x="0" y="0"/>
                            <a:ext cx="1620520" cy="1080135"/>
                          </a:xfrm>
                          <a:prstGeom prst="rect">
                            <a:avLst/>
                          </a:prstGeom>
                        </pic:spPr>
                      </pic:pic>
                    </a:graphicData>
                  </a:graphic>
                </wp:inline>
              </w:drawing>
            </w:r>
          </w:p>
        </w:tc>
        <w:tc>
          <w:tcPr>
            <w:tcW w:w="0" w:type="auto"/>
            <w:tcBorders>
              <w:top w:val="nil"/>
              <w:left w:val="nil"/>
              <w:bottom w:val="nil"/>
              <w:right w:val="nil"/>
            </w:tcBorders>
          </w:tcPr>
          <w:p w14:paraId="1C6D0669">
            <w:pPr>
              <w:rPr>
                <w:rFonts w:cs="Times New Roman"/>
                <w:sz w:val="21"/>
                <w:szCs w:val="21"/>
                <w:lang w:bidi="ar"/>
              </w:rPr>
            </w:pPr>
            <w:r>
              <w:rPr>
                <w:rFonts w:cs="Times New Roman"/>
                <w:sz w:val="21"/>
                <w:szCs w:val="21"/>
                <w:lang w:bidi="ar"/>
              </w:rPr>
              <w:drawing>
                <wp:inline distT="0" distB="0" distL="114300" distR="114300">
                  <wp:extent cx="1620520" cy="1080135"/>
                  <wp:effectExtent l="0" t="0" r="8255" b="5715"/>
                  <wp:docPr id="8" name="图片 8" descr="shap_dependence_plot_highly educated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hap_dependence_plot_highly educated people"/>
                          <pic:cNvPicPr>
                            <a:picLocks noChangeAspect="1"/>
                          </pic:cNvPicPr>
                        </pic:nvPicPr>
                        <pic:blipFill>
                          <a:blip r:embed="rId12"/>
                          <a:stretch>
                            <a:fillRect/>
                          </a:stretch>
                        </pic:blipFill>
                        <pic:spPr>
                          <a:xfrm>
                            <a:off x="0" y="0"/>
                            <a:ext cx="1620520" cy="1080135"/>
                          </a:xfrm>
                          <a:prstGeom prst="rect">
                            <a:avLst/>
                          </a:prstGeom>
                        </pic:spPr>
                      </pic:pic>
                    </a:graphicData>
                  </a:graphic>
                </wp:inline>
              </w:drawing>
            </w:r>
          </w:p>
        </w:tc>
      </w:tr>
      <w:tr w14:paraId="61B2FF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495" w:type="dxa"/>
            <w:gridSpan w:val="2"/>
            <w:tcBorders>
              <w:top w:val="nil"/>
              <w:left w:val="nil"/>
              <w:bottom w:val="nil"/>
              <w:right w:val="nil"/>
            </w:tcBorders>
          </w:tcPr>
          <w:p w14:paraId="78DD6D32">
            <w:pPr>
              <w:snapToGrid w:val="0"/>
              <w:jc w:val="center"/>
              <w:rPr>
                <w:rFonts w:cs="Times New Roman"/>
                <w:color w:val="000000"/>
                <w:sz w:val="18"/>
                <w:szCs w:val="18"/>
              </w:rPr>
            </w:pPr>
            <w:r>
              <w:rPr>
                <w:rFonts w:cs="Times New Roman"/>
                <w:color w:val="000000"/>
                <w:sz w:val="18"/>
                <w:szCs w:val="18"/>
              </w:rPr>
              <w:t>图5  人才投入-SHAP交互效应分析图</w:t>
            </w:r>
          </w:p>
        </w:tc>
      </w:tr>
    </w:tbl>
    <w:p w14:paraId="2B050BF8">
      <w:pPr>
        <w:snapToGrid w:val="0"/>
        <w:jc w:val="center"/>
        <w:rPr>
          <w:rFonts w:cs="Times New Roman"/>
          <w:color w:val="000000"/>
          <w:sz w:val="18"/>
          <w:szCs w:val="18"/>
        </w:rPr>
      </w:pPr>
    </w:p>
    <w:p w14:paraId="7BA8EC14">
      <w:pPr>
        <w:snapToGrid w:val="0"/>
        <w:jc w:val="center"/>
        <w:rPr>
          <w:rFonts w:cs="Times New Roman"/>
          <w:color w:val="000000"/>
          <w:sz w:val="18"/>
          <w:szCs w:val="18"/>
        </w:rPr>
      </w:pPr>
    </w:p>
    <w:p w14:paraId="1A75A3F1">
      <w:pPr>
        <w:snapToGrid w:val="0"/>
        <w:jc w:val="center"/>
        <w:rPr>
          <w:rFonts w:cs="Times New Roman"/>
          <w:color w:val="000000"/>
          <w:sz w:val="18"/>
          <w:szCs w:val="18"/>
        </w:rPr>
      </w:pPr>
    </w:p>
    <w:p w14:paraId="2E1F24F3">
      <w:pPr>
        <w:snapToGrid w:val="0"/>
        <w:jc w:val="center"/>
        <w:rPr>
          <w:rFonts w:cs="Times New Roman"/>
          <w:color w:val="000000"/>
          <w:sz w:val="18"/>
          <w:szCs w:val="18"/>
        </w:rPr>
      </w:pPr>
    </w:p>
    <w:p w14:paraId="7BD9544B">
      <w:pPr>
        <w:snapToGrid w:val="0"/>
        <w:jc w:val="center"/>
        <w:rPr>
          <w:rFonts w:cs="Times New Roman"/>
          <w:color w:val="000000"/>
          <w:sz w:val="18"/>
          <w:szCs w:val="18"/>
        </w:rPr>
      </w:pPr>
    </w:p>
    <w:p w14:paraId="5B83AF2A">
      <w:pPr>
        <w:snapToGrid w:val="0"/>
        <w:jc w:val="center"/>
        <w:rPr>
          <w:rFonts w:cs="Times New Roman"/>
          <w:color w:val="000000"/>
          <w:sz w:val="18"/>
          <w:szCs w:val="18"/>
        </w:rPr>
      </w:pPr>
    </w:p>
    <w:p w14:paraId="65E3CA14">
      <w:pPr>
        <w:snapToGrid w:val="0"/>
        <w:jc w:val="center"/>
        <w:rPr>
          <w:rFonts w:cs="Times New Roman"/>
          <w:color w:val="000000"/>
          <w:sz w:val="18"/>
          <w:szCs w:val="18"/>
        </w:rPr>
      </w:pPr>
    </w:p>
    <w:p w14:paraId="6ECC49B7">
      <w:pPr>
        <w:jc w:val="left"/>
        <w:rPr>
          <w:rFonts w:cs="Times New Roman"/>
          <w:sz w:val="21"/>
          <w:szCs w:val="21"/>
          <w:lang w:bidi="ar"/>
        </w:rPr>
      </w:pPr>
    </w:p>
    <w:p w14:paraId="2E34D343">
      <w:pPr>
        <w:jc w:val="left"/>
        <w:rPr>
          <w:rFonts w:cs="Times New Roman"/>
          <w:sz w:val="21"/>
          <w:szCs w:val="21"/>
          <w:lang w:bidi="ar"/>
        </w:rPr>
      </w:pPr>
    </w:p>
    <w:p w14:paraId="3B998CD4">
      <w:pPr>
        <w:ind w:firstLine="420" w:firstLineChars="200"/>
        <w:jc w:val="left"/>
        <w:rPr>
          <w:rFonts w:cs="Times New Roman"/>
          <w:sz w:val="21"/>
          <w:szCs w:val="21"/>
          <w:lang w:bidi="ar"/>
        </w:rPr>
      </w:pPr>
    </w:p>
    <w:p w14:paraId="0CBC728B">
      <w:pPr>
        <w:ind w:firstLine="420" w:firstLineChars="200"/>
        <w:jc w:val="left"/>
        <w:rPr>
          <w:rFonts w:cs="Times New Roman"/>
          <w:sz w:val="21"/>
          <w:szCs w:val="21"/>
          <w:lang w:bidi="ar"/>
        </w:rPr>
      </w:pPr>
      <w:r>
        <w:rPr>
          <w:rFonts w:hint="eastAsia" w:cs="Times New Roman"/>
          <w:sz w:val="21"/>
          <w:szCs w:val="21"/>
          <w:lang w:bidi="ar"/>
        </w:rPr>
        <w:t>根据图6 的SHAP值分析结果，企业新质生产力发展受到多个因素的差异化影响。其中，针对国有企业，SHAP值为正，企业新质生产力发展水平高的概率大；针对非国有企业，SHAP值为负，企业新质生产力发展水平低的概率大。企业规模与SHAP值呈现显著正相关，即企业规模越大，企业新质生产力发展水平高的概率越大。企业年龄的影响因企业所有制不同而存在差异。国有企业年龄与SHAP值表现为倒V型关系，非国有企业年龄与SHAP值呈现V型特征。这表明企业年龄中等的国有企业相较于企业年龄小的国有企业拥有更多的资源和实力进行技术研发和产业升级，同时与企业年龄大的国有企业相比，它们更灵活，更容易接受新技术和新理念，从而推动新质生产力快速发展。另外，资产负债率与新质生产力显著正相关，而流动比率和资产收益率对企业新质生产力发展的影响并不显著。</w:t>
      </w:r>
    </w:p>
    <w:p w14:paraId="3482E396">
      <w:pPr>
        <w:ind w:firstLine="420" w:firstLineChars="200"/>
        <w:jc w:val="left"/>
        <w:rPr>
          <w:rFonts w:cs="Times New Roman"/>
          <w:sz w:val="21"/>
          <w:szCs w:val="21"/>
          <w:lang w:bidi="ar"/>
        </w:rPr>
      </w:pP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81"/>
        <w:gridCol w:w="2963"/>
        <w:gridCol w:w="2781"/>
      </w:tblGrid>
      <w:tr w14:paraId="499583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9" w:hRule="atLeast"/>
          <w:jc w:val="center"/>
        </w:trPr>
        <w:tc>
          <w:tcPr>
            <w:tcW w:w="0" w:type="auto"/>
            <w:tcBorders>
              <w:top w:val="nil"/>
              <w:left w:val="nil"/>
              <w:bottom w:val="nil"/>
              <w:right w:val="nil"/>
            </w:tcBorders>
            <w:shd w:val="clear" w:color="auto" w:fill="auto"/>
          </w:tcPr>
          <w:p w14:paraId="1C61C7F6">
            <w:pPr>
              <w:autoSpaceDE w:val="0"/>
              <w:jc w:val="center"/>
              <w:rPr>
                <w:rFonts w:cs="Times New Roman"/>
                <w:sz w:val="21"/>
                <w:szCs w:val="21"/>
              </w:rPr>
            </w:pPr>
            <w:r>
              <w:rPr>
                <w:rFonts w:cs="Times New Roman"/>
                <w:sz w:val="21"/>
                <w:szCs w:val="21"/>
                <w:lang w:bidi="ar"/>
              </w:rPr>
              <w:drawing>
                <wp:inline distT="0" distB="0" distL="114300" distR="114300">
                  <wp:extent cx="1619885" cy="1080135"/>
                  <wp:effectExtent l="0" t="0" r="8890" b="571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3"/>
                          <a:stretch>
                            <a:fillRect/>
                          </a:stretch>
                        </pic:blipFill>
                        <pic:spPr>
                          <a:xfrm>
                            <a:off x="0" y="0"/>
                            <a:ext cx="1619885" cy="1080135"/>
                          </a:xfrm>
                          <a:prstGeom prst="rect">
                            <a:avLst/>
                          </a:prstGeom>
                          <a:noFill/>
                          <a:ln w="9525">
                            <a:noFill/>
                          </a:ln>
                        </pic:spPr>
                      </pic:pic>
                    </a:graphicData>
                  </a:graphic>
                </wp:inline>
              </w:drawing>
            </w:r>
          </w:p>
        </w:tc>
        <w:tc>
          <w:tcPr>
            <w:tcW w:w="0" w:type="auto"/>
            <w:tcBorders>
              <w:top w:val="nil"/>
              <w:left w:val="nil"/>
              <w:bottom w:val="nil"/>
              <w:right w:val="nil"/>
            </w:tcBorders>
            <w:shd w:val="clear" w:color="auto" w:fill="auto"/>
          </w:tcPr>
          <w:p w14:paraId="6E40F35E">
            <w:pPr>
              <w:autoSpaceDE w:val="0"/>
              <w:jc w:val="center"/>
              <w:rPr>
                <w:rFonts w:cs="Times New Roman"/>
                <w:sz w:val="21"/>
                <w:szCs w:val="21"/>
              </w:rPr>
            </w:pPr>
            <w:r>
              <w:rPr>
                <w:rFonts w:cs="Times New Roman"/>
                <w:sz w:val="21"/>
                <w:szCs w:val="21"/>
                <w:lang w:bidi="ar"/>
              </w:rPr>
              <w:drawing>
                <wp:inline distT="0" distB="0" distL="114300" distR="114300">
                  <wp:extent cx="1744345" cy="1163320"/>
                  <wp:effectExtent l="0" t="0" r="0" b="8255"/>
                  <wp:docPr id="9" name="图片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7"/>
                          <pic:cNvPicPr>
                            <a:picLocks noChangeAspect="1"/>
                          </pic:cNvPicPr>
                        </pic:nvPicPr>
                        <pic:blipFill>
                          <a:blip r:embed="rId14"/>
                          <a:srcRect l="-11207" r="-11207"/>
                          <a:stretch>
                            <a:fillRect/>
                          </a:stretch>
                        </pic:blipFill>
                        <pic:spPr>
                          <a:xfrm>
                            <a:off x="0" y="0"/>
                            <a:ext cx="1744345" cy="1163320"/>
                          </a:xfrm>
                          <a:prstGeom prst="rect">
                            <a:avLst/>
                          </a:prstGeom>
                          <a:noFill/>
                          <a:ln w="9525">
                            <a:noFill/>
                          </a:ln>
                        </pic:spPr>
                      </pic:pic>
                    </a:graphicData>
                  </a:graphic>
                </wp:inline>
              </w:drawing>
            </w:r>
          </w:p>
        </w:tc>
        <w:tc>
          <w:tcPr>
            <w:tcW w:w="0" w:type="auto"/>
            <w:tcBorders>
              <w:top w:val="nil"/>
              <w:left w:val="nil"/>
              <w:bottom w:val="nil"/>
              <w:right w:val="nil"/>
            </w:tcBorders>
            <w:shd w:val="clear" w:color="auto" w:fill="auto"/>
          </w:tcPr>
          <w:p w14:paraId="4CC55688">
            <w:pPr>
              <w:autoSpaceDE w:val="0"/>
              <w:rPr>
                <w:rFonts w:cs="Times New Roman"/>
                <w:sz w:val="21"/>
                <w:szCs w:val="21"/>
              </w:rPr>
            </w:pPr>
            <w:r>
              <w:rPr>
                <w:rFonts w:cs="Times New Roman"/>
                <w:sz w:val="21"/>
                <w:szCs w:val="21"/>
                <w:lang w:bidi="ar"/>
              </w:rPr>
              <w:drawing>
                <wp:inline distT="0" distB="0" distL="114300" distR="114300">
                  <wp:extent cx="1620520" cy="1080135"/>
                  <wp:effectExtent l="0" t="0" r="8255" b="5715"/>
                  <wp:docPr id="10" name="图片 1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8"/>
                          <pic:cNvPicPr>
                            <a:picLocks noChangeAspect="1"/>
                          </pic:cNvPicPr>
                        </pic:nvPicPr>
                        <pic:blipFill>
                          <a:blip r:embed="rId15"/>
                          <a:stretch>
                            <a:fillRect/>
                          </a:stretch>
                        </pic:blipFill>
                        <pic:spPr>
                          <a:xfrm>
                            <a:off x="0" y="0"/>
                            <a:ext cx="1620520" cy="1080135"/>
                          </a:xfrm>
                          <a:prstGeom prst="rect">
                            <a:avLst/>
                          </a:prstGeom>
                          <a:noFill/>
                          <a:ln w="9525">
                            <a:noFill/>
                          </a:ln>
                        </pic:spPr>
                      </pic:pic>
                    </a:graphicData>
                  </a:graphic>
                </wp:inline>
              </w:drawing>
            </w:r>
          </w:p>
        </w:tc>
      </w:tr>
      <w:tr w14:paraId="7173B0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0" w:type="auto"/>
            <w:tcBorders>
              <w:top w:val="nil"/>
              <w:left w:val="nil"/>
              <w:bottom w:val="nil"/>
              <w:right w:val="nil"/>
            </w:tcBorders>
            <w:shd w:val="clear" w:color="auto" w:fill="auto"/>
          </w:tcPr>
          <w:p w14:paraId="07D4A67E">
            <w:pPr>
              <w:autoSpaceDE w:val="0"/>
              <w:jc w:val="center"/>
              <w:rPr>
                <w:rFonts w:cs="Times New Roman"/>
                <w:sz w:val="21"/>
                <w:szCs w:val="21"/>
                <w:lang w:bidi="ar"/>
              </w:rPr>
            </w:pPr>
            <w:r>
              <w:rPr>
                <w:rFonts w:cs="Times New Roman"/>
                <w:sz w:val="21"/>
                <w:szCs w:val="21"/>
                <w:lang w:bidi="ar"/>
              </w:rPr>
              <w:drawing>
                <wp:inline distT="0" distB="0" distL="114300" distR="114300">
                  <wp:extent cx="1620520" cy="1080135"/>
                  <wp:effectExtent l="0" t="0" r="8255" b="5715"/>
                  <wp:docPr id="1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9"/>
                          <pic:cNvPicPr>
                            <a:picLocks noChangeAspect="1"/>
                          </pic:cNvPicPr>
                        </pic:nvPicPr>
                        <pic:blipFill>
                          <a:blip r:embed="rId16"/>
                          <a:stretch>
                            <a:fillRect/>
                          </a:stretch>
                        </pic:blipFill>
                        <pic:spPr>
                          <a:xfrm>
                            <a:off x="0" y="0"/>
                            <a:ext cx="1620520" cy="1080135"/>
                          </a:xfrm>
                          <a:prstGeom prst="rect">
                            <a:avLst/>
                          </a:prstGeom>
                          <a:noFill/>
                          <a:ln w="9525">
                            <a:noFill/>
                          </a:ln>
                        </pic:spPr>
                      </pic:pic>
                    </a:graphicData>
                  </a:graphic>
                </wp:inline>
              </w:drawing>
            </w:r>
          </w:p>
        </w:tc>
        <w:tc>
          <w:tcPr>
            <w:tcW w:w="0" w:type="auto"/>
            <w:tcBorders>
              <w:top w:val="nil"/>
              <w:left w:val="nil"/>
              <w:bottom w:val="nil"/>
              <w:right w:val="nil"/>
            </w:tcBorders>
            <w:shd w:val="clear" w:color="auto" w:fill="auto"/>
          </w:tcPr>
          <w:p w14:paraId="0403DBE9">
            <w:pPr>
              <w:autoSpaceDE w:val="0"/>
              <w:jc w:val="center"/>
              <w:rPr>
                <w:rFonts w:cs="Times New Roman"/>
                <w:sz w:val="21"/>
                <w:szCs w:val="21"/>
                <w:lang w:bidi="ar"/>
              </w:rPr>
            </w:pPr>
            <w:r>
              <w:rPr>
                <w:rFonts w:cs="Times New Roman"/>
                <w:sz w:val="21"/>
                <w:szCs w:val="21"/>
                <w:lang w:bidi="ar"/>
              </w:rPr>
              <w:drawing>
                <wp:inline distT="0" distB="0" distL="114300" distR="114300">
                  <wp:extent cx="1619885" cy="1080135"/>
                  <wp:effectExtent l="0" t="0" r="8890" b="5715"/>
                  <wp:docPr id="15" name="图片 1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60"/>
                          <pic:cNvPicPr>
                            <a:picLocks noChangeAspect="1"/>
                          </pic:cNvPicPr>
                        </pic:nvPicPr>
                        <pic:blipFill>
                          <a:blip r:embed="rId17"/>
                          <a:stretch>
                            <a:fillRect/>
                          </a:stretch>
                        </pic:blipFill>
                        <pic:spPr>
                          <a:xfrm>
                            <a:off x="0" y="0"/>
                            <a:ext cx="1619885" cy="1080135"/>
                          </a:xfrm>
                          <a:prstGeom prst="rect">
                            <a:avLst/>
                          </a:prstGeom>
                          <a:noFill/>
                          <a:ln w="9525">
                            <a:noFill/>
                          </a:ln>
                        </pic:spPr>
                      </pic:pic>
                    </a:graphicData>
                  </a:graphic>
                </wp:inline>
              </w:drawing>
            </w:r>
          </w:p>
        </w:tc>
        <w:tc>
          <w:tcPr>
            <w:tcW w:w="0" w:type="auto"/>
            <w:tcBorders>
              <w:top w:val="nil"/>
              <w:left w:val="nil"/>
              <w:bottom w:val="nil"/>
              <w:right w:val="nil"/>
            </w:tcBorders>
            <w:shd w:val="clear" w:color="auto" w:fill="auto"/>
          </w:tcPr>
          <w:p w14:paraId="23182C99">
            <w:pPr>
              <w:tabs>
                <w:tab w:val="left" w:pos="212"/>
                <w:tab w:val="center" w:pos="1762"/>
              </w:tabs>
              <w:autoSpaceDE w:val="0"/>
              <w:jc w:val="left"/>
              <w:rPr>
                <w:rFonts w:cs="Times New Roman"/>
                <w:sz w:val="21"/>
                <w:szCs w:val="21"/>
                <w:lang w:bidi="ar"/>
              </w:rPr>
            </w:pPr>
            <w:r>
              <w:rPr>
                <w:rFonts w:cs="Times New Roman"/>
                <w:sz w:val="21"/>
                <w:szCs w:val="21"/>
                <w:lang w:bidi="ar"/>
              </w:rPr>
              <w:drawing>
                <wp:inline distT="0" distB="0" distL="114300" distR="114300">
                  <wp:extent cx="1468120" cy="1144905"/>
                  <wp:effectExtent l="0" t="0" r="8255" b="7620"/>
                  <wp:docPr id="23" name="图片 23" descr="b20cff9db022f2515aff4193c1871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b20cff9db022f2515aff4193c1871a8"/>
                          <pic:cNvPicPr>
                            <a:picLocks noChangeAspect="1"/>
                          </pic:cNvPicPr>
                        </pic:nvPicPr>
                        <pic:blipFill>
                          <a:blip r:embed="rId18"/>
                          <a:stretch>
                            <a:fillRect/>
                          </a:stretch>
                        </pic:blipFill>
                        <pic:spPr>
                          <a:xfrm>
                            <a:off x="0" y="0"/>
                            <a:ext cx="1468120" cy="1144905"/>
                          </a:xfrm>
                          <a:prstGeom prst="rect">
                            <a:avLst/>
                          </a:prstGeom>
                        </pic:spPr>
                      </pic:pic>
                    </a:graphicData>
                  </a:graphic>
                </wp:inline>
              </w:drawing>
            </w:r>
          </w:p>
        </w:tc>
      </w:tr>
      <w:tr w14:paraId="765D23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3" w:hRule="atLeast"/>
          <w:jc w:val="center"/>
        </w:trPr>
        <w:tc>
          <w:tcPr>
            <w:tcW w:w="0" w:type="auto"/>
            <w:gridSpan w:val="3"/>
            <w:tcBorders>
              <w:top w:val="nil"/>
              <w:left w:val="nil"/>
              <w:bottom w:val="nil"/>
              <w:right w:val="nil"/>
            </w:tcBorders>
            <w:shd w:val="clear" w:color="auto" w:fill="auto"/>
          </w:tcPr>
          <w:p w14:paraId="7E53F7FA">
            <w:pPr>
              <w:snapToGrid w:val="0"/>
              <w:jc w:val="center"/>
              <w:rPr>
                <w:rFonts w:cs="Times New Roman"/>
                <w:b/>
                <w:bCs/>
                <w:sz w:val="21"/>
                <w:szCs w:val="21"/>
              </w:rPr>
            </w:pPr>
            <w:r>
              <w:rPr>
                <w:rFonts w:cs="Times New Roman"/>
                <w:color w:val="000000"/>
                <w:sz w:val="18"/>
                <w:szCs w:val="18"/>
              </w:rPr>
              <w:t>图6  企业特征-SHAP交互效应分析图</w:t>
            </w:r>
          </w:p>
        </w:tc>
      </w:tr>
    </w:tbl>
    <w:p w14:paraId="6E387A3D">
      <w:pPr>
        <w:ind w:firstLine="420" w:firstLineChars="200"/>
        <w:rPr>
          <w:rFonts w:cs="Times New Roman"/>
          <w:sz w:val="21"/>
          <w:szCs w:val="21"/>
          <w:lang w:bidi="ar"/>
        </w:rPr>
      </w:pPr>
      <w:r>
        <w:rPr>
          <w:rFonts w:cs="Times New Roman"/>
          <w:sz w:val="21"/>
          <w:szCs w:val="21"/>
          <w:lang w:bidi="ar"/>
        </w:rPr>
        <w:t>从图7观察到，非国有企业(蓝色点)在管理层持股比例的SHAP值上的分布范围更广，表明管理层持股比例对非国有企业的新质生产力发展的影响更为显著。股权集中度在30%-50%时，SHAP相对较高，说明股权相对集中时对企业的新质生产力发展具有促进作用；股权集中度在接近80%时，SHAP值达到最低，较高的股权集中度容易受大股东的决策影响，如果大股东过于保守或短视，则可能限制企业的创新活动，从而阻碍企业的新质生产力发展。</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61"/>
        <w:gridCol w:w="3261"/>
      </w:tblGrid>
      <w:tr w14:paraId="28C200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nil"/>
              <w:left w:val="nil"/>
              <w:bottom w:val="nil"/>
              <w:right w:val="nil"/>
            </w:tcBorders>
          </w:tcPr>
          <w:p w14:paraId="07B65E17">
            <w:pPr>
              <w:ind w:firstLine="480"/>
              <w:rPr>
                <w:rFonts w:cs="Times New Roman"/>
                <w:sz w:val="21"/>
                <w:szCs w:val="21"/>
                <w:lang w:bidi="ar"/>
              </w:rPr>
            </w:pPr>
            <w:r>
              <w:rPr>
                <w:rFonts w:cs="Times New Roman"/>
                <w:sz w:val="21"/>
                <w:szCs w:val="21"/>
                <w:lang w:bidi="ar"/>
              </w:rPr>
              <w:drawing>
                <wp:inline distT="0" distB="0" distL="114300" distR="114300">
                  <wp:extent cx="1620520" cy="1080135"/>
                  <wp:effectExtent l="0" t="0" r="8255" b="5715"/>
                  <wp:docPr id="52" name="图片 52" descr="shap_dependence_plot_Executive ownership ra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shap_dependence_plot_Executive ownership ratio"/>
                          <pic:cNvPicPr>
                            <a:picLocks noChangeAspect="1"/>
                          </pic:cNvPicPr>
                        </pic:nvPicPr>
                        <pic:blipFill>
                          <a:blip r:embed="rId19"/>
                          <a:stretch>
                            <a:fillRect/>
                          </a:stretch>
                        </pic:blipFill>
                        <pic:spPr>
                          <a:xfrm>
                            <a:off x="0" y="0"/>
                            <a:ext cx="1620520" cy="1080135"/>
                          </a:xfrm>
                          <a:prstGeom prst="rect">
                            <a:avLst/>
                          </a:prstGeom>
                        </pic:spPr>
                      </pic:pic>
                    </a:graphicData>
                  </a:graphic>
                </wp:inline>
              </w:drawing>
            </w:r>
          </w:p>
        </w:tc>
        <w:tc>
          <w:tcPr>
            <w:tcW w:w="0" w:type="auto"/>
            <w:tcBorders>
              <w:top w:val="nil"/>
              <w:left w:val="nil"/>
              <w:bottom w:val="nil"/>
              <w:right w:val="nil"/>
            </w:tcBorders>
          </w:tcPr>
          <w:p w14:paraId="7A44496E">
            <w:pPr>
              <w:ind w:firstLine="480"/>
              <w:rPr>
                <w:rFonts w:cs="Times New Roman"/>
                <w:sz w:val="21"/>
                <w:szCs w:val="21"/>
                <w:lang w:bidi="ar"/>
              </w:rPr>
            </w:pPr>
            <w:r>
              <w:rPr>
                <w:rFonts w:cs="Times New Roman"/>
                <w:sz w:val="21"/>
                <w:szCs w:val="21"/>
                <w:lang w:bidi="ar"/>
              </w:rPr>
              <w:drawing>
                <wp:inline distT="0" distB="0" distL="114300" distR="114300">
                  <wp:extent cx="1619885" cy="1080135"/>
                  <wp:effectExtent l="0" t="0" r="8890" b="5715"/>
                  <wp:docPr id="54" name="图片 54" descr="shap_dependence_plot_Ownership concen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shap_dependence_plot_Ownership concentration"/>
                          <pic:cNvPicPr>
                            <a:picLocks noChangeAspect="1"/>
                          </pic:cNvPicPr>
                        </pic:nvPicPr>
                        <pic:blipFill>
                          <a:blip r:embed="rId20"/>
                          <a:stretch>
                            <a:fillRect/>
                          </a:stretch>
                        </pic:blipFill>
                        <pic:spPr>
                          <a:xfrm>
                            <a:off x="0" y="0"/>
                            <a:ext cx="1619885" cy="1080135"/>
                          </a:xfrm>
                          <a:prstGeom prst="rect">
                            <a:avLst/>
                          </a:prstGeom>
                        </pic:spPr>
                      </pic:pic>
                    </a:graphicData>
                  </a:graphic>
                </wp:inline>
              </w:drawing>
            </w:r>
          </w:p>
        </w:tc>
      </w:tr>
      <w:tr w14:paraId="27CBD8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gridSpan w:val="2"/>
            <w:tcBorders>
              <w:top w:val="nil"/>
              <w:left w:val="nil"/>
              <w:bottom w:val="nil"/>
              <w:right w:val="nil"/>
            </w:tcBorders>
          </w:tcPr>
          <w:p w14:paraId="358E1BC3">
            <w:pPr>
              <w:snapToGrid w:val="0"/>
              <w:jc w:val="center"/>
              <w:rPr>
                <w:rFonts w:cs="Times New Roman"/>
                <w:sz w:val="21"/>
                <w:szCs w:val="21"/>
                <w:lang w:bidi="ar"/>
              </w:rPr>
            </w:pPr>
            <w:r>
              <w:rPr>
                <w:rFonts w:cs="Times New Roman"/>
                <w:color w:val="000000"/>
                <w:sz w:val="18"/>
                <w:szCs w:val="18"/>
              </w:rPr>
              <w:t>图7 治理结构-SHAP交互效应分析图</w:t>
            </w:r>
          </w:p>
        </w:tc>
      </w:tr>
    </w:tbl>
    <w:p w14:paraId="522AD291">
      <w:pPr>
        <w:ind w:firstLine="420" w:firstLineChars="200"/>
        <w:rPr>
          <w:rFonts w:cs="Times New Roman"/>
          <w:sz w:val="21"/>
          <w:szCs w:val="21"/>
          <w:lang w:bidi="ar"/>
        </w:rPr>
      </w:pPr>
      <w:r>
        <w:rPr>
          <w:rFonts w:cs="Times New Roman"/>
          <w:sz w:val="21"/>
          <w:szCs w:val="21"/>
          <w:lang w:bidi="ar"/>
        </w:rPr>
        <w:t>从图8观察到，随着高管年龄的增大，SHAP值不断提高，整体呈现正相关，而非国有企业的高管年龄普遍比国有企业的小。高管薪酬图像呈现先上升后下降的特征，说明处于高薪酬水平的高管可能没有足够动力去进行企业变革和创新，而只是过于追求稳定，不利于企业新质生产力的提升。高管的数字化背景和海外背景对模型预测的影响力相对较小，样本点也过于分散。我国企业两职合一的情况较普遍，当Duality=1时，非国有企业(蓝色点)分布范围更广，说明两职合一对非国有企业的新质生产力发展影响更为显著。</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81"/>
        <w:gridCol w:w="2781"/>
        <w:gridCol w:w="2781"/>
      </w:tblGrid>
      <w:tr w14:paraId="0593F4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62" w:hRule="atLeast"/>
          <w:jc w:val="center"/>
        </w:trPr>
        <w:tc>
          <w:tcPr>
            <w:tcW w:w="0" w:type="auto"/>
            <w:tcBorders>
              <w:top w:val="nil"/>
              <w:left w:val="nil"/>
              <w:bottom w:val="nil"/>
              <w:right w:val="nil"/>
            </w:tcBorders>
            <w:shd w:val="clear" w:color="auto" w:fill="auto"/>
          </w:tcPr>
          <w:p w14:paraId="4FDCD898">
            <w:pPr>
              <w:autoSpaceDE w:val="0"/>
              <w:jc w:val="center"/>
              <w:rPr>
                <w:rFonts w:cs="Times New Roman"/>
                <w:sz w:val="21"/>
                <w:szCs w:val="21"/>
              </w:rPr>
            </w:pPr>
            <w:r>
              <w:rPr>
                <w:rFonts w:cs="Times New Roman"/>
                <w:sz w:val="21"/>
                <w:szCs w:val="21"/>
                <w:lang w:bidi="ar"/>
              </w:rPr>
              <w:drawing>
                <wp:inline distT="0" distB="0" distL="114300" distR="114300">
                  <wp:extent cx="1619885" cy="1080135"/>
                  <wp:effectExtent l="0" t="0" r="8890" b="5715"/>
                  <wp:docPr id="18" name="图片 18" descr="shap_dependence_plot_Executive 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hap_dependence_plot_Executive age"/>
                          <pic:cNvPicPr>
                            <a:picLocks noChangeAspect="1"/>
                          </pic:cNvPicPr>
                        </pic:nvPicPr>
                        <pic:blipFill>
                          <a:blip r:embed="rId21"/>
                          <a:stretch>
                            <a:fillRect/>
                          </a:stretch>
                        </pic:blipFill>
                        <pic:spPr>
                          <a:xfrm>
                            <a:off x="0" y="0"/>
                            <a:ext cx="1619885" cy="1080135"/>
                          </a:xfrm>
                          <a:prstGeom prst="rect">
                            <a:avLst/>
                          </a:prstGeom>
                        </pic:spPr>
                      </pic:pic>
                    </a:graphicData>
                  </a:graphic>
                </wp:inline>
              </w:drawing>
            </w:r>
          </w:p>
        </w:tc>
        <w:tc>
          <w:tcPr>
            <w:tcW w:w="0" w:type="auto"/>
            <w:tcBorders>
              <w:top w:val="nil"/>
              <w:left w:val="nil"/>
              <w:bottom w:val="nil"/>
              <w:right w:val="nil"/>
            </w:tcBorders>
            <w:shd w:val="clear" w:color="auto" w:fill="auto"/>
          </w:tcPr>
          <w:p w14:paraId="666E29D7">
            <w:pPr>
              <w:autoSpaceDE w:val="0"/>
              <w:jc w:val="center"/>
              <w:rPr>
                <w:rFonts w:cs="Times New Roman"/>
                <w:sz w:val="21"/>
                <w:szCs w:val="21"/>
              </w:rPr>
            </w:pPr>
            <w:r>
              <w:rPr>
                <w:rFonts w:cs="Times New Roman"/>
                <w:sz w:val="21"/>
                <w:szCs w:val="21"/>
                <w:lang w:bidi="ar"/>
              </w:rPr>
              <w:drawing>
                <wp:inline distT="0" distB="0" distL="114300" distR="114300">
                  <wp:extent cx="1619885" cy="1080135"/>
                  <wp:effectExtent l="0" t="0" r="8890" b="5715"/>
                  <wp:docPr id="19" name="图片 19" descr="shap_dependence_plot_Executive compen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hap_dependence_plot_Executive compensation"/>
                          <pic:cNvPicPr>
                            <a:picLocks noChangeAspect="1"/>
                          </pic:cNvPicPr>
                        </pic:nvPicPr>
                        <pic:blipFill>
                          <a:blip r:embed="rId22"/>
                          <a:stretch>
                            <a:fillRect/>
                          </a:stretch>
                        </pic:blipFill>
                        <pic:spPr>
                          <a:xfrm>
                            <a:off x="0" y="0"/>
                            <a:ext cx="1619885" cy="1080135"/>
                          </a:xfrm>
                          <a:prstGeom prst="rect">
                            <a:avLst/>
                          </a:prstGeom>
                        </pic:spPr>
                      </pic:pic>
                    </a:graphicData>
                  </a:graphic>
                </wp:inline>
              </w:drawing>
            </w:r>
          </w:p>
        </w:tc>
        <w:tc>
          <w:tcPr>
            <w:tcW w:w="0" w:type="auto"/>
            <w:tcBorders>
              <w:top w:val="nil"/>
              <w:left w:val="nil"/>
              <w:bottom w:val="nil"/>
              <w:right w:val="nil"/>
            </w:tcBorders>
            <w:shd w:val="clear" w:color="auto" w:fill="auto"/>
          </w:tcPr>
          <w:p w14:paraId="2B480927">
            <w:pPr>
              <w:autoSpaceDE w:val="0"/>
              <w:rPr>
                <w:rFonts w:cs="Times New Roman"/>
                <w:sz w:val="21"/>
                <w:szCs w:val="21"/>
              </w:rPr>
            </w:pPr>
            <w:r>
              <w:rPr>
                <w:rFonts w:cs="Times New Roman"/>
                <w:sz w:val="21"/>
                <w:szCs w:val="21"/>
                <w:lang w:bidi="ar"/>
              </w:rPr>
              <w:drawing>
                <wp:inline distT="0" distB="0" distL="114300" distR="114300">
                  <wp:extent cx="1619885" cy="1080135"/>
                  <wp:effectExtent l="0" t="0" r="8890" b="5715"/>
                  <wp:docPr id="20" name="图片 20" descr="shap_dependence_plot_Executive with digital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hap_dependence_plot_Executive with digital background"/>
                          <pic:cNvPicPr>
                            <a:picLocks noChangeAspect="1"/>
                          </pic:cNvPicPr>
                        </pic:nvPicPr>
                        <pic:blipFill>
                          <a:blip r:embed="rId23"/>
                          <a:stretch>
                            <a:fillRect/>
                          </a:stretch>
                        </pic:blipFill>
                        <pic:spPr>
                          <a:xfrm>
                            <a:off x="0" y="0"/>
                            <a:ext cx="1619885" cy="1080135"/>
                          </a:xfrm>
                          <a:prstGeom prst="rect">
                            <a:avLst/>
                          </a:prstGeom>
                        </pic:spPr>
                      </pic:pic>
                    </a:graphicData>
                  </a:graphic>
                </wp:inline>
              </w:drawing>
            </w:r>
          </w:p>
        </w:tc>
      </w:tr>
      <w:tr w14:paraId="6A683F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9" w:hRule="atLeast"/>
          <w:jc w:val="center"/>
        </w:trPr>
        <w:tc>
          <w:tcPr>
            <w:tcW w:w="0" w:type="auto"/>
            <w:gridSpan w:val="3"/>
            <w:tcBorders>
              <w:top w:val="nil"/>
              <w:left w:val="nil"/>
              <w:bottom w:val="nil"/>
              <w:right w:val="nil"/>
            </w:tcBorders>
            <w:shd w:val="clear" w:color="auto" w:fill="auto"/>
          </w:tcPr>
          <w:p w14:paraId="180A9E51">
            <w:pPr>
              <w:autoSpaceDE w:val="0"/>
              <w:jc w:val="center"/>
              <w:rPr>
                <w:rFonts w:cs="Times New Roman"/>
                <w:sz w:val="21"/>
                <w:szCs w:val="21"/>
                <w:lang w:bidi="ar"/>
              </w:rPr>
            </w:pPr>
            <w:r>
              <w:rPr>
                <w:rFonts w:cs="Times New Roman"/>
                <w:sz w:val="21"/>
                <w:szCs w:val="21"/>
                <w:lang w:bidi="ar"/>
              </w:rPr>
              <w:drawing>
                <wp:inline distT="0" distB="0" distL="114300" distR="114300">
                  <wp:extent cx="1619885" cy="1080135"/>
                  <wp:effectExtent l="0" t="0" r="8890" b="5715"/>
                  <wp:docPr id="21" name="图片 21" descr="shap_dependence_plot_Executives with overseas backgrou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hap_dependence_plot_Executives with overseas backgrounds"/>
                          <pic:cNvPicPr>
                            <a:picLocks noChangeAspect="1"/>
                          </pic:cNvPicPr>
                        </pic:nvPicPr>
                        <pic:blipFill>
                          <a:blip r:embed="rId24"/>
                          <a:stretch>
                            <a:fillRect/>
                          </a:stretch>
                        </pic:blipFill>
                        <pic:spPr>
                          <a:xfrm>
                            <a:off x="0" y="0"/>
                            <a:ext cx="1619885" cy="1080135"/>
                          </a:xfrm>
                          <a:prstGeom prst="rect">
                            <a:avLst/>
                          </a:prstGeom>
                        </pic:spPr>
                      </pic:pic>
                    </a:graphicData>
                  </a:graphic>
                </wp:inline>
              </w:drawing>
            </w:r>
            <w:r>
              <w:rPr>
                <w:rFonts w:cs="Times New Roman"/>
                <w:sz w:val="21"/>
                <w:szCs w:val="21"/>
                <w:lang w:bidi="ar"/>
              </w:rPr>
              <w:drawing>
                <wp:inline distT="0" distB="0" distL="114300" distR="114300">
                  <wp:extent cx="1619885" cy="1080135"/>
                  <wp:effectExtent l="0" t="0" r="8890" b="5715"/>
                  <wp:docPr id="61" name="图片 61" descr="shap_dependence_plot_D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shap_dependence_plot_Duality"/>
                          <pic:cNvPicPr>
                            <a:picLocks noChangeAspect="1"/>
                          </pic:cNvPicPr>
                        </pic:nvPicPr>
                        <pic:blipFill>
                          <a:blip r:embed="rId25"/>
                          <a:stretch>
                            <a:fillRect/>
                          </a:stretch>
                        </pic:blipFill>
                        <pic:spPr>
                          <a:xfrm>
                            <a:off x="0" y="0"/>
                            <a:ext cx="1619885" cy="1080135"/>
                          </a:xfrm>
                          <a:prstGeom prst="rect">
                            <a:avLst/>
                          </a:prstGeom>
                        </pic:spPr>
                      </pic:pic>
                    </a:graphicData>
                  </a:graphic>
                </wp:inline>
              </w:drawing>
            </w:r>
          </w:p>
        </w:tc>
      </w:tr>
      <w:tr w14:paraId="4BE2CD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0" w:type="auto"/>
            <w:gridSpan w:val="3"/>
            <w:tcBorders>
              <w:top w:val="nil"/>
              <w:left w:val="nil"/>
              <w:bottom w:val="nil"/>
              <w:right w:val="nil"/>
            </w:tcBorders>
            <w:shd w:val="clear" w:color="auto" w:fill="auto"/>
          </w:tcPr>
          <w:p w14:paraId="3C5CB6EF">
            <w:pPr>
              <w:snapToGrid w:val="0"/>
              <w:jc w:val="center"/>
              <w:rPr>
                <w:rFonts w:cs="Times New Roman"/>
                <w:b/>
                <w:bCs/>
                <w:sz w:val="21"/>
                <w:szCs w:val="21"/>
              </w:rPr>
            </w:pPr>
            <w:r>
              <w:rPr>
                <w:rFonts w:cs="Times New Roman"/>
                <w:b/>
                <w:bCs/>
                <w:sz w:val="21"/>
                <w:szCs w:val="21"/>
                <w:lang w:bidi="ar"/>
              </w:rPr>
              <w:t xml:space="preserve"> </w:t>
            </w:r>
            <w:r>
              <w:rPr>
                <w:rFonts w:cs="Times New Roman"/>
                <w:color w:val="000000"/>
                <w:sz w:val="18"/>
                <w:szCs w:val="18"/>
              </w:rPr>
              <w:t>图8  高管能力交互效应分析图</w:t>
            </w:r>
          </w:p>
        </w:tc>
      </w:tr>
    </w:tbl>
    <w:p w14:paraId="56EB2B69">
      <w:pPr>
        <w:ind w:firstLine="420" w:firstLineChars="200"/>
        <w:rPr>
          <w:rFonts w:cs="Times New Roman"/>
          <w:sz w:val="21"/>
          <w:szCs w:val="21"/>
          <w:highlight w:val="yellow"/>
          <w:lang w:bidi="ar"/>
        </w:rPr>
      </w:pPr>
      <w:r>
        <w:rPr>
          <w:rFonts w:cs="Times New Roman"/>
          <w:sz w:val="21"/>
          <w:szCs w:val="21"/>
          <w:lang w:bidi="ar"/>
        </w:rPr>
        <w:t>从图9观察到，ESG环境评级与绿色创新水平表现出与SHAP值整体正相关的趋势，说明企业的绿色发展对企业新质生产力发展起到促进作用。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81"/>
        <w:gridCol w:w="2781"/>
      </w:tblGrid>
      <w:tr w14:paraId="486AB0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nil"/>
              <w:left w:val="nil"/>
              <w:bottom w:val="nil"/>
              <w:right w:val="nil"/>
            </w:tcBorders>
          </w:tcPr>
          <w:p w14:paraId="16ED4193">
            <w:pPr>
              <w:rPr>
                <w:rFonts w:cs="Times New Roman"/>
                <w:sz w:val="21"/>
                <w:szCs w:val="21"/>
                <w:lang w:bidi="ar"/>
              </w:rPr>
            </w:pPr>
            <w:r>
              <w:rPr>
                <w:rFonts w:cs="Times New Roman"/>
                <w:sz w:val="21"/>
                <w:szCs w:val="21"/>
                <w:lang w:bidi="ar"/>
              </w:rPr>
              <w:drawing>
                <wp:inline distT="0" distB="0" distL="114300" distR="114300">
                  <wp:extent cx="1619885" cy="1080135"/>
                  <wp:effectExtent l="0" t="0" r="8890" b="5715"/>
                  <wp:docPr id="11" name="图片 11" descr="shap_dependence_plot_ESG ra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hap_dependence_plot_ESG rating"/>
                          <pic:cNvPicPr>
                            <a:picLocks noChangeAspect="1"/>
                          </pic:cNvPicPr>
                        </pic:nvPicPr>
                        <pic:blipFill>
                          <a:blip r:embed="rId26"/>
                          <a:stretch>
                            <a:fillRect/>
                          </a:stretch>
                        </pic:blipFill>
                        <pic:spPr>
                          <a:xfrm>
                            <a:off x="0" y="0"/>
                            <a:ext cx="1619885" cy="1080135"/>
                          </a:xfrm>
                          <a:prstGeom prst="rect">
                            <a:avLst/>
                          </a:prstGeom>
                        </pic:spPr>
                      </pic:pic>
                    </a:graphicData>
                  </a:graphic>
                </wp:inline>
              </w:drawing>
            </w:r>
          </w:p>
        </w:tc>
        <w:tc>
          <w:tcPr>
            <w:tcW w:w="0" w:type="auto"/>
            <w:tcBorders>
              <w:top w:val="nil"/>
              <w:left w:val="nil"/>
              <w:bottom w:val="nil"/>
              <w:right w:val="nil"/>
            </w:tcBorders>
          </w:tcPr>
          <w:p w14:paraId="26F9637E">
            <w:pPr>
              <w:rPr>
                <w:rFonts w:cs="Times New Roman"/>
                <w:sz w:val="21"/>
                <w:szCs w:val="21"/>
                <w:lang w:bidi="ar"/>
              </w:rPr>
            </w:pPr>
            <w:r>
              <w:rPr>
                <w:rFonts w:cs="Times New Roman"/>
                <w:sz w:val="21"/>
                <w:szCs w:val="21"/>
                <w:lang w:bidi="ar"/>
              </w:rPr>
              <w:drawing>
                <wp:inline distT="0" distB="0" distL="114300" distR="114300">
                  <wp:extent cx="1619885" cy="1080135"/>
                  <wp:effectExtent l="0" t="0" r="8890" b="5715"/>
                  <wp:docPr id="12" name="图片 12" descr="shap_dependence_plot_Green innovation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hap_dependence_plot_Green innovation level"/>
                          <pic:cNvPicPr>
                            <a:picLocks noChangeAspect="1"/>
                          </pic:cNvPicPr>
                        </pic:nvPicPr>
                        <pic:blipFill>
                          <a:blip r:embed="rId27"/>
                          <a:stretch>
                            <a:fillRect/>
                          </a:stretch>
                        </pic:blipFill>
                        <pic:spPr>
                          <a:xfrm>
                            <a:off x="0" y="0"/>
                            <a:ext cx="1619885" cy="1080135"/>
                          </a:xfrm>
                          <a:prstGeom prst="rect">
                            <a:avLst/>
                          </a:prstGeom>
                        </pic:spPr>
                      </pic:pic>
                    </a:graphicData>
                  </a:graphic>
                </wp:inline>
              </w:drawing>
            </w:r>
          </w:p>
        </w:tc>
      </w:tr>
      <w:tr w14:paraId="5F5B4A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 w:hRule="atLeast"/>
          <w:jc w:val="center"/>
        </w:trPr>
        <w:tc>
          <w:tcPr>
            <w:tcW w:w="0" w:type="auto"/>
            <w:gridSpan w:val="2"/>
            <w:tcBorders>
              <w:top w:val="nil"/>
              <w:left w:val="nil"/>
              <w:bottom w:val="nil"/>
              <w:right w:val="nil"/>
            </w:tcBorders>
          </w:tcPr>
          <w:p w14:paraId="3FFCC696">
            <w:pPr>
              <w:ind w:firstLine="482"/>
              <w:jc w:val="center"/>
              <w:rPr>
                <w:rFonts w:cs="Times New Roman"/>
                <w:sz w:val="21"/>
                <w:szCs w:val="21"/>
                <w:lang w:bidi="ar"/>
              </w:rPr>
            </w:pPr>
            <w:r>
              <w:rPr>
                <w:rFonts w:cs="Times New Roman"/>
                <w:color w:val="000000"/>
                <w:sz w:val="18"/>
                <w:szCs w:val="18"/>
              </w:rPr>
              <w:t>图9  绿色发展交互效应分析图</w:t>
            </w:r>
          </w:p>
        </w:tc>
      </w:tr>
    </w:tbl>
    <w:p w14:paraId="4C42FA95">
      <w:pPr>
        <w:ind w:firstLine="420" w:firstLineChars="200"/>
        <w:rPr>
          <w:rFonts w:cs="Times New Roman"/>
          <w:sz w:val="21"/>
          <w:szCs w:val="21"/>
          <w:lang w:bidi="ar"/>
        </w:rPr>
      </w:pPr>
      <w:r>
        <w:rPr>
          <w:rFonts w:cs="Times New Roman"/>
          <w:sz w:val="21"/>
          <w:szCs w:val="21"/>
          <w:lang w:bidi="ar"/>
        </w:rPr>
        <w:t>从图10观察到，非国有企业的碳排放量相较于国有企业较小且集中，随碳排放量的变化不明显，而国有企业的SHAP值随着碳排放量的增加而减少。企业的污染物排放量图像表现出先上升后趋向不变的趋势，说明污染物排放量小的企业可能处于技术发展的初级阶段，而排放量较大的企业可能已经经过了技术积累，随着规模扩大和生产活动的增加，污染物排放量可能会较高，但同时也达到了较高的生产力发展水平。</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36"/>
        <w:gridCol w:w="2841"/>
      </w:tblGrid>
      <w:tr w14:paraId="6A808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tcBorders>
              <w:top w:val="nil"/>
              <w:left w:val="nil"/>
              <w:bottom w:val="nil"/>
              <w:right w:val="nil"/>
            </w:tcBorders>
          </w:tcPr>
          <w:p w14:paraId="40940ECE">
            <w:pPr>
              <w:rPr>
                <w:rFonts w:cs="Times New Roman"/>
                <w:sz w:val="21"/>
                <w:szCs w:val="21"/>
                <w:lang w:bidi="ar"/>
              </w:rPr>
            </w:pPr>
            <w:r>
              <w:rPr>
                <w:rFonts w:cs="Times New Roman"/>
                <w:sz w:val="21"/>
                <w:szCs w:val="21"/>
                <w:lang w:bidi="ar"/>
              </w:rPr>
              <w:drawing>
                <wp:inline distT="0" distB="0" distL="114300" distR="114300">
                  <wp:extent cx="1786255" cy="1191260"/>
                  <wp:effectExtent l="0" t="0" r="4445" b="8890"/>
                  <wp:docPr id="64" name="图片 64" descr="shap_dependence_plot_Carbon e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shap_dependence_plot_Carbon emission"/>
                          <pic:cNvPicPr>
                            <a:picLocks noChangeAspect="1"/>
                          </pic:cNvPicPr>
                        </pic:nvPicPr>
                        <pic:blipFill>
                          <a:blip r:embed="rId28"/>
                          <a:stretch>
                            <a:fillRect/>
                          </a:stretch>
                        </pic:blipFill>
                        <pic:spPr>
                          <a:xfrm>
                            <a:off x="0" y="0"/>
                            <a:ext cx="1786255" cy="1191260"/>
                          </a:xfrm>
                          <a:prstGeom prst="rect">
                            <a:avLst/>
                          </a:prstGeom>
                        </pic:spPr>
                      </pic:pic>
                    </a:graphicData>
                  </a:graphic>
                </wp:inline>
              </w:drawing>
            </w:r>
          </w:p>
        </w:tc>
        <w:tc>
          <w:tcPr>
            <w:tcW w:w="0" w:type="auto"/>
            <w:tcBorders>
              <w:top w:val="nil"/>
              <w:left w:val="nil"/>
              <w:bottom w:val="nil"/>
              <w:right w:val="nil"/>
            </w:tcBorders>
          </w:tcPr>
          <w:p w14:paraId="0B08C52A">
            <w:pPr>
              <w:rPr>
                <w:rFonts w:cs="Times New Roman"/>
                <w:sz w:val="21"/>
                <w:szCs w:val="21"/>
                <w:lang w:bidi="ar"/>
              </w:rPr>
            </w:pPr>
            <w:r>
              <w:rPr>
                <w:rFonts w:cs="Times New Roman"/>
                <w:sz w:val="21"/>
                <w:szCs w:val="21"/>
                <w:lang w:bidi="ar"/>
              </w:rPr>
              <w:drawing>
                <wp:inline distT="0" distB="0" distL="114300" distR="114300">
                  <wp:extent cx="1660525" cy="1107440"/>
                  <wp:effectExtent l="0" t="0" r="6350" b="6985"/>
                  <wp:docPr id="13" name="图片 13" descr="shap_dependence_plot_Pollutant disch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hap_dependence_plot_Pollutant discharge"/>
                          <pic:cNvPicPr>
                            <a:picLocks noChangeAspect="1"/>
                          </pic:cNvPicPr>
                        </pic:nvPicPr>
                        <pic:blipFill>
                          <a:blip r:embed="rId29"/>
                          <a:stretch>
                            <a:fillRect/>
                          </a:stretch>
                        </pic:blipFill>
                        <pic:spPr>
                          <a:xfrm>
                            <a:off x="0" y="0"/>
                            <a:ext cx="1660525" cy="1107440"/>
                          </a:xfrm>
                          <a:prstGeom prst="rect">
                            <a:avLst/>
                          </a:prstGeom>
                        </pic:spPr>
                      </pic:pic>
                    </a:graphicData>
                  </a:graphic>
                </wp:inline>
              </w:drawing>
            </w:r>
          </w:p>
        </w:tc>
      </w:tr>
      <w:tr w14:paraId="408BA3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gridSpan w:val="2"/>
            <w:tcBorders>
              <w:top w:val="nil"/>
              <w:left w:val="nil"/>
              <w:bottom w:val="nil"/>
              <w:right w:val="nil"/>
            </w:tcBorders>
          </w:tcPr>
          <w:p w14:paraId="5F790397">
            <w:pPr>
              <w:ind w:firstLine="482"/>
              <w:jc w:val="center"/>
              <w:rPr>
                <w:rFonts w:cs="Times New Roman"/>
                <w:sz w:val="21"/>
                <w:szCs w:val="21"/>
                <w:lang w:bidi="ar"/>
              </w:rPr>
            </w:pPr>
            <w:r>
              <w:rPr>
                <w:rFonts w:cs="Times New Roman"/>
                <w:color w:val="000000"/>
                <w:sz w:val="18"/>
                <w:szCs w:val="18"/>
              </w:rPr>
              <w:t>图10  环境保护交互效应分析图</w:t>
            </w:r>
          </w:p>
        </w:tc>
      </w:tr>
    </w:tbl>
    <w:p w14:paraId="4801CD13">
      <w:pPr>
        <w:adjustRightInd w:val="0"/>
        <w:snapToGrid w:val="0"/>
        <w:outlineLvl w:val="0"/>
        <w:rPr>
          <w:rFonts w:eastAsia="黑体" w:cs="Times New Roman"/>
          <w:b/>
          <w:sz w:val="28"/>
          <w:szCs w:val="28"/>
        </w:rPr>
      </w:pPr>
    </w:p>
    <w:p w14:paraId="0825260D">
      <w:pPr>
        <w:adjustRightInd w:val="0"/>
        <w:snapToGrid w:val="0"/>
        <w:outlineLvl w:val="0"/>
        <w:rPr>
          <w:rFonts w:eastAsia="黑体" w:cs="Times New Roman"/>
          <w:b/>
          <w:sz w:val="28"/>
          <w:szCs w:val="28"/>
        </w:rPr>
      </w:pPr>
      <w:r>
        <w:rPr>
          <w:rFonts w:eastAsia="黑体" w:cs="Times New Roman"/>
          <w:b/>
          <w:sz w:val="28"/>
          <w:szCs w:val="28"/>
        </w:rPr>
        <w:t>6 稳健性检验</w:t>
      </w:r>
    </w:p>
    <w:p w14:paraId="14317387">
      <w:pPr>
        <w:pStyle w:val="4"/>
        <w:spacing w:before="0" w:after="0" w:line="240" w:lineRule="auto"/>
        <w:rPr>
          <w:rFonts w:cs="Times New Roman"/>
          <w:sz w:val="21"/>
          <w:szCs w:val="21"/>
        </w:rPr>
      </w:pPr>
      <w:r>
        <w:rPr>
          <w:rFonts w:cs="Times New Roman"/>
          <w:sz w:val="21"/>
          <w:szCs w:val="21"/>
        </w:rPr>
        <w:t>6.1 对样本进行多次随机划分</w:t>
      </w:r>
    </w:p>
    <w:p w14:paraId="4829BB5D">
      <w:pPr>
        <w:ind w:firstLine="420" w:firstLineChars="200"/>
        <w:rPr>
          <w:rFonts w:cs="Times New Roman"/>
          <w:sz w:val="21"/>
          <w:szCs w:val="21"/>
          <w:lang w:bidi="ar"/>
        </w:rPr>
      </w:pPr>
      <w:r>
        <w:rPr>
          <w:rFonts w:cs="Times New Roman"/>
          <w:sz w:val="21"/>
          <w:szCs w:val="21"/>
          <w:lang w:bidi="ar"/>
        </w:rPr>
        <w:t>由于前文实验中仅对数据样本做了一次随机划分，其带来的随机性也对结论的稳健性产生影响。因此，本文对全体数据样本进行20次等比例随机划分来消除样本随机性所带来的干扰，各模型的测试结果数据如表4所示。从测试结果对比来看，SVM-RF的预测效果仍然最好，各项指标均较高，另外其他各类集成学习模型的精度也都高于逻辑回归模型，进一步说明了本文结论的稳健性。</w:t>
      </w:r>
    </w:p>
    <w:p w14:paraId="0405B6E8">
      <w:pPr>
        <w:ind w:firstLine="480"/>
        <w:jc w:val="center"/>
        <w:rPr>
          <w:rFonts w:cs="Times New Roman"/>
          <w:sz w:val="18"/>
          <w:szCs w:val="18"/>
          <w:lang w:bidi="ar"/>
        </w:rPr>
      </w:pPr>
      <w:r>
        <w:rPr>
          <w:rFonts w:cs="Times New Roman"/>
          <w:sz w:val="18"/>
          <w:szCs w:val="18"/>
          <w:lang w:bidi="ar"/>
        </w:rPr>
        <w:t>表4 各模型的评价指标结果(基于20次随机划分)</w:t>
      </w:r>
    </w:p>
    <w:tbl>
      <w:tblPr>
        <w:tblStyle w:val="11"/>
        <w:tblW w:w="4998" w:type="pct"/>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25"/>
        <w:gridCol w:w="854"/>
        <w:gridCol w:w="910"/>
        <w:gridCol w:w="854"/>
        <w:gridCol w:w="910"/>
        <w:gridCol w:w="854"/>
        <w:gridCol w:w="910"/>
        <w:gridCol w:w="854"/>
        <w:gridCol w:w="913"/>
        <w:gridCol w:w="855"/>
        <w:gridCol w:w="913"/>
      </w:tblGrid>
      <w:tr w14:paraId="23F9404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565" w:type="pct"/>
            <w:vMerge w:val="restart"/>
            <w:vAlign w:val="center"/>
          </w:tcPr>
          <w:p w14:paraId="6A4686C5">
            <w:pPr>
              <w:jc w:val="center"/>
              <w:rPr>
                <w:rFonts w:cs="Times New Roman" w:eastAsiaTheme="minorEastAsia"/>
                <w:sz w:val="18"/>
                <w:szCs w:val="18"/>
                <w:lang w:bidi="ar"/>
              </w:rPr>
            </w:pPr>
            <w:r>
              <w:rPr>
                <w:rFonts w:cs="Times New Roman" w:eastAsiaTheme="minorEastAsia"/>
                <w:sz w:val="18"/>
                <w:szCs w:val="18"/>
                <w:lang w:bidi="ar"/>
              </w:rPr>
              <w:t>模型名称</w:t>
            </w:r>
          </w:p>
        </w:tc>
        <w:tc>
          <w:tcPr>
            <w:tcW w:w="886" w:type="pct"/>
            <w:gridSpan w:val="2"/>
            <w:vAlign w:val="center"/>
          </w:tcPr>
          <w:p w14:paraId="2EAD1F04">
            <w:pPr>
              <w:jc w:val="center"/>
              <w:rPr>
                <w:rFonts w:cs="Times New Roman" w:eastAsiaTheme="minorEastAsia"/>
                <w:sz w:val="18"/>
                <w:szCs w:val="18"/>
                <w:lang w:bidi="ar"/>
              </w:rPr>
            </w:pPr>
            <w:r>
              <w:rPr>
                <w:rFonts w:cs="Times New Roman" w:eastAsiaTheme="minorEastAsia"/>
                <w:sz w:val="18"/>
                <w:szCs w:val="18"/>
                <w:lang w:bidi="ar"/>
              </w:rPr>
              <w:t>Accuracy</w:t>
            </w:r>
          </w:p>
        </w:tc>
        <w:tc>
          <w:tcPr>
            <w:tcW w:w="886" w:type="pct"/>
            <w:gridSpan w:val="2"/>
            <w:vAlign w:val="center"/>
          </w:tcPr>
          <w:p w14:paraId="428BA210">
            <w:pPr>
              <w:jc w:val="center"/>
              <w:rPr>
                <w:rFonts w:cs="Times New Roman" w:eastAsiaTheme="minorEastAsia"/>
                <w:sz w:val="18"/>
                <w:szCs w:val="18"/>
                <w:lang w:bidi="ar"/>
              </w:rPr>
            </w:pPr>
            <w:r>
              <w:rPr>
                <w:rFonts w:cs="Times New Roman" w:eastAsiaTheme="minorEastAsia"/>
                <w:sz w:val="18"/>
                <w:szCs w:val="18"/>
                <w:lang w:bidi="ar"/>
              </w:rPr>
              <w:t>Precision</w:t>
            </w:r>
          </w:p>
        </w:tc>
        <w:tc>
          <w:tcPr>
            <w:tcW w:w="886" w:type="pct"/>
            <w:gridSpan w:val="2"/>
            <w:vAlign w:val="center"/>
          </w:tcPr>
          <w:p w14:paraId="01D50FD7">
            <w:pPr>
              <w:jc w:val="center"/>
              <w:rPr>
                <w:rFonts w:cs="Times New Roman" w:eastAsiaTheme="minorEastAsia"/>
                <w:sz w:val="18"/>
                <w:szCs w:val="18"/>
                <w:lang w:bidi="ar"/>
              </w:rPr>
            </w:pPr>
            <w:r>
              <w:rPr>
                <w:rFonts w:cs="Times New Roman" w:eastAsiaTheme="minorEastAsia"/>
                <w:sz w:val="18"/>
                <w:szCs w:val="18"/>
                <w:lang w:bidi="ar"/>
              </w:rPr>
              <w:t>Recall</w:t>
            </w:r>
          </w:p>
        </w:tc>
        <w:tc>
          <w:tcPr>
            <w:tcW w:w="887" w:type="pct"/>
            <w:gridSpan w:val="2"/>
            <w:vAlign w:val="center"/>
          </w:tcPr>
          <w:p w14:paraId="65CD5E48">
            <w:pPr>
              <w:jc w:val="center"/>
              <w:rPr>
                <w:rFonts w:cs="Times New Roman" w:eastAsiaTheme="minorEastAsia"/>
                <w:sz w:val="18"/>
                <w:szCs w:val="18"/>
                <w:lang w:bidi="ar"/>
              </w:rPr>
            </w:pPr>
            <w:r>
              <w:rPr>
                <w:rFonts w:cs="Times New Roman" w:eastAsiaTheme="minorEastAsia"/>
                <w:sz w:val="18"/>
                <w:szCs w:val="18"/>
                <w:lang w:bidi="ar"/>
              </w:rPr>
              <w:t>F1-score</w:t>
            </w:r>
          </w:p>
        </w:tc>
        <w:tc>
          <w:tcPr>
            <w:tcW w:w="887" w:type="pct"/>
            <w:gridSpan w:val="2"/>
            <w:vAlign w:val="center"/>
          </w:tcPr>
          <w:p w14:paraId="12A6CC53">
            <w:pPr>
              <w:jc w:val="center"/>
              <w:rPr>
                <w:rFonts w:cs="Times New Roman" w:eastAsiaTheme="minorEastAsia"/>
                <w:sz w:val="18"/>
                <w:szCs w:val="18"/>
                <w:lang w:bidi="ar"/>
              </w:rPr>
            </w:pPr>
            <w:r>
              <w:rPr>
                <w:rFonts w:cs="Times New Roman" w:eastAsiaTheme="minorEastAsia"/>
                <w:sz w:val="18"/>
                <w:szCs w:val="18"/>
                <w:lang w:bidi="ar"/>
              </w:rPr>
              <w:t>AUC</w:t>
            </w:r>
          </w:p>
        </w:tc>
      </w:tr>
      <w:tr w14:paraId="70448D0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565" w:type="pct"/>
            <w:vMerge w:val="continue"/>
            <w:tcBorders>
              <w:bottom w:val="single" w:color="auto" w:sz="8" w:space="0"/>
            </w:tcBorders>
            <w:vAlign w:val="center"/>
          </w:tcPr>
          <w:p w14:paraId="2C24B3FF">
            <w:pPr>
              <w:jc w:val="center"/>
              <w:rPr>
                <w:rFonts w:cs="Times New Roman" w:eastAsiaTheme="minorEastAsia"/>
                <w:sz w:val="18"/>
                <w:szCs w:val="18"/>
                <w:lang w:bidi="ar"/>
              </w:rPr>
            </w:pPr>
          </w:p>
        </w:tc>
        <w:tc>
          <w:tcPr>
            <w:tcW w:w="429" w:type="pct"/>
            <w:tcBorders>
              <w:bottom w:val="single" w:color="auto" w:sz="8" w:space="0"/>
            </w:tcBorders>
            <w:vAlign w:val="center"/>
          </w:tcPr>
          <w:p w14:paraId="171A184E">
            <w:pPr>
              <w:jc w:val="center"/>
              <w:rPr>
                <w:rFonts w:cs="Times New Roman" w:eastAsiaTheme="minorEastAsia"/>
                <w:sz w:val="18"/>
                <w:szCs w:val="18"/>
                <w:lang w:bidi="ar"/>
              </w:rPr>
            </w:pPr>
            <w:r>
              <w:rPr>
                <w:rFonts w:cs="Times New Roman" w:eastAsiaTheme="minorEastAsia"/>
                <w:sz w:val="18"/>
                <w:szCs w:val="18"/>
                <w:lang w:bidi="ar"/>
              </w:rPr>
              <w:t>均值</w:t>
            </w:r>
          </w:p>
        </w:tc>
        <w:tc>
          <w:tcPr>
            <w:tcW w:w="457" w:type="pct"/>
            <w:tcBorders>
              <w:bottom w:val="single" w:color="auto" w:sz="8" w:space="0"/>
            </w:tcBorders>
            <w:vAlign w:val="center"/>
          </w:tcPr>
          <w:p w14:paraId="5F231391">
            <w:pPr>
              <w:jc w:val="center"/>
              <w:rPr>
                <w:rFonts w:cs="Times New Roman" w:eastAsiaTheme="minorEastAsia"/>
                <w:sz w:val="18"/>
                <w:szCs w:val="18"/>
                <w:lang w:bidi="ar"/>
              </w:rPr>
            </w:pPr>
            <w:r>
              <w:rPr>
                <w:rFonts w:cs="Times New Roman" w:eastAsiaTheme="minorEastAsia"/>
                <w:sz w:val="18"/>
                <w:szCs w:val="18"/>
                <w:lang w:bidi="ar"/>
              </w:rPr>
              <w:t>标准差</w:t>
            </w:r>
          </w:p>
        </w:tc>
        <w:tc>
          <w:tcPr>
            <w:tcW w:w="429" w:type="pct"/>
            <w:tcBorders>
              <w:bottom w:val="single" w:color="auto" w:sz="8" w:space="0"/>
            </w:tcBorders>
            <w:vAlign w:val="center"/>
          </w:tcPr>
          <w:p w14:paraId="5FB29A75">
            <w:pPr>
              <w:jc w:val="center"/>
              <w:rPr>
                <w:rFonts w:cs="Times New Roman" w:eastAsiaTheme="minorEastAsia"/>
                <w:sz w:val="18"/>
                <w:szCs w:val="18"/>
                <w:lang w:bidi="ar"/>
              </w:rPr>
            </w:pPr>
            <w:r>
              <w:rPr>
                <w:rFonts w:cs="Times New Roman" w:eastAsiaTheme="minorEastAsia"/>
                <w:sz w:val="18"/>
                <w:szCs w:val="18"/>
                <w:lang w:bidi="ar"/>
              </w:rPr>
              <w:t>均值</w:t>
            </w:r>
          </w:p>
        </w:tc>
        <w:tc>
          <w:tcPr>
            <w:tcW w:w="457" w:type="pct"/>
            <w:tcBorders>
              <w:bottom w:val="single" w:color="auto" w:sz="8" w:space="0"/>
            </w:tcBorders>
            <w:vAlign w:val="center"/>
          </w:tcPr>
          <w:p w14:paraId="61DC7336">
            <w:pPr>
              <w:jc w:val="center"/>
              <w:rPr>
                <w:rFonts w:cs="Times New Roman" w:eastAsiaTheme="minorEastAsia"/>
                <w:sz w:val="18"/>
                <w:szCs w:val="18"/>
                <w:lang w:bidi="ar"/>
              </w:rPr>
            </w:pPr>
            <w:r>
              <w:rPr>
                <w:rFonts w:cs="Times New Roman" w:eastAsiaTheme="minorEastAsia"/>
                <w:sz w:val="18"/>
                <w:szCs w:val="18"/>
                <w:lang w:bidi="ar"/>
              </w:rPr>
              <w:t>标准差</w:t>
            </w:r>
          </w:p>
        </w:tc>
        <w:tc>
          <w:tcPr>
            <w:tcW w:w="429" w:type="pct"/>
            <w:tcBorders>
              <w:bottom w:val="single" w:color="auto" w:sz="8" w:space="0"/>
            </w:tcBorders>
            <w:vAlign w:val="center"/>
          </w:tcPr>
          <w:p w14:paraId="613CD05B">
            <w:pPr>
              <w:jc w:val="center"/>
              <w:rPr>
                <w:rFonts w:cs="Times New Roman" w:eastAsiaTheme="minorEastAsia"/>
                <w:sz w:val="18"/>
                <w:szCs w:val="18"/>
                <w:lang w:bidi="ar"/>
              </w:rPr>
            </w:pPr>
            <w:r>
              <w:rPr>
                <w:rFonts w:cs="Times New Roman" w:eastAsiaTheme="minorEastAsia"/>
                <w:sz w:val="18"/>
                <w:szCs w:val="18"/>
                <w:lang w:bidi="ar"/>
              </w:rPr>
              <w:t>均值</w:t>
            </w:r>
          </w:p>
        </w:tc>
        <w:tc>
          <w:tcPr>
            <w:tcW w:w="457" w:type="pct"/>
            <w:tcBorders>
              <w:bottom w:val="single" w:color="auto" w:sz="8" w:space="0"/>
            </w:tcBorders>
            <w:vAlign w:val="center"/>
          </w:tcPr>
          <w:p w14:paraId="751228EB">
            <w:pPr>
              <w:jc w:val="center"/>
              <w:rPr>
                <w:rFonts w:cs="Times New Roman" w:eastAsiaTheme="minorEastAsia"/>
                <w:sz w:val="18"/>
                <w:szCs w:val="18"/>
                <w:lang w:bidi="ar"/>
              </w:rPr>
            </w:pPr>
            <w:r>
              <w:rPr>
                <w:rFonts w:cs="Times New Roman" w:eastAsiaTheme="minorEastAsia"/>
                <w:sz w:val="18"/>
                <w:szCs w:val="18"/>
                <w:lang w:bidi="ar"/>
              </w:rPr>
              <w:t>标准差</w:t>
            </w:r>
          </w:p>
        </w:tc>
        <w:tc>
          <w:tcPr>
            <w:tcW w:w="429" w:type="pct"/>
            <w:tcBorders>
              <w:bottom w:val="single" w:color="auto" w:sz="8" w:space="0"/>
            </w:tcBorders>
            <w:vAlign w:val="center"/>
          </w:tcPr>
          <w:p w14:paraId="54B8B4DC">
            <w:pPr>
              <w:jc w:val="center"/>
              <w:rPr>
                <w:rFonts w:cs="Times New Roman" w:eastAsiaTheme="minorEastAsia"/>
                <w:sz w:val="18"/>
                <w:szCs w:val="18"/>
                <w:lang w:bidi="ar"/>
              </w:rPr>
            </w:pPr>
            <w:r>
              <w:rPr>
                <w:rFonts w:cs="Times New Roman" w:eastAsiaTheme="minorEastAsia"/>
                <w:sz w:val="18"/>
                <w:szCs w:val="18"/>
                <w:lang w:bidi="ar"/>
              </w:rPr>
              <w:t>均值</w:t>
            </w:r>
          </w:p>
        </w:tc>
        <w:tc>
          <w:tcPr>
            <w:tcW w:w="457" w:type="pct"/>
            <w:tcBorders>
              <w:bottom w:val="single" w:color="auto" w:sz="8" w:space="0"/>
            </w:tcBorders>
            <w:vAlign w:val="center"/>
          </w:tcPr>
          <w:p w14:paraId="4CFF2E91">
            <w:pPr>
              <w:jc w:val="center"/>
              <w:rPr>
                <w:rFonts w:cs="Times New Roman" w:eastAsiaTheme="minorEastAsia"/>
                <w:sz w:val="18"/>
                <w:szCs w:val="18"/>
                <w:lang w:bidi="ar"/>
              </w:rPr>
            </w:pPr>
            <w:r>
              <w:rPr>
                <w:rFonts w:cs="Times New Roman" w:eastAsiaTheme="minorEastAsia"/>
                <w:sz w:val="18"/>
                <w:szCs w:val="18"/>
                <w:lang w:bidi="ar"/>
              </w:rPr>
              <w:t>标准差</w:t>
            </w:r>
          </w:p>
        </w:tc>
        <w:tc>
          <w:tcPr>
            <w:tcW w:w="429" w:type="pct"/>
            <w:tcBorders>
              <w:bottom w:val="single" w:color="auto" w:sz="8" w:space="0"/>
            </w:tcBorders>
            <w:vAlign w:val="center"/>
          </w:tcPr>
          <w:p w14:paraId="74AA57ED">
            <w:pPr>
              <w:jc w:val="center"/>
              <w:rPr>
                <w:rFonts w:cs="Times New Roman" w:eastAsiaTheme="minorEastAsia"/>
                <w:sz w:val="18"/>
                <w:szCs w:val="18"/>
                <w:lang w:bidi="ar"/>
              </w:rPr>
            </w:pPr>
            <w:r>
              <w:rPr>
                <w:rFonts w:cs="Times New Roman" w:eastAsiaTheme="minorEastAsia"/>
                <w:sz w:val="18"/>
                <w:szCs w:val="18"/>
                <w:lang w:bidi="ar"/>
              </w:rPr>
              <w:t>均值</w:t>
            </w:r>
          </w:p>
        </w:tc>
        <w:tc>
          <w:tcPr>
            <w:tcW w:w="457" w:type="pct"/>
            <w:tcBorders>
              <w:bottom w:val="single" w:color="auto" w:sz="8" w:space="0"/>
            </w:tcBorders>
            <w:vAlign w:val="center"/>
          </w:tcPr>
          <w:p w14:paraId="45FC047A">
            <w:pPr>
              <w:jc w:val="center"/>
              <w:rPr>
                <w:rFonts w:cs="Times New Roman" w:eastAsiaTheme="minorEastAsia"/>
                <w:sz w:val="18"/>
                <w:szCs w:val="18"/>
                <w:lang w:bidi="ar"/>
              </w:rPr>
            </w:pPr>
            <w:r>
              <w:rPr>
                <w:rFonts w:cs="Times New Roman" w:eastAsiaTheme="minorEastAsia"/>
                <w:sz w:val="18"/>
                <w:szCs w:val="18"/>
                <w:lang w:bidi="ar"/>
              </w:rPr>
              <w:t>标准差</w:t>
            </w:r>
          </w:p>
        </w:tc>
      </w:tr>
      <w:tr w14:paraId="383BD20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565" w:type="pct"/>
            <w:tcBorders>
              <w:top w:val="single" w:color="auto" w:sz="8" w:space="0"/>
              <w:tl2br w:val="nil"/>
              <w:tr2bl w:val="nil"/>
            </w:tcBorders>
            <w:vAlign w:val="center"/>
          </w:tcPr>
          <w:p w14:paraId="10E2C459">
            <w:pPr>
              <w:jc w:val="center"/>
              <w:rPr>
                <w:rFonts w:cs="Times New Roman" w:eastAsiaTheme="minorEastAsia"/>
                <w:sz w:val="18"/>
                <w:szCs w:val="18"/>
                <w:lang w:bidi="ar"/>
              </w:rPr>
            </w:pPr>
            <w:r>
              <w:rPr>
                <w:rFonts w:cs="Times New Roman" w:eastAsiaTheme="minorEastAsia"/>
                <w:sz w:val="18"/>
                <w:szCs w:val="18"/>
                <w:lang w:bidi="ar"/>
              </w:rPr>
              <w:t>LR</w:t>
            </w:r>
          </w:p>
        </w:tc>
        <w:tc>
          <w:tcPr>
            <w:tcW w:w="429" w:type="pct"/>
            <w:tcBorders>
              <w:top w:val="single" w:color="auto" w:sz="8" w:space="0"/>
              <w:tl2br w:val="nil"/>
              <w:tr2bl w:val="nil"/>
            </w:tcBorders>
            <w:vAlign w:val="center"/>
          </w:tcPr>
          <w:p w14:paraId="66934167">
            <w:pPr>
              <w:jc w:val="center"/>
              <w:rPr>
                <w:rFonts w:cs="Times New Roman" w:eastAsiaTheme="minorEastAsia"/>
                <w:b/>
                <w:bCs/>
                <w:sz w:val="18"/>
                <w:szCs w:val="18"/>
                <w:lang w:bidi="ar"/>
              </w:rPr>
            </w:pPr>
            <w:r>
              <w:rPr>
                <w:rFonts w:cs="Times New Roman" w:eastAsiaTheme="minorEastAsia"/>
                <w:b/>
                <w:bCs/>
                <w:sz w:val="18"/>
                <w:szCs w:val="18"/>
                <w:lang w:bidi="ar"/>
              </w:rPr>
              <w:t>0.4365</w:t>
            </w:r>
          </w:p>
        </w:tc>
        <w:tc>
          <w:tcPr>
            <w:tcW w:w="457" w:type="pct"/>
            <w:tcBorders>
              <w:top w:val="single" w:color="auto" w:sz="8" w:space="0"/>
              <w:tl2br w:val="nil"/>
              <w:tr2bl w:val="nil"/>
            </w:tcBorders>
            <w:vAlign w:val="center"/>
          </w:tcPr>
          <w:p w14:paraId="3A40F9AA">
            <w:pPr>
              <w:jc w:val="center"/>
              <w:rPr>
                <w:rFonts w:cs="Times New Roman" w:eastAsiaTheme="minorEastAsia"/>
                <w:sz w:val="18"/>
                <w:szCs w:val="18"/>
                <w:lang w:bidi="ar"/>
              </w:rPr>
            </w:pPr>
            <w:r>
              <w:rPr>
                <w:rFonts w:cs="Times New Roman" w:eastAsiaTheme="minorEastAsia"/>
                <w:sz w:val="18"/>
                <w:szCs w:val="18"/>
                <w:lang w:bidi="ar"/>
              </w:rPr>
              <w:t xml:space="preserve">0.0532 </w:t>
            </w:r>
          </w:p>
        </w:tc>
        <w:tc>
          <w:tcPr>
            <w:tcW w:w="429" w:type="pct"/>
            <w:tcBorders>
              <w:top w:val="single" w:color="auto" w:sz="8" w:space="0"/>
              <w:tl2br w:val="nil"/>
              <w:tr2bl w:val="nil"/>
            </w:tcBorders>
            <w:vAlign w:val="center"/>
          </w:tcPr>
          <w:p w14:paraId="69B6C227">
            <w:pPr>
              <w:jc w:val="center"/>
              <w:rPr>
                <w:rFonts w:cs="Times New Roman" w:eastAsiaTheme="minorEastAsia"/>
                <w:b/>
                <w:bCs/>
                <w:sz w:val="18"/>
                <w:szCs w:val="18"/>
                <w:lang w:bidi="ar"/>
              </w:rPr>
            </w:pPr>
            <w:r>
              <w:rPr>
                <w:rFonts w:cs="Times New Roman" w:eastAsiaTheme="minorEastAsia"/>
                <w:b/>
                <w:bCs/>
                <w:sz w:val="18"/>
                <w:szCs w:val="18"/>
                <w:lang w:bidi="ar"/>
              </w:rPr>
              <w:t>0.5184</w:t>
            </w:r>
          </w:p>
        </w:tc>
        <w:tc>
          <w:tcPr>
            <w:tcW w:w="457" w:type="pct"/>
            <w:tcBorders>
              <w:top w:val="single" w:color="auto" w:sz="8" w:space="0"/>
              <w:tl2br w:val="nil"/>
              <w:tr2bl w:val="nil"/>
            </w:tcBorders>
            <w:vAlign w:val="center"/>
          </w:tcPr>
          <w:p w14:paraId="23433261">
            <w:pPr>
              <w:jc w:val="center"/>
              <w:rPr>
                <w:rFonts w:cs="Times New Roman" w:eastAsiaTheme="minorEastAsia"/>
                <w:sz w:val="18"/>
                <w:szCs w:val="18"/>
                <w:lang w:bidi="ar"/>
              </w:rPr>
            </w:pPr>
            <w:r>
              <w:rPr>
                <w:rFonts w:cs="Times New Roman" w:eastAsiaTheme="minorEastAsia"/>
                <w:sz w:val="18"/>
                <w:szCs w:val="18"/>
                <w:lang w:bidi="ar"/>
              </w:rPr>
              <w:t>0.0299</w:t>
            </w:r>
          </w:p>
        </w:tc>
        <w:tc>
          <w:tcPr>
            <w:tcW w:w="429" w:type="pct"/>
            <w:tcBorders>
              <w:top w:val="single" w:color="auto" w:sz="8" w:space="0"/>
              <w:tl2br w:val="nil"/>
              <w:tr2bl w:val="nil"/>
            </w:tcBorders>
            <w:vAlign w:val="center"/>
          </w:tcPr>
          <w:p w14:paraId="63F06F67">
            <w:pPr>
              <w:jc w:val="center"/>
              <w:rPr>
                <w:rFonts w:cs="Times New Roman" w:eastAsiaTheme="minorEastAsia"/>
                <w:b/>
                <w:bCs/>
                <w:sz w:val="18"/>
                <w:szCs w:val="18"/>
                <w:lang w:bidi="ar"/>
              </w:rPr>
            </w:pPr>
            <w:r>
              <w:rPr>
                <w:rFonts w:cs="Times New Roman" w:eastAsiaTheme="minorEastAsia"/>
                <w:b/>
                <w:bCs/>
                <w:sz w:val="18"/>
                <w:szCs w:val="18"/>
                <w:lang w:bidi="ar"/>
              </w:rPr>
              <w:t xml:space="preserve">0.5108 </w:t>
            </w:r>
          </w:p>
        </w:tc>
        <w:tc>
          <w:tcPr>
            <w:tcW w:w="457" w:type="pct"/>
            <w:tcBorders>
              <w:top w:val="single" w:color="auto" w:sz="8" w:space="0"/>
              <w:tl2br w:val="nil"/>
              <w:tr2bl w:val="nil"/>
            </w:tcBorders>
            <w:vAlign w:val="center"/>
          </w:tcPr>
          <w:p w14:paraId="19EEBD27">
            <w:pPr>
              <w:jc w:val="center"/>
              <w:rPr>
                <w:rFonts w:cs="Times New Roman" w:eastAsiaTheme="minorEastAsia"/>
                <w:sz w:val="18"/>
                <w:szCs w:val="18"/>
                <w:lang w:bidi="ar"/>
              </w:rPr>
            </w:pPr>
            <w:r>
              <w:rPr>
                <w:rFonts w:cs="Times New Roman" w:eastAsiaTheme="minorEastAsia"/>
                <w:sz w:val="18"/>
                <w:szCs w:val="18"/>
                <w:lang w:bidi="ar"/>
              </w:rPr>
              <w:t xml:space="preserve">0.0070 </w:t>
            </w:r>
          </w:p>
        </w:tc>
        <w:tc>
          <w:tcPr>
            <w:tcW w:w="429" w:type="pct"/>
            <w:tcBorders>
              <w:top w:val="single" w:color="auto" w:sz="8" w:space="0"/>
              <w:tl2br w:val="nil"/>
              <w:tr2bl w:val="nil"/>
            </w:tcBorders>
            <w:vAlign w:val="center"/>
          </w:tcPr>
          <w:p w14:paraId="76DB48DF">
            <w:pPr>
              <w:jc w:val="center"/>
              <w:rPr>
                <w:rFonts w:cs="Times New Roman" w:eastAsiaTheme="minorEastAsia"/>
                <w:b/>
                <w:bCs/>
                <w:sz w:val="18"/>
                <w:szCs w:val="18"/>
                <w:lang w:bidi="ar"/>
              </w:rPr>
            </w:pPr>
            <w:r>
              <w:rPr>
                <w:rFonts w:cs="Times New Roman" w:eastAsiaTheme="minorEastAsia"/>
                <w:b/>
                <w:bCs/>
                <w:sz w:val="18"/>
                <w:szCs w:val="18"/>
                <w:lang w:bidi="ar"/>
              </w:rPr>
              <w:t xml:space="preserve">0.4266 </w:t>
            </w:r>
          </w:p>
        </w:tc>
        <w:tc>
          <w:tcPr>
            <w:tcW w:w="457" w:type="pct"/>
            <w:tcBorders>
              <w:top w:val="single" w:color="auto" w:sz="8" w:space="0"/>
              <w:tl2br w:val="nil"/>
              <w:tr2bl w:val="nil"/>
            </w:tcBorders>
            <w:vAlign w:val="center"/>
          </w:tcPr>
          <w:p w14:paraId="55878CB2">
            <w:pPr>
              <w:jc w:val="center"/>
              <w:rPr>
                <w:rFonts w:cs="Times New Roman" w:eastAsiaTheme="minorEastAsia"/>
                <w:sz w:val="18"/>
                <w:szCs w:val="18"/>
                <w:lang w:bidi="ar"/>
              </w:rPr>
            </w:pPr>
            <w:r>
              <w:rPr>
                <w:rFonts w:cs="Times New Roman" w:eastAsiaTheme="minorEastAsia"/>
                <w:sz w:val="18"/>
                <w:szCs w:val="18"/>
                <w:lang w:bidi="ar"/>
              </w:rPr>
              <w:t>0.0658</w:t>
            </w:r>
          </w:p>
        </w:tc>
        <w:tc>
          <w:tcPr>
            <w:tcW w:w="429" w:type="pct"/>
            <w:tcBorders>
              <w:top w:val="single" w:color="auto" w:sz="8" w:space="0"/>
              <w:tl2br w:val="nil"/>
              <w:tr2bl w:val="nil"/>
            </w:tcBorders>
            <w:vAlign w:val="center"/>
          </w:tcPr>
          <w:p w14:paraId="4C2D61E7">
            <w:pPr>
              <w:jc w:val="center"/>
              <w:rPr>
                <w:rFonts w:cs="Times New Roman" w:eastAsiaTheme="minorEastAsia"/>
                <w:b/>
                <w:bCs/>
                <w:sz w:val="18"/>
                <w:szCs w:val="18"/>
                <w:lang w:bidi="ar"/>
              </w:rPr>
            </w:pPr>
            <w:r>
              <w:rPr>
                <w:rFonts w:cs="Times New Roman" w:eastAsiaTheme="minorEastAsia"/>
                <w:b/>
                <w:bCs/>
                <w:sz w:val="18"/>
                <w:szCs w:val="18"/>
                <w:lang w:bidi="ar"/>
              </w:rPr>
              <w:t xml:space="preserve">0.5225 </w:t>
            </w:r>
          </w:p>
        </w:tc>
        <w:tc>
          <w:tcPr>
            <w:tcW w:w="457" w:type="pct"/>
            <w:tcBorders>
              <w:top w:val="single" w:color="auto" w:sz="8" w:space="0"/>
              <w:tl2br w:val="nil"/>
              <w:tr2bl w:val="nil"/>
            </w:tcBorders>
            <w:vAlign w:val="center"/>
          </w:tcPr>
          <w:p w14:paraId="0411C193">
            <w:pPr>
              <w:jc w:val="center"/>
              <w:rPr>
                <w:rFonts w:cs="Times New Roman" w:eastAsiaTheme="minorEastAsia"/>
                <w:sz w:val="18"/>
                <w:szCs w:val="18"/>
                <w:lang w:bidi="ar"/>
              </w:rPr>
            </w:pPr>
            <w:r>
              <w:rPr>
                <w:rFonts w:cs="Times New Roman" w:eastAsiaTheme="minorEastAsia"/>
                <w:sz w:val="18"/>
                <w:szCs w:val="18"/>
                <w:lang w:bidi="ar"/>
              </w:rPr>
              <w:t xml:space="preserve">0.0081 </w:t>
            </w:r>
          </w:p>
        </w:tc>
      </w:tr>
      <w:tr w14:paraId="191F8B8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565" w:type="pct"/>
            <w:tcBorders>
              <w:tl2br w:val="nil"/>
              <w:tr2bl w:val="nil"/>
            </w:tcBorders>
            <w:vAlign w:val="center"/>
          </w:tcPr>
          <w:p w14:paraId="69F56E7F">
            <w:pPr>
              <w:jc w:val="center"/>
              <w:rPr>
                <w:rFonts w:cs="Times New Roman" w:eastAsiaTheme="minorEastAsia"/>
                <w:sz w:val="18"/>
                <w:szCs w:val="18"/>
                <w:lang w:bidi="ar"/>
              </w:rPr>
            </w:pPr>
            <w:r>
              <w:rPr>
                <w:rFonts w:cs="Times New Roman" w:eastAsiaTheme="minorEastAsia"/>
                <w:sz w:val="18"/>
                <w:szCs w:val="18"/>
                <w:lang w:bidi="ar"/>
              </w:rPr>
              <w:t>RF</w:t>
            </w:r>
          </w:p>
        </w:tc>
        <w:tc>
          <w:tcPr>
            <w:tcW w:w="429" w:type="pct"/>
            <w:tcBorders>
              <w:tl2br w:val="nil"/>
              <w:tr2bl w:val="nil"/>
            </w:tcBorders>
            <w:vAlign w:val="center"/>
          </w:tcPr>
          <w:p w14:paraId="079CE611">
            <w:pPr>
              <w:jc w:val="center"/>
              <w:rPr>
                <w:rFonts w:cs="Times New Roman" w:eastAsiaTheme="minorEastAsia"/>
                <w:sz w:val="18"/>
                <w:szCs w:val="18"/>
                <w:lang w:bidi="ar"/>
              </w:rPr>
            </w:pPr>
            <w:r>
              <w:rPr>
                <w:rFonts w:cs="Times New Roman" w:eastAsiaTheme="minorEastAsia"/>
                <w:sz w:val="18"/>
                <w:szCs w:val="18"/>
                <w:lang w:bidi="ar"/>
              </w:rPr>
              <w:t>0.8358</w:t>
            </w:r>
          </w:p>
        </w:tc>
        <w:tc>
          <w:tcPr>
            <w:tcW w:w="457" w:type="pct"/>
            <w:tcBorders>
              <w:tl2br w:val="nil"/>
              <w:tr2bl w:val="nil"/>
            </w:tcBorders>
            <w:vAlign w:val="center"/>
          </w:tcPr>
          <w:p w14:paraId="2932CB2E">
            <w:pPr>
              <w:jc w:val="center"/>
              <w:rPr>
                <w:rFonts w:cs="Times New Roman" w:eastAsiaTheme="minorEastAsia"/>
                <w:sz w:val="18"/>
                <w:szCs w:val="18"/>
                <w:lang w:bidi="ar"/>
              </w:rPr>
            </w:pPr>
            <w:r>
              <w:rPr>
                <w:rFonts w:cs="Times New Roman" w:eastAsiaTheme="minorEastAsia"/>
                <w:sz w:val="18"/>
                <w:szCs w:val="18"/>
                <w:lang w:bidi="ar"/>
              </w:rPr>
              <w:t xml:space="preserve">0.0067 </w:t>
            </w:r>
          </w:p>
        </w:tc>
        <w:tc>
          <w:tcPr>
            <w:tcW w:w="429" w:type="pct"/>
            <w:tcBorders>
              <w:tl2br w:val="nil"/>
              <w:tr2bl w:val="nil"/>
            </w:tcBorders>
            <w:vAlign w:val="center"/>
          </w:tcPr>
          <w:p w14:paraId="1CA9759C">
            <w:pPr>
              <w:jc w:val="center"/>
              <w:rPr>
                <w:rFonts w:cs="Times New Roman" w:eastAsiaTheme="minorEastAsia"/>
                <w:sz w:val="18"/>
                <w:szCs w:val="18"/>
                <w:lang w:bidi="ar"/>
              </w:rPr>
            </w:pPr>
            <w:r>
              <w:rPr>
                <w:rFonts w:cs="Times New Roman" w:eastAsiaTheme="minorEastAsia"/>
                <w:sz w:val="18"/>
                <w:szCs w:val="18"/>
                <w:lang w:bidi="ar"/>
              </w:rPr>
              <w:t>0.8277</w:t>
            </w:r>
          </w:p>
        </w:tc>
        <w:tc>
          <w:tcPr>
            <w:tcW w:w="457" w:type="pct"/>
            <w:tcBorders>
              <w:tl2br w:val="nil"/>
              <w:tr2bl w:val="nil"/>
            </w:tcBorders>
            <w:vAlign w:val="center"/>
          </w:tcPr>
          <w:p w14:paraId="2C11A99B">
            <w:pPr>
              <w:jc w:val="center"/>
              <w:rPr>
                <w:rFonts w:cs="Times New Roman" w:eastAsiaTheme="minorEastAsia"/>
                <w:sz w:val="18"/>
                <w:szCs w:val="18"/>
                <w:lang w:bidi="ar"/>
              </w:rPr>
            </w:pPr>
            <w:r>
              <w:rPr>
                <w:rFonts w:cs="Times New Roman" w:eastAsiaTheme="minorEastAsia"/>
                <w:sz w:val="18"/>
                <w:szCs w:val="18"/>
                <w:lang w:bidi="ar"/>
              </w:rPr>
              <w:t>0.0102</w:t>
            </w:r>
          </w:p>
        </w:tc>
        <w:tc>
          <w:tcPr>
            <w:tcW w:w="429" w:type="pct"/>
            <w:tcBorders>
              <w:tl2br w:val="nil"/>
              <w:tr2bl w:val="nil"/>
            </w:tcBorders>
            <w:vAlign w:val="center"/>
          </w:tcPr>
          <w:p w14:paraId="3CA4612C">
            <w:pPr>
              <w:jc w:val="center"/>
              <w:rPr>
                <w:rFonts w:cs="Times New Roman" w:eastAsiaTheme="minorEastAsia"/>
                <w:sz w:val="18"/>
                <w:szCs w:val="18"/>
                <w:lang w:bidi="ar"/>
              </w:rPr>
            </w:pPr>
            <w:r>
              <w:rPr>
                <w:rFonts w:cs="Times New Roman" w:eastAsiaTheme="minorEastAsia"/>
                <w:sz w:val="18"/>
                <w:szCs w:val="18"/>
                <w:lang w:bidi="ar"/>
              </w:rPr>
              <w:t xml:space="preserve">0.7507 </w:t>
            </w:r>
          </w:p>
        </w:tc>
        <w:tc>
          <w:tcPr>
            <w:tcW w:w="457" w:type="pct"/>
            <w:tcBorders>
              <w:tl2br w:val="nil"/>
              <w:tr2bl w:val="nil"/>
            </w:tcBorders>
            <w:vAlign w:val="center"/>
          </w:tcPr>
          <w:p w14:paraId="0930A1DD">
            <w:pPr>
              <w:jc w:val="center"/>
              <w:rPr>
                <w:rFonts w:cs="Times New Roman" w:eastAsiaTheme="minorEastAsia"/>
                <w:sz w:val="18"/>
                <w:szCs w:val="18"/>
                <w:lang w:bidi="ar"/>
              </w:rPr>
            </w:pPr>
            <w:r>
              <w:rPr>
                <w:rFonts w:cs="Times New Roman" w:eastAsiaTheme="minorEastAsia"/>
                <w:sz w:val="18"/>
                <w:szCs w:val="18"/>
                <w:lang w:bidi="ar"/>
              </w:rPr>
              <w:t xml:space="preserve">0.0082 </w:t>
            </w:r>
          </w:p>
        </w:tc>
        <w:tc>
          <w:tcPr>
            <w:tcW w:w="429" w:type="pct"/>
            <w:tcBorders>
              <w:tl2br w:val="nil"/>
              <w:tr2bl w:val="nil"/>
            </w:tcBorders>
            <w:vAlign w:val="center"/>
          </w:tcPr>
          <w:p w14:paraId="29BE5CB3">
            <w:pPr>
              <w:jc w:val="center"/>
              <w:rPr>
                <w:rFonts w:cs="Times New Roman" w:eastAsiaTheme="minorEastAsia"/>
                <w:sz w:val="18"/>
                <w:szCs w:val="18"/>
                <w:lang w:bidi="ar"/>
              </w:rPr>
            </w:pPr>
            <w:r>
              <w:rPr>
                <w:rFonts w:cs="Times New Roman" w:eastAsiaTheme="minorEastAsia"/>
                <w:sz w:val="18"/>
                <w:szCs w:val="18"/>
                <w:lang w:bidi="ar"/>
              </w:rPr>
              <w:t xml:space="preserve">0.7749 </w:t>
            </w:r>
          </w:p>
        </w:tc>
        <w:tc>
          <w:tcPr>
            <w:tcW w:w="457" w:type="pct"/>
            <w:tcBorders>
              <w:tl2br w:val="nil"/>
              <w:tr2bl w:val="nil"/>
            </w:tcBorders>
            <w:vAlign w:val="center"/>
          </w:tcPr>
          <w:p w14:paraId="06F70876">
            <w:pPr>
              <w:jc w:val="center"/>
              <w:rPr>
                <w:rFonts w:cs="Times New Roman" w:eastAsiaTheme="minorEastAsia"/>
                <w:sz w:val="18"/>
                <w:szCs w:val="18"/>
                <w:lang w:bidi="ar"/>
              </w:rPr>
            </w:pPr>
            <w:r>
              <w:rPr>
                <w:rFonts w:cs="Times New Roman" w:eastAsiaTheme="minorEastAsia"/>
                <w:sz w:val="18"/>
                <w:szCs w:val="18"/>
                <w:lang w:bidi="ar"/>
              </w:rPr>
              <w:t xml:space="preserve">0.0089 </w:t>
            </w:r>
          </w:p>
        </w:tc>
        <w:tc>
          <w:tcPr>
            <w:tcW w:w="429" w:type="pct"/>
            <w:tcBorders>
              <w:tl2br w:val="nil"/>
              <w:tr2bl w:val="nil"/>
            </w:tcBorders>
            <w:vAlign w:val="center"/>
          </w:tcPr>
          <w:p w14:paraId="4E0C4AA4">
            <w:pPr>
              <w:jc w:val="center"/>
              <w:rPr>
                <w:rFonts w:cs="Times New Roman" w:eastAsiaTheme="minorEastAsia"/>
                <w:sz w:val="18"/>
                <w:szCs w:val="18"/>
                <w:lang w:bidi="ar"/>
              </w:rPr>
            </w:pPr>
            <w:r>
              <w:rPr>
                <w:rFonts w:cs="Times New Roman" w:eastAsiaTheme="minorEastAsia"/>
                <w:sz w:val="18"/>
                <w:szCs w:val="18"/>
                <w:lang w:bidi="ar"/>
              </w:rPr>
              <w:t xml:space="preserve">0.8927 </w:t>
            </w:r>
          </w:p>
        </w:tc>
        <w:tc>
          <w:tcPr>
            <w:tcW w:w="457" w:type="pct"/>
            <w:tcBorders>
              <w:tl2br w:val="nil"/>
              <w:tr2bl w:val="nil"/>
            </w:tcBorders>
            <w:vAlign w:val="center"/>
          </w:tcPr>
          <w:p w14:paraId="48986320">
            <w:pPr>
              <w:jc w:val="center"/>
              <w:rPr>
                <w:rFonts w:cs="Times New Roman" w:eastAsiaTheme="minorEastAsia"/>
                <w:sz w:val="18"/>
                <w:szCs w:val="18"/>
                <w:lang w:bidi="ar"/>
              </w:rPr>
            </w:pPr>
            <w:r>
              <w:rPr>
                <w:rFonts w:cs="Times New Roman" w:eastAsiaTheme="minorEastAsia"/>
                <w:sz w:val="18"/>
                <w:szCs w:val="18"/>
                <w:lang w:bidi="ar"/>
              </w:rPr>
              <w:t xml:space="preserve">0.0046 </w:t>
            </w:r>
          </w:p>
        </w:tc>
      </w:tr>
      <w:tr w14:paraId="6D391C8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565" w:type="pct"/>
            <w:tcBorders>
              <w:tl2br w:val="nil"/>
              <w:tr2bl w:val="nil"/>
            </w:tcBorders>
            <w:vAlign w:val="center"/>
          </w:tcPr>
          <w:p w14:paraId="6A38B021">
            <w:pPr>
              <w:jc w:val="center"/>
              <w:rPr>
                <w:rFonts w:cs="Times New Roman" w:eastAsiaTheme="minorEastAsia"/>
                <w:sz w:val="18"/>
                <w:szCs w:val="18"/>
                <w:lang w:bidi="ar"/>
              </w:rPr>
            </w:pPr>
            <w:r>
              <w:rPr>
                <w:rFonts w:cs="Times New Roman" w:eastAsiaTheme="minorEastAsia"/>
                <w:sz w:val="18"/>
                <w:szCs w:val="18"/>
                <w:lang w:bidi="ar"/>
              </w:rPr>
              <w:t>SVM</w:t>
            </w:r>
          </w:p>
        </w:tc>
        <w:tc>
          <w:tcPr>
            <w:tcW w:w="429" w:type="pct"/>
            <w:tcBorders>
              <w:tl2br w:val="nil"/>
              <w:tr2bl w:val="nil"/>
            </w:tcBorders>
            <w:vAlign w:val="center"/>
          </w:tcPr>
          <w:p w14:paraId="1BC9C605">
            <w:pPr>
              <w:jc w:val="center"/>
              <w:rPr>
                <w:rFonts w:cs="Times New Roman" w:eastAsiaTheme="minorEastAsia"/>
                <w:sz w:val="18"/>
                <w:szCs w:val="18"/>
                <w:lang w:bidi="ar"/>
              </w:rPr>
            </w:pPr>
            <w:r>
              <w:rPr>
                <w:rFonts w:cs="Times New Roman" w:eastAsiaTheme="minorEastAsia"/>
                <w:sz w:val="18"/>
                <w:szCs w:val="18"/>
                <w:lang w:bidi="ar"/>
              </w:rPr>
              <w:t>0.7718</w:t>
            </w:r>
          </w:p>
        </w:tc>
        <w:tc>
          <w:tcPr>
            <w:tcW w:w="457" w:type="pct"/>
            <w:tcBorders>
              <w:tl2br w:val="nil"/>
              <w:tr2bl w:val="nil"/>
            </w:tcBorders>
            <w:vAlign w:val="center"/>
          </w:tcPr>
          <w:p w14:paraId="26BE741A">
            <w:pPr>
              <w:jc w:val="center"/>
              <w:rPr>
                <w:rFonts w:cs="Times New Roman" w:eastAsiaTheme="minorEastAsia"/>
                <w:sz w:val="18"/>
                <w:szCs w:val="18"/>
                <w:lang w:bidi="ar"/>
              </w:rPr>
            </w:pPr>
            <w:r>
              <w:rPr>
                <w:rFonts w:cs="Times New Roman" w:eastAsiaTheme="minorEastAsia"/>
                <w:sz w:val="18"/>
                <w:szCs w:val="18"/>
                <w:lang w:bidi="ar"/>
              </w:rPr>
              <w:t xml:space="preserve">0.0132 </w:t>
            </w:r>
          </w:p>
        </w:tc>
        <w:tc>
          <w:tcPr>
            <w:tcW w:w="429" w:type="pct"/>
            <w:tcBorders>
              <w:tl2br w:val="nil"/>
              <w:tr2bl w:val="nil"/>
            </w:tcBorders>
            <w:vAlign w:val="center"/>
          </w:tcPr>
          <w:p w14:paraId="7378CB74">
            <w:pPr>
              <w:jc w:val="center"/>
              <w:rPr>
                <w:rFonts w:cs="Times New Roman" w:eastAsiaTheme="minorEastAsia"/>
                <w:sz w:val="18"/>
                <w:szCs w:val="18"/>
                <w:lang w:bidi="ar"/>
              </w:rPr>
            </w:pPr>
            <w:r>
              <w:rPr>
                <w:rFonts w:cs="Times New Roman" w:eastAsiaTheme="minorEastAsia"/>
                <w:sz w:val="18"/>
                <w:szCs w:val="18"/>
                <w:lang w:bidi="ar"/>
              </w:rPr>
              <w:t>0.7845</w:t>
            </w:r>
          </w:p>
        </w:tc>
        <w:tc>
          <w:tcPr>
            <w:tcW w:w="457" w:type="pct"/>
            <w:tcBorders>
              <w:tl2br w:val="nil"/>
              <w:tr2bl w:val="nil"/>
            </w:tcBorders>
            <w:vAlign w:val="center"/>
          </w:tcPr>
          <w:p w14:paraId="7C222250">
            <w:pPr>
              <w:jc w:val="center"/>
              <w:rPr>
                <w:rFonts w:cs="Times New Roman" w:eastAsiaTheme="minorEastAsia"/>
                <w:sz w:val="18"/>
                <w:szCs w:val="18"/>
                <w:lang w:bidi="ar"/>
              </w:rPr>
            </w:pPr>
            <w:r>
              <w:rPr>
                <w:rFonts w:cs="Times New Roman" w:eastAsiaTheme="minorEastAsia"/>
                <w:sz w:val="18"/>
                <w:szCs w:val="18"/>
                <w:lang w:bidi="ar"/>
              </w:rPr>
              <w:t>0.0108</w:t>
            </w:r>
          </w:p>
        </w:tc>
        <w:tc>
          <w:tcPr>
            <w:tcW w:w="429" w:type="pct"/>
            <w:tcBorders>
              <w:tl2br w:val="nil"/>
              <w:tr2bl w:val="nil"/>
            </w:tcBorders>
            <w:vAlign w:val="center"/>
          </w:tcPr>
          <w:p w14:paraId="448B5CF6">
            <w:pPr>
              <w:jc w:val="center"/>
              <w:rPr>
                <w:rFonts w:cs="Times New Roman" w:eastAsiaTheme="minorEastAsia"/>
                <w:sz w:val="18"/>
                <w:szCs w:val="18"/>
                <w:lang w:bidi="ar"/>
              </w:rPr>
            </w:pPr>
            <w:r>
              <w:rPr>
                <w:rFonts w:cs="Times New Roman" w:eastAsiaTheme="minorEastAsia"/>
                <w:sz w:val="18"/>
                <w:szCs w:val="18"/>
                <w:lang w:bidi="ar"/>
              </w:rPr>
              <w:t xml:space="preserve">0.6407 </w:t>
            </w:r>
          </w:p>
        </w:tc>
        <w:tc>
          <w:tcPr>
            <w:tcW w:w="457" w:type="pct"/>
            <w:tcBorders>
              <w:tl2br w:val="nil"/>
              <w:tr2bl w:val="nil"/>
            </w:tcBorders>
            <w:vAlign w:val="center"/>
          </w:tcPr>
          <w:p w14:paraId="317A139F">
            <w:pPr>
              <w:jc w:val="center"/>
              <w:rPr>
                <w:rFonts w:cs="Times New Roman" w:eastAsiaTheme="minorEastAsia"/>
                <w:sz w:val="18"/>
                <w:szCs w:val="18"/>
                <w:lang w:bidi="ar"/>
              </w:rPr>
            </w:pPr>
            <w:r>
              <w:rPr>
                <w:rFonts w:cs="Times New Roman" w:eastAsiaTheme="minorEastAsia"/>
                <w:sz w:val="18"/>
                <w:szCs w:val="18"/>
                <w:lang w:bidi="ar"/>
              </w:rPr>
              <w:t xml:space="preserve">0.0261 </w:t>
            </w:r>
          </w:p>
        </w:tc>
        <w:tc>
          <w:tcPr>
            <w:tcW w:w="429" w:type="pct"/>
            <w:tcBorders>
              <w:tl2br w:val="nil"/>
              <w:tr2bl w:val="nil"/>
            </w:tcBorders>
            <w:vAlign w:val="center"/>
          </w:tcPr>
          <w:p w14:paraId="334F94D4">
            <w:pPr>
              <w:jc w:val="center"/>
              <w:rPr>
                <w:rFonts w:cs="Times New Roman" w:eastAsiaTheme="minorEastAsia"/>
                <w:sz w:val="18"/>
                <w:szCs w:val="18"/>
                <w:lang w:bidi="ar"/>
              </w:rPr>
            </w:pPr>
            <w:r>
              <w:rPr>
                <w:rFonts w:cs="Times New Roman" w:eastAsiaTheme="minorEastAsia"/>
                <w:sz w:val="18"/>
                <w:szCs w:val="18"/>
                <w:lang w:bidi="ar"/>
              </w:rPr>
              <w:t xml:space="preserve">0.6511 </w:t>
            </w:r>
          </w:p>
        </w:tc>
        <w:tc>
          <w:tcPr>
            <w:tcW w:w="457" w:type="pct"/>
            <w:tcBorders>
              <w:tl2br w:val="nil"/>
              <w:tr2bl w:val="nil"/>
            </w:tcBorders>
            <w:vAlign w:val="center"/>
          </w:tcPr>
          <w:p w14:paraId="0F0D493C">
            <w:pPr>
              <w:jc w:val="center"/>
              <w:rPr>
                <w:rFonts w:cs="Times New Roman" w:eastAsiaTheme="minorEastAsia"/>
                <w:sz w:val="18"/>
                <w:szCs w:val="18"/>
                <w:lang w:bidi="ar"/>
              </w:rPr>
            </w:pPr>
            <w:r>
              <w:rPr>
                <w:rFonts w:cs="Times New Roman" w:eastAsiaTheme="minorEastAsia"/>
                <w:sz w:val="18"/>
                <w:szCs w:val="18"/>
                <w:lang w:bidi="ar"/>
              </w:rPr>
              <w:t xml:space="preserve">0.0407 </w:t>
            </w:r>
          </w:p>
        </w:tc>
        <w:tc>
          <w:tcPr>
            <w:tcW w:w="429" w:type="pct"/>
            <w:tcBorders>
              <w:tl2br w:val="nil"/>
              <w:tr2bl w:val="nil"/>
            </w:tcBorders>
            <w:vAlign w:val="center"/>
          </w:tcPr>
          <w:p w14:paraId="0BBF2977">
            <w:pPr>
              <w:jc w:val="center"/>
              <w:rPr>
                <w:rFonts w:cs="Times New Roman" w:eastAsiaTheme="minorEastAsia"/>
                <w:sz w:val="18"/>
                <w:szCs w:val="18"/>
                <w:lang w:bidi="ar"/>
              </w:rPr>
            </w:pPr>
            <w:r>
              <w:rPr>
                <w:rFonts w:cs="Times New Roman" w:eastAsiaTheme="minorEastAsia"/>
                <w:sz w:val="18"/>
                <w:szCs w:val="18"/>
                <w:lang w:bidi="ar"/>
              </w:rPr>
              <w:t xml:space="preserve">0.5052 </w:t>
            </w:r>
          </w:p>
        </w:tc>
        <w:tc>
          <w:tcPr>
            <w:tcW w:w="457" w:type="pct"/>
            <w:tcBorders>
              <w:tl2br w:val="nil"/>
              <w:tr2bl w:val="nil"/>
            </w:tcBorders>
            <w:vAlign w:val="center"/>
          </w:tcPr>
          <w:p w14:paraId="3FA66337">
            <w:pPr>
              <w:jc w:val="center"/>
              <w:rPr>
                <w:rFonts w:cs="Times New Roman" w:eastAsiaTheme="minorEastAsia"/>
                <w:sz w:val="18"/>
                <w:szCs w:val="18"/>
                <w:lang w:bidi="ar"/>
              </w:rPr>
            </w:pPr>
            <w:r>
              <w:rPr>
                <w:rFonts w:cs="Times New Roman" w:eastAsiaTheme="minorEastAsia"/>
                <w:sz w:val="18"/>
                <w:szCs w:val="18"/>
                <w:lang w:bidi="ar"/>
              </w:rPr>
              <w:t xml:space="preserve">0.0124 </w:t>
            </w:r>
          </w:p>
        </w:tc>
      </w:tr>
      <w:tr w14:paraId="331674D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565" w:type="pct"/>
            <w:tcBorders>
              <w:tl2br w:val="nil"/>
              <w:tr2bl w:val="nil"/>
            </w:tcBorders>
            <w:vAlign w:val="center"/>
          </w:tcPr>
          <w:p w14:paraId="4308684B">
            <w:pPr>
              <w:jc w:val="center"/>
              <w:rPr>
                <w:rFonts w:cs="Times New Roman" w:eastAsiaTheme="minorEastAsia"/>
                <w:sz w:val="18"/>
                <w:szCs w:val="18"/>
                <w:lang w:bidi="ar"/>
              </w:rPr>
            </w:pPr>
            <w:r>
              <w:rPr>
                <w:rFonts w:cs="Times New Roman" w:eastAsiaTheme="minorEastAsia"/>
                <w:sz w:val="18"/>
                <w:szCs w:val="18"/>
                <w:lang w:bidi="ar"/>
              </w:rPr>
              <w:t>XGBoost</w:t>
            </w:r>
          </w:p>
        </w:tc>
        <w:tc>
          <w:tcPr>
            <w:tcW w:w="429" w:type="pct"/>
            <w:tcBorders>
              <w:tl2br w:val="nil"/>
              <w:tr2bl w:val="nil"/>
            </w:tcBorders>
            <w:vAlign w:val="center"/>
          </w:tcPr>
          <w:p w14:paraId="3495EBD3">
            <w:pPr>
              <w:jc w:val="center"/>
              <w:rPr>
                <w:rFonts w:cs="Times New Roman" w:eastAsiaTheme="minorEastAsia"/>
                <w:sz w:val="18"/>
                <w:szCs w:val="18"/>
                <w:lang w:bidi="ar"/>
              </w:rPr>
            </w:pPr>
            <w:r>
              <w:rPr>
                <w:rFonts w:cs="Times New Roman" w:eastAsiaTheme="minorEastAsia"/>
                <w:sz w:val="18"/>
                <w:szCs w:val="18"/>
                <w:lang w:bidi="ar"/>
              </w:rPr>
              <w:t>0.8372</w:t>
            </w:r>
          </w:p>
        </w:tc>
        <w:tc>
          <w:tcPr>
            <w:tcW w:w="457" w:type="pct"/>
            <w:tcBorders>
              <w:tl2br w:val="nil"/>
              <w:tr2bl w:val="nil"/>
            </w:tcBorders>
            <w:vAlign w:val="center"/>
          </w:tcPr>
          <w:p w14:paraId="7684CAAD">
            <w:pPr>
              <w:jc w:val="center"/>
              <w:rPr>
                <w:rFonts w:cs="Times New Roman" w:eastAsiaTheme="minorEastAsia"/>
                <w:sz w:val="18"/>
                <w:szCs w:val="18"/>
                <w:lang w:bidi="ar"/>
              </w:rPr>
            </w:pPr>
            <w:r>
              <w:rPr>
                <w:rFonts w:cs="Times New Roman" w:eastAsiaTheme="minorEastAsia"/>
                <w:sz w:val="18"/>
                <w:szCs w:val="18"/>
                <w:lang w:bidi="ar"/>
              </w:rPr>
              <w:t xml:space="preserve">0.0054 </w:t>
            </w:r>
          </w:p>
        </w:tc>
        <w:tc>
          <w:tcPr>
            <w:tcW w:w="429" w:type="pct"/>
            <w:tcBorders>
              <w:tl2br w:val="nil"/>
              <w:tr2bl w:val="nil"/>
            </w:tcBorders>
            <w:vAlign w:val="center"/>
          </w:tcPr>
          <w:p w14:paraId="5F60448F">
            <w:pPr>
              <w:jc w:val="center"/>
              <w:rPr>
                <w:rFonts w:cs="Times New Roman" w:eastAsiaTheme="minorEastAsia"/>
                <w:sz w:val="18"/>
                <w:szCs w:val="18"/>
                <w:lang w:bidi="ar"/>
              </w:rPr>
            </w:pPr>
            <w:r>
              <w:rPr>
                <w:rFonts w:cs="Times New Roman" w:eastAsiaTheme="minorEastAsia"/>
                <w:sz w:val="18"/>
                <w:szCs w:val="18"/>
                <w:lang w:bidi="ar"/>
              </w:rPr>
              <w:t>0.8162</w:t>
            </w:r>
          </w:p>
        </w:tc>
        <w:tc>
          <w:tcPr>
            <w:tcW w:w="457" w:type="pct"/>
            <w:tcBorders>
              <w:tl2br w:val="nil"/>
              <w:tr2bl w:val="nil"/>
            </w:tcBorders>
            <w:vAlign w:val="center"/>
          </w:tcPr>
          <w:p w14:paraId="0B330994">
            <w:pPr>
              <w:jc w:val="center"/>
              <w:rPr>
                <w:rFonts w:cs="Times New Roman" w:eastAsiaTheme="minorEastAsia"/>
                <w:sz w:val="18"/>
                <w:szCs w:val="18"/>
                <w:lang w:bidi="ar"/>
              </w:rPr>
            </w:pPr>
            <w:r>
              <w:rPr>
                <w:rFonts w:cs="Times New Roman" w:eastAsiaTheme="minorEastAsia"/>
                <w:sz w:val="18"/>
                <w:szCs w:val="18"/>
                <w:lang w:bidi="ar"/>
              </w:rPr>
              <w:t>0.0072</w:t>
            </w:r>
          </w:p>
        </w:tc>
        <w:tc>
          <w:tcPr>
            <w:tcW w:w="429" w:type="pct"/>
            <w:tcBorders>
              <w:tl2br w:val="nil"/>
              <w:tr2bl w:val="nil"/>
            </w:tcBorders>
            <w:vAlign w:val="center"/>
          </w:tcPr>
          <w:p w14:paraId="40032E42">
            <w:pPr>
              <w:jc w:val="center"/>
              <w:rPr>
                <w:rFonts w:cs="Times New Roman" w:eastAsiaTheme="minorEastAsia"/>
                <w:sz w:val="18"/>
                <w:szCs w:val="18"/>
                <w:lang w:bidi="ar"/>
              </w:rPr>
            </w:pPr>
            <w:r>
              <w:rPr>
                <w:rFonts w:cs="Times New Roman" w:eastAsiaTheme="minorEastAsia"/>
                <w:sz w:val="18"/>
                <w:szCs w:val="18"/>
                <w:lang w:bidi="ar"/>
              </w:rPr>
              <w:t xml:space="preserve">0.7789 </w:t>
            </w:r>
          </w:p>
        </w:tc>
        <w:tc>
          <w:tcPr>
            <w:tcW w:w="457" w:type="pct"/>
            <w:tcBorders>
              <w:tl2br w:val="nil"/>
              <w:tr2bl w:val="nil"/>
            </w:tcBorders>
            <w:vAlign w:val="center"/>
          </w:tcPr>
          <w:p w14:paraId="55127C5B">
            <w:pPr>
              <w:jc w:val="center"/>
              <w:rPr>
                <w:rFonts w:cs="Times New Roman" w:eastAsiaTheme="minorEastAsia"/>
                <w:sz w:val="18"/>
                <w:szCs w:val="18"/>
                <w:lang w:bidi="ar"/>
              </w:rPr>
            </w:pPr>
            <w:r>
              <w:rPr>
                <w:rFonts w:cs="Times New Roman" w:eastAsiaTheme="minorEastAsia"/>
                <w:sz w:val="18"/>
                <w:szCs w:val="18"/>
                <w:lang w:bidi="ar"/>
              </w:rPr>
              <w:t xml:space="preserve">0.0069 </w:t>
            </w:r>
          </w:p>
        </w:tc>
        <w:tc>
          <w:tcPr>
            <w:tcW w:w="429" w:type="pct"/>
            <w:tcBorders>
              <w:tl2br w:val="nil"/>
              <w:tr2bl w:val="nil"/>
            </w:tcBorders>
            <w:vAlign w:val="center"/>
          </w:tcPr>
          <w:p w14:paraId="41399BDB">
            <w:pPr>
              <w:jc w:val="center"/>
              <w:rPr>
                <w:rFonts w:cs="Times New Roman" w:eastAsiaTheme="minorEastAsia"/>
                <w:sz w:val="18"/>
                <w:szCs w:val="18"/>
                <w:lang w:bidi="ar"/>
              </w:rPr>
            </w:pPr>
            <w:r>
              <w:rPr>
                <w:rFonts w:cs="Times New Roman" w:eastAsiaTheme="minorEastAsia"/>
                <w:sz w:val="18"/>
                <w:szCs w:val="18"/>
                <w:lang w:bidi="ar"/>
              </w:rPr>
              <w:t xml:space="preserve">0.7934 </w:t>
            </w:r>
          </w:p>
        </w:tc>
        <w:tc>
          <w:tcPr>
            <w:tcW w:w="457" w:type="pct"/>
            <w:tcBorders>
              <w:tl2br w:val="nil"/>
              <w:tr2bl w:val="nil"/>
            </w:tcBorders>
            <w:vAlign w:val="center"/>
          </w:tcPr>
          <w:p w14:paraId="5A1CF081">
            <w:pPr>
              <w:jc w:val="center"/>
              <w:rPr>
                <w:rFonts w:cs="Times New Roman" w:eastAsiaTheme="minorEastAsia"/>
                <w:sz w:val="18"/>
                <w:szCs w:val="18"/>
                <w:lang w:bidi="ar"/>
              </w:rPr>
            </w:pPr>
            <w:r>
              <w:rPr>
                <w:rFonts w:cs="Times New Roman" w:eastAsiaTheme="minorEastAsia"/>
                <w:sz w:val="18"/>
                <w:szCs w:val="18"/>
                <w:lang w:bidi="ar"/>
              </w:rPr>
              <w:t xml:space="preserve">0.0065 </w:t>
            </w:r>
          </w:p>
        </w:tc>
        <w:tc>
          <w:tcPr>
            <w:tcW w:w="429" w:type="pct"/>
            <w:tcBorders>
              <w:tl2br w:val="nil"/>
              <w:tr2bl w:val="nil"/>
            </w:tcBorders>
            <w:vAlign w:val="center"/>
          </w:tcPr>
          <w:p w14:paraId="23437DCD">
            <w:pPr>
              <w:jc w:val="center"/>
              <w:rPr>
                <w:rFonts w:cs="Times New Roman" w:eastAsiaTheme="minorEastAsia"/>
                <w:sz w:val="18"/>
                <w:szCs w:val="18"/>
                <w:lang w:bidi="ar"/>
              </w:rPr>
            </w:pPr>
            <w:r>
              <w:rPr>
                <w:rFonts w:cs="Times New Roman" w:eastAsiaTheme="minorEastAsia"/>
                <w:sz w:val="18"/>
                <w:szCs w:val="18"/>
                <w:lang w:bidi="ar"/>
              </w:rPr>
              <w:t xml:space="preserve">0.8905 </w:t>
            </w:r>
          </w:p>
        </w:tc>
        <w:tc>
          <w:tcPr>
            <w:tcW w:w="457" w:type="pct"/>
            <w:tcBorders>
              <w:tl2br w:val="nil"/>
              <w:tr2bl w:val="nil"/>
            </w:tcBorders>
            <w:vAlign w:val="center"/>
          </w:tcPr>
          <w:p w14:paraId="6F3DDB64">
            <w:pPr>
              <w:jc w:val="center"/>
              <w:rPr>
                <w:rFonts w:cs="Times New Roman" w:eastAsiaTheme="minorEastAsia"/>
                <w:sz w:val="18"/>
                <w:szCs w:val="18"/>
                <w:lang w:bidi="ar"/>
              </w:rPr>
            </w:pPr>
            <w:r>
              <w:rPr>
                <w:rFonts w:cs="Times New Roman" w:eastAsiaTheme="minorEastAsia"/>
                <w:sz w:val="18"/>
                <w:szCs w:val="18"/>
                <w:lang w:bidi="ar"/>
              </w:rPr>
              <w:t xml:space="preserve">0.0039 </w:t>
            </w:r>
          </w:p>
        </w:tc>
      </w:tr>
      <w:tr w14:paraId="426FEF2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565" w:type="pct"/>
            <w:tcBorders>
              <w:tl2br w:val="nil"/>
              <w:tr2bl w:val="nil"/>
            </w:tcBorders>
            <w:vAlign w:val="center"/>
          </w:tcPr>
          <w:p w14:paraId="7F8CB943">
            <w:pPr>
              <w:jc w:val="center"/>
              <w:rPr>
                <w:rFonts w:cs="Times New Roman" w:eastAsiaTheme="minorEastAsia"/>
                <w:sz w:val="18"/>
                <w:szCs w:val="18"/>
                <w:lang w:bidi="ar"/>
              </w:rPr>
            </w:pPr>
            <w:r>
              <w:rPr>
                <w:rFonts w:cs="Times New Roman" w:eastAsiaTheme="minorEastAsia"/>
                <w:sz w:val="18"/>
                <w:szCs w:val="18"/>
                <w:lang w:bidi="ar"/>
              </w:rPr>
              <w:t>KNN</w:t>
            </w:r>
          </w:p>
        </w:tc>
        <w:tc>
          <w:tcPr>
            <w:tcW w:w="429" w:type="pct"/>
            <w:tcBorders>
              <w:tl2br w:val="nil"/>
              <w:tr2bl w:val="nil"/>
            </w:tcBorders>
            <w:vAlign w:val="center"/>
          </w:tcPr>
          <w:p w14:paraId="54AC2DC9">
            <w:pPr>
              <w:jc w:val="center"/>
              <w:rPr>
                <w:rFonts w:cs="Times New Roman" w:eastAsiaTheme="minorEastAsia"/>
                <w:sz w:val="18"/>
                <w:szCs w:val="18"/>
                <w:lang w:bidi="ar"/>
              </w:rPr>
            </w:pPr>
            <w:r>
              <w:rPr>
                <w:rFonts w:cs="Times New Roman" w:eastAsiaTheme="minorEastAsia"/>
                <w:sz w:val="18"/>
                <w:szCs w:val="18"/>
                <w:lang w:bidi="ar"/>
              </w:rPr>
              <w:t>0.8341</w:t>
            </w:r>
          </w:p>
        </w:tc>
        <w:tc>
          <w:tcPr>
            <w:tcW w:w="457" w:type="pct"/>
            <w:tcBorders>
              <w:tl2br w:val="nil"/>
              <w:tr2bl w:val="nil"/>
            </w:tcBorders>
            <w:vAlign w:val="center"/>
          </w:tcPr>
          <w:p w14:paraId="6C6547F7">
            <w:pPr>
              <w:jc w:val="center"/>
              <w:rPr>
                <w:rFonts w:cs="Times New Roman" w:eastAsiaTheme="minorEastAsia"/>
                <w:sz w:val="18"/>
                <w:szCs w:val="18"/>
                <w:lang w:bidi="ar"/>
              </w:rPr>
            </w:pPr>
            <w:r>
              <w:rPr>
                <w:rFonts w:cs="Times New Roman" w:eastAsiaTheme="minorEastAsia"/>
                <w:sz w:val="18"/>
                <w:szCs w:val="18"/>
                <w:lang w:bidi="ar"/>
              </w:rPr>
              <w:t xml:space="preserve">0.0071 </w:t>
            </w:r>
          </w:p>
        </w:tc>
        <w:tc>
          <w:tcPr>
            <w:tcW w:w="429" w:type="pct"/>
            <w:tcBorders>
              <w:tl2br w:val="nil"/>
              <w:tr2bl w:val="nil"/>
            </w:tcBorders>
            <w:vAlign w:val="center"/>
          </w:tcPr>
          <w:p w14:paraId="0486C7AB">
            <w:pPr>
              <w:jc w:val="center"/>
              <w:rPr>
                <w:rFonts w:cs="Times New Roman" w:eastAsiaTheme="minorEastAsia"/>
                <w:sz w:val="18"/>
                <w:szCs w:val="18"/>
                <w:lang w:bidi="ar"/>
              </w:rPr>
            </w:pPr>
            <w:r>
              <w:rPr>
                <w:rFonts w:cs="Times New Roman" w:eastAsiaTheme="minorEastAsia"/>
                <w:sz w:val="18"/>
                <w:szCs w:val="18"/>
                <w:lang w:bidi="ar"/>
              </w:rPr>
              <w:t>0.8029</w:t>
            </w:r>
          </w:p>
        </w:tc>
        <w:tc>
          <w:tcPr>
            <w:tcW w:w="457" w:type="pct"/>
            <w:tcBorders>
              <w:tl2br w:val="nil"/>
              <w:tr2bl w:val="nil"/>
            </w:tcBorders>
            <w:vAlign w:val="center"/>
          </w:tcPr>
          <w:p w14:paraId="41A6A531">
            <w:pPr>
              <w:jc w:val="center"/>
              <w:rPr>
                <w:rFonts w:cs="Times New Roman" w:eastAsiaTheme="minorEastAsia"/>
                <w:sz w:val="18"/>
                <w:szCs w:val="18"/>
                <w:lang w:bidi="ar"/>
              </w:rPr>
            </w:pPr>
            <w:r>
              <w:rPr>
                <w:rFonts w:cs="Times New Roman" w:eastAsiaTheme="minorEastAsia"/>
                <w:sz w:val="18"/>
                <w:szCs w:val="18"/>
                <w:lang w:bidi="ar"/>
              </w:rPr>
              <w:t>0.0112</w:t>
            </w:r>
          </w:p>
        </w:tc>
        <w:tc>
          <w:tcPr>
            <w:tcW w:w="429" w:type="pct"/>
            <w:tcBorders>
              <w:tl2br w:val="nil"/>
              <w:tr2bl w:val="nil"/>
            </w:tcBorders>
            <w:vAlign w:val="center"/>
          </w:tcPr>
          <w:p w14:paraId="311C19E0">
            <w:pPr>
              <w:jc w:val="center"/>
              <w:rPr>
                <w:rFonts w:cs="Times New Roman" w:eastAsiaTheme="minorEastAsia"/>
                <w:sz w:val="18"/>
                <w:szCs w:val="18"/>
                <w:lang w:bidi="ar"/>
              </w:rPr>
            </w:pPr>
            <w:r>
              <w:rPr>
                <w:rFonts w:cs="Times New Roman" w:eastAsiaTheme="minorEastAsia"/>
                <w:sz w:val="18"/>
                <w:szCs w:val="18"/>
                <w:lang w:bidi="ar"/>
              </w:rPr>
              <w:t xml:space="preserve">0.7936 </w:t>
            </w:r>
          </w:p>
        </w:tc>
        <w:tc>
          <w:tcPr>
            <w:tcW w:w="457" w:type="pct"/>
            <w:tcBorders>
              <w:tl2br w:val="nil"/>
              <w:tr2bl w:val="nil"/>
            </w:tcBorders>
            <w:vAlign w:val="center"/>
          </w:tcPr>
          <w:p w14:paraId="1E196E62">
            <w:pPr>
              <w:jc w:val="center"/>
              <w:rPr>
                <w:rFonts w:cs="Times New Roman" w:eastAsiaTheme="minorEastAsia"/>
                <w:sz w:val="18"/>
                <w:szCs w:val="18"/>
                <w:lang w:bidi="ar"/>
              </w:rPr>
            </w:pPr>
            <w:r>
              <w:rPr>
                <w:rFonts w:cs="Times New Roman" w:eastAsiaTheme="minorEastAsia"/>
                <w:sz w:val="18"/>
                <w:szCs w:val="18"/>
                <w:lang w:bidi="ar"/>
              </w:rPr>
              <w:t xml:space="preserve">0.0150 </w:t>
            </w:r>
          </w:p>
        </w:tc>
        <w:tc>
          <w:tcPr>
            <w:tcW w:w="429" w:type="pct"/>
            <w:tcBorders>
              <w:tl2br w:val="nil"/>
              <w:tr2bl w:val="nil"/>
            </w:tcBorders>
            <w:vAlign w:val="center"/>
          </w:tcPr>
          <w:p w14:paraId="50AC6E6E">
            <w:pPr>
              <w:jc w:val="center"/>
              <w:rPr>
                <w:rFonts w:cs="Times New Roman" w:eastAsiaTheme="minorEastAsia"/>
                <w:sz w:val="18"/>
                <w:szCs w:val="18"/>
                <w:lang w:bidi="ar"/>
              </w:rPr>
            </w:pPr>
            <w:r>
              <w:rPr>
                <w:rFonts w:cs="Times New Roman" w:eastAsiaTheme="minorEastAsia"/>
                <w:sz w:val="18"/>
                <w:szCs w:val="18"/>
                <w:lang w:bidi="ar"/>
              </w:rPr>
              <w:t xml:space="preserve">0.7970 </w:t>
            </w:r>
          </w:p>
        </w:tc>
        <w:tc>
          <w:tcPr>
            <w:tcW w:w="457" w:type="pct"/>
            <w:tcBorders>
              <w:tl2br w:val="nil"/>
              <w:tr2bl w:val="nil"/>
            </w:tcBorders>
            <w:vAlign w:val="center"/>
          </w:tcPr>
          <w:p w14:paraId="02156115">
            <w:pPr>
              <w:jc w:val="center"/>
              <w:rPr>
                <w:rFonts w:cs="Times New Roman" w:eastAsiaTheme="minorEastAsia"/>
                <w:sz w:val="18"/>
                <w:szCs w:val="18"/>
                <w:lang w:bidi="ar"/>
              </w:rPr>
            </w:pPr>
            <w:r>
              <w:rPr>
                <w:rFonts w:cs="Times New Roman" w:eastAsiaTheme="minorEastAsia"/>
                <w:sz w:val="18"/>
                <w:szCs w:val="18"/>
                <w:lang w:bidi="ar"/>
              </w:rPr>
              <w:t xml:space="preserve">0.0103 </w:t>
            </w:r>
          </w:p>
        </w:tc>
        <w:tc>
          <w:tcPr>
            <w:tcW w:w="429" w:type="pct"/>
            <w:tcBorders>
              <w:tl2br w:val="nil"/>
              <w:tr2bl w:val="nil"/>
            </w:tcBorders>
            <w:vAlign w:val="center"/>
          </w:tcPr>
          <w:p w14:paraId="093A246B">
            <w:pPr>
              <w:jc w:val="center"/>
              <w:rPr>
                <w:rFonts w:cs="Times New Roman" w:eastAsiaTheme="minorEastAsia"/>
                <w:sz w:val="18"/>
                <w:szCs w:val="18"/>
                <w:lang w:bidi="ar"/>
              </w:rPr>
            </w:pPr>
            <w:r>
              <w:rPr>
                <w:rFonts w:cs="Times New Roman" w:eastAsiaTheme="minorEastAsia"/>
                <w:sz w:val="18"/>
                <w:szCs w:val="18"/>
                <w:lang w:bidi="ar"/>
              </w:rPr>
              <w:t xml:space="preserve">0.5636 </w:t>
            </w:r>
          </w:p>
        </w:tc>
        <w:tc>
          <w:tcPr>
            <w:tcW w:w="457" w:type="pct"/>
            <w:tcBorders>
              <w:tl2br w:val="nil"/>
              <w:tr2bl w:val="nil"/>
            </w:tcBorders>
            <w:vAlign w:val="center"/>
          </w:tcPr>
          <w:p w14:paraId="1693E2C9">
            <w:pPr>
              <w:jc w:val="center"/>
              <w:rPr>
                <w:rFonts w:cs="Times New Roman" w:eastAsiaTheme="minorEastAsia"/>
                <w:sz w:val="18"/>
                <w:szCs w:val="18"/>
                <w:lang w:bidi="ar"/>
              </w:rPr>
            </w:pPr>
            <w:r>
              <w:rPr>
                <w:rFonts w:cs="Times New Roman" w:eastAsiaTheme="minorEastAsia"/>
                <w:sz w:val="18"/>
                <w:szCs w:val="18"/>
                <w:lang w:bidi="ar"/>
              </w:rPr>
              <w:t xml:space="preserve">0.0094 </w:t>
            </w:r>
          </w:p>
        </w:tc>
      </w:tr>
      <w:tr w14:paraId="0C35D9D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565" w:type="pct"/>
            <w:tcBorders>
              <w:tl2br w:val="nil"/>
              <w:tr2bl w:val="nil"/>
            </w:tcBorders>
            <w:vAlign w:val="center"/>
          </w:tcPr>
          <w:p w14:paraId="5B37B52D">
            <w:pPr>
              <w:jc w:val="center"/>
              <w:rPr>
                <w:rFonts w:cs="Times New Roman" w:eastAsiaTheme="minorEastAsia"/>
                <w:sz w:val="18"/>
                <w:szCs w:val="18"/>
                <w:lang w:bidi="ar"/>
              </w:rPr>
            </w:pPr>
            <w:r>
              <w:rPr>
                <w:rFonts w:cs="Times New Roman" w:eastAsiaTheme="minorEastAsia"/>
                <w:sz w:val="18"/>
                <w:szCs w:val="18"/>
                <w:lang w:bidi="ar"/>
              </w:rPr>
              <w:t>CNN</w:t>
            </w:r>
          </w:p>
        </w:tc>
        <w:tc>
          <w:tcPr>
            <w:tcW w:w="429" w:type="pct"/>
            <w:tcBorders>
              <w:tl2br w:val="nil"/>
              <w:tr2bl w:val="nil"/>
            </w:tcBorders>
            <w:vAlign w:val="center"/>
          </w:tcPr>
          <w:p w14:paraId="032E7271">
            <w:pPr>
              <w:jc w:val="center"/>
              <w:rPr>
                <w:rFonts w:cs="Times New Roman" w:eastAsiaTheme="minorEastAsia"/>
                <w:sz w:val="18"/>
                <w:szCs w:val="18"/>
                <w:lang w:bidi="ar"/>
              </w:rPr>
            </w:pPr>
            <w:r>
              <w:rPr>
                <w:rFonts w:cs="Times New Roman" w:eastAsiaTheme="minorEastAsia"/>
                <w:sz w:val="18"/>
                <w:szCs w:val="18"/>
                <w:lang w:bidi="ar"/>
              </w:rPr>
              <w:t>0.7851</w:t>
            </w:r>
          </w:p>
        </w:tc>
        <w:tc>
          <w:tcPr>
            <w:tcW w:w="457" w:type="pct"/>
            <w:tcBorders>
              <w:tl2br w:val="nil"/>
              <w:tr2bl w:val="nil"/>
            </w:tcBorders>
            <w:vAlign w:val="center"/>
          </w:tcPr>
          <w:p w14:paraId="27E90C87">
            <w:pPr>
              <w:jc w:val="center"/>
              <w:rPr>
                <w:rFonts w:cs="Times New Roman" w:eastAsiaTheme="minorEastAsia"/>
                <w:sz w:val="18"/>
                <w:szCs w:val="18"/>
                <w:lang w:bidi="ar"/>
              </w:rPr>
            </w:pPr>
            <w:r>
              <w:rPr>
                <w:rFonts w:cs="Times New Roman" w:eastAsiaTheme="minorEastAsia"/>
                <w:sz w:val="18"/>
                <w:szCs w:val="18"/>
                <w:lang w:bidi="ar"/>
              </w:rPr>
              <w:t xml:space="preserve">0.0104 </w:t>
            </w:r>
          </w:p>
        </w:tc>
        <w:tc>
          <w:tcPr>
            <w:tcW w:w="429" w:type="pct"/>
            <w:tcBorders>
              <w:tl2br w:val="nil"/>
              <w:tr2bl w:val="nil"/>
            </w:tcBorders>
            <w:vAlign w:val="center"/>
          </w:tcPr>
          <w:p w14:paraId="329268B8">
            <w:pPr>
              <w:jc w:val="center"/>
              <w:rPr>
                <w:rFonts w:cs="Times New Roman" w:eastAsiaTheme="minorEastAsia"/>
                <w:sz w:val="18"/>
                <w:szCs w:val="18"/>
                <w:lang w:bidi="ar"/>
              </w:rPr>
            </w:pPr>
            <w:r>
              <w:rPr>
                <w:rFonts w:cs="Times New Roman" w:eastAsiaTheme="minorEastAsia"/>
                <w:sz w:val="18"/>
                <w:szCs w:val="18"/>
                <w:lang w:bidi="ar"/>
              </w:rPr>
              <w:t>0.7639</w:t>
            </w:r>
          </w:p>
        </w:tc>
        <w:tc>
          <w:tcPr>
            <w:tcW w:w="457" w:type="pct"/>
            <w:tcBorders>
              <w:tl2br w:val="nil"/>
              <w:tr2bl w:val="nil"/>
            </w:tcBorders>
            <w:vAlign w:val="center"/>
          </w:tcPr>
          <w:p w14:paraId="35C824E0">
            <w:pPr>
              <w:jc w:val="center"/>
              <w:rPr>
                <w:rFonts w:cs="Times New Roman" w:eastAsiaTheme="minorEastAsia"/>
                <w:sz w:val="18"/>
                <w:szCs w:val="18"/>
                <w:lang w:bidi="ar"/>
              </w:rPr>
            </w:pPr>
            <w:r>
              <w:rPr>
                <w:rFonts w:cs="Times New Roman" w:eastAsiaTheme="minorEastAsia"/>
                <w:sz w:val="18"/>
                <w:szCs w:val="18"/>
                <w:lang w:bidi="ar"/>
              </w:rPr>
              <w:t>0.0125</w:t>
            </w:r>
          </w:p>
        </w:tc>
        <w:tc>
          <w:tcPr>
            <w:tcW w:w="429" w:type="pct"/>
            <w:tcBorders>
              <w:tl2br w:val="nil"/>
              <w:tr2bl w:val="nil"/>
            </w:tcBorders>
            <w:vAlign w:val="center"/>
          </w:tcPr>
          <w:p w14:paraId="5A3B6A88">
            <w:pPr>
              <w:jc w:val="center"/>
              <w:rPr>
                <w:rFonts w:cs="Times New Roman" w:eastAsiaTheme="minorEastAsia"/>
                <w:sz w:val="18"/>
                <w:szCs w:val="18"/>
                <w:lang w:bidi="ar"/>
              </w:rPr>
            </w:pPr>
            <w:r>
              <w:rPr>
                <w:rFonts w:cs="Times New Roman" w:eastAsiaTheme="minorEastAsia"/>
                <w:sz w:val="18"/>
                <w:szCs w:val="18"/>
                <w:lang w:bidi="ar"/>
              </w:rPr>
              <w:t xml:space="preserve">0.6867 </w:t>
            </w:r>
          </w:p>
        </w:tc>
        <w:tc>
          <w:tcPr>
            <w:tcW w:w="457" w:type="pct"/>
            <w:tcBorders>
              <w:tl2br w:val="nil"/>
              <w:tr2bl w:val="nil"/>
            </w:tcBorders>
            <w:vAlign w:val="center"/>
          </w:tcPr>
          <w:p w14:paraId="3472D659">
            <w:pPr>
              <w:jc w:val="center"/>
              <w:rPr>
                <w:rFonts w:cs="Times New Roman" w:eastAsiaTheme="minorEastAsia"/>
                <w:sz w:val="18"/>
                <w:szCs w:val="18"/>
                <w:lang w:bidi="ar"/>
              </w:rPr>
            </w:pPr>
            <w:r>
              <w:rPr>
                <w:rFonts w:cs="Times New Roman" w:eastAsiaTheme="minorEastAsia"/>
                <w:sz w:val="18"/>
                <w:szCs w:val="18"/>
                <w:lang w:bidi="ar"/>
              </w:rPr>
              <w:t xml:space="preserve">0.0140 </w:t>
            </w:r>
          </w:p>
        </w:tc>
        <w:tc>
          <w:tcPr>
            <w:tcW w:w="429" w:type="pct"/>
            <w:tcBorders>
              <w:tl2br w:val="nil"/>
              <w:tr2bl w:val="nil"/>
            </w:tcBorders>
            <w:vAlign w:val="center"/>
          </w:tcPr>
          <w:p w14:paraId="3495E03C">
            <w:pPr>
              <w:jc w:val="center"/>
              <w:rPr>
                <w:rFonts w:cs="Times New Roman" w:eastAsiaTheme="minorEastAsia"/>
                <w:sz w:val="18"/>
                <w:szCs w:val="18"/>
                <w:lang w:bidi="ar"/>
              </w:rPr>
            </w:pPr>
            <w:r>
              <w:rPr>
                <w:rFonts w:cs="Times New Roman" w:eastAsiaTheme="minorEastAsia"/>
                <w:sz w:val="18"/>
                <w:szCs w:val="18"/>
                <w:lang w:bidi="ar"/>
              </w:rPr>
              <w:t xml:space="preserve">0.7046 </w:t>
            </w:r>
          </w:p>
        </w:tc>
        <w:tc>
          <w:tcPr>
            <w:tcW w:w="457" w:type="pct"/>
            <w:tcBorders>
              <w:tl2br w:val="nil"/>
              <w:tr2bl w:val="nil"/>
            </w:tcBorders>
            <w:vAlign w:val="center"/>
          </w:tcPr>
          <w:p w14:paraId="74C837B5">
            <w:pPr>
              <w:jc w:val="center"/>
              <w:rPr>
                <w:rFonts w:cs="Times New Roman" w:eastAsiaTheme="minorEastAsia"/>
                <w:sz w:val="18"/>
                <w:szCs w:val="18"/>
                <w:lang w:bidi="ar"/>
              </w:rPr>
            </w:pPr>
            <w:r>
              <w:rPr>
                <w:rFonts w:cs="Times New Roman" w:eastAsiaTheme="minorEastAsia"/>
                <w:sz w:val="18"/>
                <w:szCs w:val="18"/>
                <w:lang w:bidi="ar"/>
              </w:rPr>
              <w:t xml:space="preserve">0.0148 </w:t>
            </w:r>
          </w:p>
        </w:tc>
        <w:tc>
          <w:tcPr>
            <w:tcW w:w="429" w:type="pct"/>
            <w:tcBorders>
              <w:tl2br w:val="nil"/>
              <w:tr2bl w:val="nil"/>
            </w:tcBorders>
            <w:vAlign w:val="center"/>
          </w:tcPr>
          <w:p w14:paraId="400E19C2">
            <w:pPr>
              <w:jc w:val="center"/>
              <w:rPr>
                <w:rFonts w:cs="Times New Roman" w:eastAsiaTheme="minorEastAsia"/>
                <w:sz w:val="18"/>
                <w:szCs w:val="18"/>
                <w:lang w:bidi="ar"/>
              </w:rPr>
            </w:pPr>
            <w:r>
              <w:rPr>
                <w:rFonts w:cs="Times New Roman" w:eastAsiaTheme="minorEastAsia"/>
                <w:sz w:val="18"/>
                <w:szCs w:val="18"/>
                <w:lang w:bidi="ar"/>
              </w:rPr>
              <w:t xml:space="preserve">0.8719 </w:t>
            </w:r>
          </w:p>
        </w:tc>
        <w:tc>
          <w:tcPr>
            <w:tcW w:w="457" w:type="pct"/>
            <w:tcBorders>
              <w:tl2br w:val="nil"/>
              <w:tr2bl w:val="nil"/>
            </w:tcBorders>
            <w:vAlign w:val="center"/>
          </w:tcPr>
          <w:p w14:paraId="77FEFCD1">
            <w:pPr>
              <w:jc w:val="center"/>
              <w:rPr>
                <w:rFonts w:cs="Times New Roman" w:eastAsiaTheme="minorEastAsia"/>
                <w:sz w:val="18"/>
                <w:szCs w:val="18"/>
                <w:lang w:bidi="ar"/>
              </w:rPr>
            </w:pPr>
            <w:r>
              <w:rPr>
                <w:rFonts w:cs="Times New Roman" w:eastAsiaTheme="minorEastAsia"/>
                <w:sz w:val="18"/>
                <w:szCs w:val="18"/>
                <w:lang w:bidi="ar"/>
              </w:rPr>
              <w:t xml:space="preserve">0.0058 </w:t>
            </w:r>
          </w:p>
        </w:tc>
      </w:tr>
      <w:tr w14:paraId="4E61099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565" w:type="pct"/>
            <w:tcBorders>
              <w:tl2br w:val="nil"/>
              <w:tr2bl w:val="nil"/>
            </w:tcBorders>
            <w:vAlign w:val="center"/>
          </w:tcPr>
          <w:p w14:paraId="08F3912F">
            <w:pPr>
              <w:jc w:val="center"/>
              <w:rPr>
                <w:rFonts w:cs="Times New Roman" w:eastAsiaTheme="minorEastAsia"/>
                <w:sz w:val="18"/>
                <w:szCs w:val="18"/>
                <w:lang w:bidi="ar"/>
              </w:rPr>
            </w:pPr>
            <w:r>
              <w:rPr>
                <w:rFonts w:cs="Times New Roman" w:eastAsiaTheme="minorEastAsia"/>
                <w:sz w:val="18"/>
                <w:szCs w:val="18"/>
                <w:lang w:bidi="ar"/>
              </w:rPr>
              <w:t>BO-RF</w:t>
            </w:r>
          </w:p>
        </w:tc>
        <w:tc>
          <w:tcPr>
            <w:tcW w:w="429" w:type="pct"/>
            <w:tcBorders>
              <w:tl2br w:val="nil"/>
              <w:tr2bl w:val="nil"/>
            </w:tcBorders>
            <w:vAlign w:val="center"/>
          </w:tcPr>
          <w:p w14:paraId="03157DC3">
            <w:pPr>
              <w:jc w:val="center"/>
              <w:rPr>
                <w:rFonts w:cs="Times New Roman" w:eastAsiaTheme="minorEastAsia"/>
                <w:sz w:val="18"/>
                <w:szCs w:val="18"/>
                <w:lang w:bidi="ar"/>
              </w:rPr>
            </w:pPr>
            <w:r>
              <w:rPr>
                <w:rFonts w:cs="Times New Roman" w:eastAsiaTheme="minorEastAsia"/>
                <w:sz w:val="18"/>
                <w:szCs w:val="18"/>
                <w:lang w:bidi="ar"/>
              </w:rPr>
              <w:t>0.8324</w:t>
            </w:r>
          </w:p>
        </w:tc>
        <w:tc>
          <w:tcPr>
            <w:tcW w:w="457" w:type="pct"/>
            <w:tcBorders>
              <w:tl2br w:val="nil"/>
              <w:tr2bl w:val="nil"/>
            </w:tcBorders>
            <w:vAlign w:val="center"/>
          </w:tcPr>
          <w:p w14:paraId="6A865277">
            <w:pPr>
              <w:jc w:val="center"/>
              <w:rPr>
                <w:rFonts w:cs="Times New Roman" w:eastAsiaTheme="minorEastAsia"/>
                <w:sz w:val="18"/>
                <w:szCs w:val="18"/>
                <w:lang w:bidi="ar"/>
              </w:rPr>
            </w:pPr>
            <w:r>
              <w:rPr>
                <w:rFonts w:cs="Times New Roman" w:eastAsiaTheme="minorEastAsia"/>
                <w:sz w:val="18"/>
                <w:szCs w:val="18"/>
                <w:lang w:bidi="ar"/>
              </w:rPr>
              <w:t xml:space="preserve">0.0103 </w:t>
            </w:r>
          </w:p>
        </w:tc>
        <w:tc>
          <w:tcPr>
            <w:tcW w:w="429" w:type="pct"/>
            <w:tcBorders>
              <w:tl2br w:val="nil"/>
              <w:tr2bl w:val="nil"/>
            </w:tcBorders>
            <w:vAlign w:val="center"/>
          </w:tcPr>
          <w:p w14:paraId="3E169B04">
            <w:pPr>
              <w:jc w:val="center"/>
              <w:rPr>
                <w:rFonts w:cs="Times New Roman" w:eastAsiaTheme="minorEastAsia"/>
                <w:sz w:val="18"/>
                <w:szCs w:val="18"/>
                <w:lang w:bidi="ar"/>
              </w:rPr>
            </w:pPr>
            <w:r>
              <w:rPr>
                <w:rFonts w:cs="Times New Roman" w:eastAsiaTheme="minorEastAsia"/>
                <w:sz w:val="18"/>
                <w:szCs w:val="18"/>
                <w:lang w:bidi="ar"/>
              </w:rPr>
              <w:t>0.8262</w:t>
            </w:r>
          </w:p>
        </w:tc>
        <w:tc>
          <w:tcPr>
            <w:tcW w:w="457" w:type="pct"/>
            <w:tcBorders>
              <w:tl2br w:val="nil"/>
              <w:tr2bl w:val="nil"/>
            </w:tcBorders>
            <w:vAlign w:val="center"/>
          </w:tcPr>
          <w:p w14:paraId="0445B5A2">
            <w:pPr>
              <w:jc w:val="center"/>
              <w:rPr>
                <w:rFonts w:cs="Times New Roman" w:eastAsiaTheme="minorEastAsia"/>
                <w:sz w:val="18"/>
                <w:szCs w:val="18"/>
                <w:lang w:bidi="ar"/>
              </w:rPr>
            </w:pPr>
            <w:r>
              <w:rPr>
                <w:rFonts w:cs="Times New Roman" w:eastAsiaTheme="minorEastAsia"/>
                <w:sz w:val="18"/>
                <w:szCs w:val="18"/>
                <w:lang w:bidi="ar"/>
              </w:rPr>
              <w:t>0.0166</w:t>
            </w:r>
          </w:p>
        </w:tc>
        <w:tc>
          <w:tcPr>
            <w:tcW w:w="429" w:type="pct"/>
            <w:tcBorders>
              <w:tl2br w:val="nil"/>
              <w:tr2bl w:val="nil"/>
            </w:tcBorders>
            <w:vAlign w:val="center"/>
          </w:tcPr>
          <w:p w14:paraId="0155BEC7">
            <w:pPr>
              <w:jc w:val="center"/>
              <w:rPr>
                <w:rFonts w:cs="Times New Roman" w:eastAsiaTheme="minorEastAsia"/>
                <w:sz w:val="18"/>
                <w:szCs w:val="18"/>
                <w:lang w:bidi="ar"/>
              </w:rPr>
            </w:pPr>
            <w:r>
              <w:rPr>
                <w:rFonts w:cs="Times New Roman" w:eastAsiaTheme="minorEastAsia"/>
                <w:sz w:val="18"/>
                <w:szCs w:val="18"/>
                <w:lang w:bidi="ar"/>
              </w:rPr>
              <w:t xml:space="preserve">0.7495 </w:t>
            </w:r>
          </w:p>
        </w:tc>
        <w:tc>
          <w:tcPr>
            <w:tcW w:w="457" w:type="pct"/>
            <w:tcBorders>
              <w:tl2br w:val="nil"/>
              <w:tr2bl w:val="nil"/>
            </w:tcBorders>
            <w:vAlign w:val="center"/>
          </w:tcPr>
          <w:p w14:paraId="5184913D">
            <w:pPr>
              <w:jc w:val="center"/>
              <w:rPr>
                <w:rFonts w:cs="Times New Roman" w:eastAsiaTheme="minorEastAsia"/>
                <w:sz w:val="18"/>
                <w:szCs w:val="18"/>
                <w:lang w:bidi="ar"/>
              </w:rPr>
            </w:pPr>
            <w:r>
              <w:rPr>
                <w:rFonts w:cs="Times New Roman" w:eastAsiaTheme="minorEastAsia"/>
                <w:sz w:val="18"/>
                <w:szCs w:val="18"/>
                <w:lang w:bidi="ar"/>
              </w:rPr>
              <w:t xml:space="preserve">0.0114 </w:t>
            </w:r>
          </w:p>
        </w:tc>
        <w:tc>
          <w:tcPr>
            <w:tcW w:w="429" w:type="pct"/>
            <w:tcBorders>
              <w:tl2br w:val="nil"/>
              <w:tr2bl w:val="nil"/>
            </w:tcBorders>
            <w:vAlign w:val="center"/>
          </w:tcPr>
          <w:p w14:paraId="65C4ACCC">
            <w:pPr>
              <w:jc w:val="center"/>
              <w:rPr>
                <w:rFonts w:cs="Times New Roman" w:eastAsiaTheme="minorEastAsia"/>
                <w:sz w:val="18"/>
                <w:szCs w:val="18"/>
                <w:lang w:bidi="ar"/>
              </w:rPr>
            </w:pPr>
            <w:r>
              <w:rPr>
                <w:rFonts w:cs="Times New Roman" w:eastAsiaTheme="minorEastAsia"/>
                <w:sz w:val="18"/>
                <w:szCs w:val="18"/>
                <w:lang w:bidi="ar"/>
              </w:rPr>
              <w:t xml:space="preserve">0.7730 </w:t>
            </w:r>
          </w:p>
        </w:tc>
        <w:tc>
          <w:tcPr>
            <w:tcW w:w="457" w:type="pct"/>
            <w:tcBorders>
              <w:tl2br w:val="nil"/>
              <w:tr2bl w:val="nil"/>
            </w:tcBorders>
            <w:vAlign w:val="center"/>
          </w:tcPr>
          <w:p w14:paraId="4525F908">
            <w:pPr>
              <w:jc w:val="center"/>
              <w:rPr>
                <w:rFonts w:cs="Times New Roman" w:eastAsiaTheme="minorEastAsia"/>
                <w:sz w:val="18"/>
                <w:szCs w:val="18"/>
                <w:lang w:bidi="ar"/>
              </w:rPr>
            </w:pPr>
            <w:r>
              <w:rPr>
                <w:rFonts w:cs="Times New Roman" w:eastAsiaTheme="minorEastAsia"/>
                <w:sz w:val="18"/>
                <w:szCs w:val="18"/>
                <w:lang w:bidi="ar"/>
              </w:rPr>
              <w:t xml:space="preserve">0.0122 </w:t>
            </w:r>
          </w:p>
        </w:tc>
        <w:tc>
          <w:tcPr>
            <w:tcW w:w="429" w:type="pct"/>
            <w:tcBorders>
              <w:tl2br w:val="nil"/>
              <w:tr2bl w:val="nil"/>
            </w:tcBorders>
            <w:vAlign w:val="center"/>
          </w:tcPr>
          <w:p w14:paraId="5CCF8976">
            <w:pPr>
              <w:jc w:val="center"/>
              <w:rPr>
                <w:rFonts w:cs="Times New Roman" w:eastAsiaTheme="minorEastAsia"/>
                <w:sz w:val="18"/>
                <w:szCs w:val="18"/>
                <w:lang w:bidi="ar"/>
              </w:rPr>
            </w:pPr>
            <w:r>
              <w:rPr>
                <w:rFonts w:cs="Times New Roman" w:eastAsiaTheme="minorEastAsia"/>
                <w:sz w:val="18"/>
                <w:szCs w:val="18"/>
                <w:lang w:bidi="ar"/>
              </w:rPr>
              <w:t xml:space="preserve">0.8637 </w:t>
            </w:r>
          </w:p>
        </w:tc>
        <w:tc>
          <w:tcPr>
            <w:tcW w:w="457" w:type="pct"/>
            <w:tcBorders>
              <w:tl2br w:val="nil"/>
              <w:tr2bl w:val="nil"/>
            </w:tcBorders>
            <w:vAlign w:val="center"/>
          </w:tcPr>
          <w:p w14:paraId="20D960BD">
            <w:pPr>
              <w:jc w:val="center"/>
              <w:rPr>
                <w:rFonts w:cs="Times New Roman" w:eastAsiaTheme="minorEastAsia"/>
                <w:sz w:val="18"/>
                <w:szCs w:val="18"/>
                <w:lang w:bidi="ar"/>
              </w:rPr>
            </w:pPr>
            <w:r>
              <w:rPr>
                <w:rFonts w:cs="Times New Roman" w:eastAsiaTheme="minorEastAsia"/>
                <w:sz w:val="18"/>
                <w:szCs w:val="18"/>
                <w:lang w:bidi="ar"/>
              </w:rPr>
              <w:t xml:space="preserve">0.0054 </w:t>
            </w:r>
          </w:p>
        </w:tc>
      </w:tr>
      <w:tr w14:paraId="58DA206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565" w:type="pct"/>
            <w:tcBorders>
              <w:tl2br w:val="nil"/>
              <w:tr2bl w:val="nil"/>
            </w:tcBorders>
            <w:vAlign w:val="center"/>
          </w:tcPr>
          <w:p w14:paraId="7BB94136">
            <w:pPr>
              <w:jc w:val="center"/>
              <w:rPr>
                <w:rFonts w:cs="Times New Roman" w:eastAsiaTheme="minorEastAsia"/>
                <w:sz w:val="18"/>
                <w:szCs w:val="18"/>
                <w:lang w:bidi="ar"/>
              </w:rPr>
            </w:pPr>
            <w:r>
              <w:rPr>
                <w:rFonts w:cs="Times New Roman" w:eastAsiaTheme="minorEastAsia"/>
                <w:sz w:val="18"/>
                <w:szCs w:val="18"/>
                <w:lang w:bidi="ar"/>
              </w:rPr>
              <w:t>BO-CNN</w:t>
            </w:r>
          </w:p>
        </w:tc>
        <w:tc>
          <w:tcPr>
            <w:tcW w:w="429" w:type="pct"/>
            <w:tcBorders>
              <w:tl2br w:val="nil"/>
              <w:tr2bl w:val="nil"/>
            </w:tcBorders>
            <w:vAlign w:val="center"/>
          </w:tcPr>
          <w:p w14:paraId="0D07BBA4">
            <w:pPr>
              <w:jc w:val="center"/>
              <w:rPr>
                <w:rFonts w:cs="Times New Roman" w:eastAsiaTheme="minorEastAsia"/>
                <w:sz w:val="18"/>
                <w:szCs w:val="18"/>
                <w:lang w:bidi="ar"/>
              </w:rPr>
            </w:pPr>
            <w:r>
              <w:rPr>
                <w:rFonts w:cs="Times New Roman" w:eastAsiaTheme="minorEastAsia"/>
                <w:sz w:val="18"/>
                <w:szCs w:val="18"/>
                <w:lang w:bidi="ar"/>
              </w:rPr>
              <w:t>0.8144</w:t>
            </w:r>
          </w:p>
        </w:tc>
        <w:tc>
          <w:tcPr>
            <w:tcW w:w="457" w:type="pct"/>
            <w:tcBorders>
              <w:tl2br w:val="nil"/>
              <w:tr2bl w:val="nil"/>
            </w:tcBorders>
            <w:vAlign w:val="center"/>
          </w:tcPr>
          <w:p w14:paraId="7CB64257">
            <w:pPr>
              <w:jc w:val="center"/>
              <w:rPr>
                <w:rFonts w:cs="Times New Roman" w:eastAsiaTheme="minorEastAsia"/>
                <w:sz w:val="18"/>
                <w:szCs w:val="18"/>
                <w:lang w:bidi="ar"/>
              </w:rPr>
            </w:pPr>
            <w:r>
              <w:rPr>
                <w:rFonts w:cs="Times New Roman" w:eastAsiaTheme="minorEastAsia"/>
                <w:sz w:val="18"/>
                <w:szCs w:val="18"/>
                <w:lang w:bidi="ar"/>
              </w:rPr>
              <w:t xml:space="preserve">0.0157 </w:t>
            </w:r>
          </w:p>
        </w:tc>
        <w:tc>
          <w:tcPr>
            <w:tcW w:w="429" w:type="pct"/>
            <w:tcBorders>
              <w:tl2br w:val="nil"/>
              <w:tr2bl w:val="nil"/>
            </w:tcBorders>
            <w:vAlign w:val="center"/>
          </w:tcPr>
          <w:p w14:paraId="771BF38C">
            <w:pPr>
              <w:jc w:val="center"/>
              <w:rPr>
                <w:rFonts w:cs="Times New Roman" w:eastAsiaTheme="minorEastAsia"/>
                <w:sz w:val="18"/>
                <w:szCs w:val="18"/>
                <w:lang w:bidi="ar"/>
              </w:rPr>
            </w:pPr>
            <w:r>
              <w:rPr>
                <w:rFonts w:cs="Times New Roman" w:eastAsiaTheme="minorEastAsia"/>
                <w:sz w:val="18"/>
                <w:szCs w:val="18"/>
                <w:lang w:bidi="ar"/>
              </w:rPr>
              <w:t>0.8106</w:t>
            </w:r>
          </w:p>
        </w:tc>
        <w:tc>
          <w:tcPr>
            <w:tcW w:w="457" w:type="pct"/>
            <w:tcBorders>
              <w:tl2br w:val="nil"/>
              <w:tr2bl w:val="nil"/>
            </w:tcBorders>
            <w:vAlign w:val="center"/>
          </w:tcPr>
          <w:p w14:paraId="065B2A17">
            <w:pPr>
              <w:jc w:val="center"/>
              <w:rPr>
                <w:rFonts w:cs="Times New Roman" w:eastAsiaTheme="minorEastAsia"/>
                <w:sz w:val="18"/>
                <w:szCs w:val="18"/>
                <w:lang w:bidi="ar"/>
              </w:rPr>
            </w:pPr>
            <w:r>
              <w:rPr>
                <w:rFonts w:cs="Times New Roman" w:eastAsiaTheme="minorEastAsia"/>
                <w:sz w:val="18"/>
                <w:szCs w:val="18"/>
                <w:lang w:bidi="ar"/>
              </w:rPr>
              <w:t>0.0221</w:t>
            </w:r>
          </w:p>
        </w:tc>
        <w:tc>
          <w:tcPr>
            <w:tcW w:w="429" w:type="pct"/>
            <w:tcBorders>
              <w:tl2br w:val="nil"/>
              <w:tr2bl w:val="nil"/>
            </w:tcBorders>
            <w:vAlign w:val="center"/>
          </w:tcPr>
          <w:p w14:paraId="726A5AF1">
            <w:pPr>
              <w:jc w:val="center"/>
              <w:rPr>
                <w:rFonts w:cs="Times New Roman" w:eastAsiaTheme="minorEastAsia"/>
                <w:sz w:val="18"/>
                <w:szCs w:val="18"/>
                <w:lang w:bidi="ar"/>
              </w:rPr>
            </w:pPr>
            <w:r>
              <w:rPr>
                <w:rFonts w:cs="Times New Roman" w:eastAsiaTheme="minorEastAsia"/>
                <w:sz w:val="18"/>
                <w:szCs w:val="18"/>
                <w:lang w:bidi="ar"/>
              </w:rPr>
              <w:t xml:space="preserve">0.7232 </w:t>
            </w:r>
          </w:p>
        </w:tc>
        <w:tc>
          <w:tcPr>
            <w:tcW w:w="457" w:type="pct"/>
            <w:tcBorders>
              <w:tl2br w:val="nil"/>
              <w:tr2bl w:val="nil"/>
            </w:tcBorders>
            <w:vAlign w:val="center"/>
          </w:tcPr>
          <w:p w14:paraId="752FBE4B">
            <w:pPr>
              <w:jc w:val="center"/>
              <w:rPr>
                <w:rFonts w:cs="Times New Roman" w:eastAsiaTheme="minorEastAsia"/>
                <w:sz w:val="18"/>
                <w:szCs w:val="18"/>
                <w:lang w:bidi="ar"/>
              </w:rPr>
            </w:pPr>
            <w:r>
              <w:rPr>
                <w:rFonts w:cs="Times New Roman" w:eastAsiaTheme="minorEastAsia"/>
                <w:sz w:val="18"/>
                <w:szCs w:val="18"/>
                <w:lang w:bidi="ar"/>
              </w:rPr>
              <w:t xml:space="preserve">0.0211 </w:t>
            </w:r>
          </w:p>
        </w:tc>
        <w:tc>
          <w:tcPr>
            <w:tcW w:w="429" w:type="pct"/>
            <w:tcBorders>
              <w:tl2br w:val="nil"/>
              <w:tr2bl w:val="nil"/>
            </w:tcBorders>
            <w:vAlign w:val="center"/>
          </w:tcPr>
          <w:p w14:paraId="43A42F11">
            <w:pPr>
              <w:jc w:val="center"/>
              <w:rPr>
                <w:rFonts w:cs="Times New Roman" w:eastAsiaTheme="minorEastAsia"/>
                <w:sz w:val="18"/>
                <w:szCs w:val="18"/>
                <w:lang w:bidi="ar"/>
              </w:rPr>
            </w:pPr>
            <w:r>
              <w:rPr>
                <w:rFonts w:cs="Times New Roman" w:eastAsiaTheme="minorEastAsia"/>
                <w:sz w:val="18"/>
                <w:szCs w:val="18"/>
                <w:lang w:bidi="ar"/>
              </w:rPr>
              <w:t xml:space="preserve">0.7457 </w:t>
            </w:r>
          </w:p>
        </w:tc>
        <w:tc>
          <w:tcPr>
            <w:tcW w:w="457" w:type="pct"/>
            <w:tcBorders>
              <w:tl2br w:val="nil"/>
              <w:tr2bl w:val="nil"/>
            </w:tcBorders>
            <w:vAlign w:val="center"/>
          </w:tcPr>
          <w:p w14:paraId="0CAE87B4">
            <w:pPr>
              <w:jc w:val="center"/>
              <w:rPr>
                <w:rFonts w:cs="Times New Roman" w:eastAsiaTheme="minorEastAsia"/>
                <w:sz w:val="18"/>
                <w:szCs w:val="18"/>
                <w:lang w:bidi="ar"/>
              </w:rPr>
            </w:pPr>
            <w:r>
              <w:rPr>
                <w:rFonts w:cs="Times New Roman" w:eastAsiaTheme="minorEastAsia"/>
                <w:sz w:val="18"/>
                <w:szCs w:val="18"/>
                <w:lang w:bidi="ar"/>
              </w:rPr>
              <w:t xml:space="preserve">0.0216 </w:t>
            </w:r>
          </w:p>
        </w:tc>
        <w:tc>
          <w:tcPr>
            <w:tcW w:w="429" w:type="pct"/>
            <w:tcBorders>
              <w:tl2br w:val="nil"/>
              <w:tr2bl w:val="nil"/>
            </w:tcBorders>
            <w:vAlign w:val="center"/>
          </w:tcPr>
          <w:p w14:paraId="1E98C6C8">
            <w:pPr>
              <w:jc w:val="center"/>
              <w:rPr>
                <w:rFonts w:cs="Times New Roman" w:eastAsiaTheme="minorEastAsia"/>
                <w:sz w:val="18"/>
                <w:szCs w:val="18"/>
                <w:lang w:bidi="ar"/>
              </w:rPr>
            </w:pPr>
            <w:r>
              <w:rPr>
                <w:rFonts w:cs="Times New Roman" w:eastAsiaTheme="minorEastAsia"/>
                <w:sz w:val="18"/>
                <w:szCs w:val="18"/>
                <w:lang w:bidi="ar"/>
              </w:rPr>
              <w:t xml:space="preserve">0.8397 </w:t>
            </w:r>
          </w:p>
        </w:tc>
        <w:tc>
          <w:tcPr>
            <w:tcW w:w="457" w:type="pct"/>
            <w:tcBorders>
              <w:tl2br w:val="nil"/>
              <w:tr2bl w:val="nil"/>
            </w:tcBorders>
            <w:vAlign w:val="center"/>
          </w:tcPr>
          <w:p w14:paraId="660E9795">
            <w:pPr>
              <w:jc w:val="center"/>
              <w:rPr>
                <w:rFonts w:cs="Times New Roman" w:eastAsiaTheme="minorEastAsia"/>
                <w:sz w:val="18"/>
                <w:szCs w:val="18"/>
                <w:lang w:bidi="ar"/>
              </w:rPr>
            </w:pPr>
            <w:r>
              <w:rPr>
                <w:rFonts w:cs="Times New Roman" w:eastAsiaTheme="minorEastAsia"/>
                <w:sz w:val="18"/>
                <w:szCs w:val="18"/>
                <w:lang w:bidi="ar"/>
              </w:rPr>
              <w:t xml:space="preserve">0.0052 </w:t>
            </w:r>
          </w:p>
        </w:tc>
      </w:tr>
      <w:tr w14:paraId="47B2A7F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trPr>
        <w:tc>
          <w:tcPr>
            <w:tcW w:w="565" w:type="pct"/>
            <w:tcBorders>
              <w:tl2br w:val="nil"/>
              <w:tr2bl w:val="nil"/>
            </w:tcBorders>
            <w:vAlign w:val="center"/>
          </w:tcPr>
          <w:p w14:paraId="431A9B49">
            <w:pPr>
              <w:jc w:val="center"/>
              <w:rPr>
                <w:rFonts w:cs="Times New Roman" w:eastAsiaTheme="minorEastAsia"/>
                <w:b/>
                <w:bCs/>
                <w:sz w:val="18"/>
                <w:szCs w:val="18"/>
                <w:lang w:bidi="ar"/>
              </w:rPr>
            </w:pPr>
            <w:r>
              <w:rPr>
                <w:rFonts w:cs="Times New Roman" w:eastAsiaTheme="minorEastAsia"/>
                <w:b/>
                <w:bCs/>
                <w:sz w:val="18"/>
                <w:szCs w:val="18"/>
                <w:lang w:bidi="ar"/>
              </w:rPr>
              <w:t>SVM-RF</w:t>
            </w:r>
          </w:p>
        </w:tc>
        <w:tc>
          <w:tcPr>
            <w:tcW w:w="429" w:type="pct"/>
            <w:tcBorders>
              <w:tl2br w:val="nil"/>
              <w:tr2bl w:val="nil"/>
            </w:tcBorders>
            <w:vAlign w:val="center"/>
          </w:tcPr>
          <w:p w14:paraId="6EC4275E">
            <w:pPr>
              <w:jc w:val="center"/>
              <w:rPr>
                <w:rFonts w:cs="Times New Roman" w:eastAsiaTheme="minorEastAsia"/>
                <w:b/>
                <w:bCs/>
                <w:sz w:val="18"/>
                <w:szCs w:val="18"/>
                <w:lang w:bidi="ar"/>
              </w:rPr>
            </w:pPr>
            <w:r>
              <w:rPr>
                <w:rFonts w:cs="Times New Roman" w:eastAsiaTheme="minorEastAsia"/>
                <w:b/>
                <w:bCs/>
                <w:sz w:val="18"/>
                <w:szCs w:val="18"/>
                <w:lang w:bidi="ar"/>
              </w:rPr>
              <w:t>0.8453</w:t>
            </w:r>
          </w:p>
        </w:tc>
        <w:tc>
          <w:tcPr>
            <w:tcW w:w="457" w:type="pct"/>
            <w:tcBorders>
              <w:tl2br w:val="nil"/>
              <w:tr2bl w:val="nil"/>
            </w:tcBorders>
            <w:vAlign w:val="center"/>
          </w:tcPr>
          <w:p w14:paraId="762737E8">
            <w:pPr>
              <w:jc w:val="center"/>
              <w:rPr>
                <w:rFonts w:cs="Times New Roman" w:eastAsiaTheme="minorEastAsia"/>
                <w:sz w:val="18"/>
                <w:szCs w:val="18"/>
                <w:lang w:bidi="ar"/>
              </w:rPr>
            </w:pPr>
            <w:r>
              <w:rPr>
                <w:rFonts w:cs="Times New Roman" w:eastAsiaTheme="minorEastAsia"/>
                <w:sz w:val="18"/>
                <w:szCs w:val="18"/>
                <w:lang w:bidi="ar"/>
              </w:rPr>
              <w:t>0.0087</w:t>
            </w:r>
          </w:p>
        </w:tc>
        <w:tc>
          <w:tcPr>
            <w:tcW w:w="429" w:type="pct"/>
            <w:tcBorders>
              <w:tl2br w:val="nil"/>
              <w:tr2bl w:val="nil"/>
            </w:tcBorders>
            <w:vAlign w:val="center"/>
          </w:tcPr>
          <w:p w14:paraId="5998BBBC">
            <w:pPr>
              <w:jc w:val="center"/>
              <w:rPr>
                <w:rFonts w:cs="Times New Roman" w:eastAsiaTheme="minorEastAsia"/>
                <w:b/>
                <w:bCs/>
                <w:sz w:val="18"/>
                <w:szCs w:val="18"/>
                <w:lang w:bidi="ar"/>
              </w:rPr>
            </w:pPr>
            <w:r>
              <w:rPr>
                <w:rFonts w:cs="Times New Roman" w:eastAsiaTheme="minorEastAsia"/>
                <w:b/>
                <w:bCs/>
                <w:sz w:val="18"/>
                <w:szCs w:val="18"/>
                <w:lang w:bidi="ar"/>
              </w:rPr>
              <w:t>0.8337</w:t>
            </w:r>
          </w:p>
        </w:tc>
        <w:tc>
          <w:tcPr>
            <w:tcW w:w="457" w:type="pct"/>
            <w:tcBorders>
              <w:tl2br w:val="nil"/>
              <w:tr2bl w:val="nil"/>
            </w:tcBorders>
            <w:vAlign w:val="center"/>
          </w:tcPr>
          <w:p w14:paraId="53671042">
            <w:pPr>
              <w:jc w:val="center"/>
              <w:rPr>
                <w:rFonts w:cs="Times New Roman" w:eastAsiaTheme="minorEastAsia"/>
                <w:sz w:val="18"/>
                <w:szCs w:val="18"/>
                <w:lang w:bidi="ar"/>
              </w:rPr>
            </w:pPr>
            <w:r>
              <w:rPr>
                <w:rFonts w:cs="Times New Roman" w:eastAsiaTheme="minorEastAsia"/>
                <w:sz w:val="18"/>
                <w:szCs w:val="18"/>
                <w:lang w:bidi="ar"/>
              </w:rPr>
              <w:t>0.0150</w:t>
            </w:r>
          </w:p>
        </w:tc>
        <w:tc>
          <w:tcPr>
            <w:tcW w:w="429" w:type="pct"/>
            <w:tcBorders>
              <w:tl2br w:val="nil"/>
              <w:tr2bl w:val="nil"/>
            </w:tcBorders>
            <w:vAlign w:val="center"/>
          </w:tcPr>
          <w:p w14:paraId="33E7A292">
            <w:pPr>
              <w:jc w:val="center"/>
              <w:rPr>
                <w:rFonts w:cs="Times New Roman" w:eastAsiaTheme="minorEastAsia"/>
                <w:b/>
                <w:bCs/>
                <w:sz w:val="18"/>
                <w:szCs w:val="18"/>
                <w:lang w:bidi="ar"/>
              </w:rPr>
            </w:pPr>
            <w:r>
              <w:rPr>
                <w:rFonts w:cs="Times New Roman" w:eastAsiaTheme="minorEastAsia"/>
                <w:b/>
                <w:bCs/>
                <w:sz w:val="18"/>
                <w:szCs w:val="18"/>
                <w:lang w:bidi="ar"/>
              </w:rPr>
              <w:t xml:space="preserve">0.7749 </w:t>
            </w:r>
          </w:p>
        </w:tc>
        <w:tc>
          <w:tcPr>
            <w:tcW w:w="457" w:type="pct"/>
            <w:tcBorders>
              <w:tl2br w:val="nil"/>
              <w:tr2bl w:val="nil"/>
            </w:tcBorders>
            <w:vAlign w:val="center"/>
          </w:tcPr>
          <w:p w14:paraId="585498C6">
            <w:pPr>
              <w:jc w:val="center"/>
              <w:rPr>
                <w:rFonts w:cs="Times New Roman" w:eastAsiaTheme="minorEastAsia"/>
                <w:sz w:val="18"/>
                <w:szCs w:val="18"/>
                <w:lang w:bidi="ar"/>
              </w:rPr>
            </w:pPr>
            <w:r>
              <w:rPr>
                <w:rFonts w:cs="Times New Roman" w:eastAsiaTheme="minorEastAsia"/>
                <w:sz w:val="18"/>
                <w:szCs w:val="18"/>
                <w:lang w:bidi="ar"/>
              </w:rPr>
              <w:t>0.0217</w:t>
            </w:r>
          </w:p>
        </w:tc>
        <w:tc>
          <w:tcPr>
            <w:tcW w:w="429" w:type="pct"/>
            <w:tcBorders>
              <w:tl2br w:val="nil"/>
              <w:tr2bl w:val="nil"/>
            </w:tcBorders>
            <w:vAlign w:val="center"/>
          </w:tcPr>
          <w:p w14:paraId="4075C6AF">
            <w:pPr>
              <w:jc w:val="center"/>
              <w:rPr>
                <w:rFonts w:cs="Times New Roman" w:eastAsiaTheme="minorEastAsia"/>
                <w:b/>
                <w:bCs/>
                <w:sz w:val="18"/>
                <w:szCs w:val="18"/>
                <w:lang w:bidi="ar"/>
              </w:rPr>
            </w:pPr>
            <w:r>
              <w:rPr>
                <w:rFonts w:cs="Times New Roman" w:eastAsiaTheme="minorEastAsia"/>
                <w:b/>
                <w:bCs/>
                <w:sz w:val="18"/>
                <w:szCs w:val="18"/>
                <w:lang w:bidi="ar"/>
              </w:rPr>
              <w:t>0.7942</w:t>
            </w:r>
          </w:p>
        </w:tc>
        <w:tc>
          <w:tcPr>
            <w:tcW w:w="457" w:type="pct"/>
            <w:tcBorders>
              <w:tl2br w:val="nil"/>
              <w:tr2bl w:val="nil"/>
            </w:tcBorders>
            <w:vAlign w:val="center"/>
          </w:tcPr>
          <w:p w14:paraId="015410DA">
            <w:pPr>
              <w:jc w:val="center"/>
              <w:rPr>
                <w:rFonts w:cs="Times New Roman" w:eastAsiaTheme="minorEastAsia"/>
                <w:sz w:val="18"/>
                <w:szCs w:val="18"/>
                <w:lang w:bidi="ar"/>
              </w:rPr>
            </w:pPr>
            <w:r>
              <w:rPr>
                <w:rFonts w:cs="Times New Roman" w:eastAsiaTheme="minorEastAsia"/>
                <w:sz w:val="18"/>
                <w:szCs w:val="18"/>
                <w:lang w:bidi="ar"/>
              </w:rPr>
              <w:t>0.0147</w:t>
            </w:r>
          </w:p>
        </w:tc>
        <w:tc>
          <w:tcPr>
            <w:tcW w:w="429" w:type="pct"/>
            <w:tcBorders>
              <w:tl2br w:val="nil"/>
              <w:tr2bl w:val="nil"/>
            </w:tcBorders>
            <w:vAlign w:val="center"/>
          </w:tcPr>
          <w:p w14:paraId="1117368B">
            <w:pPr>
              <w:jc w:val="center"/>
              <w:rPr>
                <w:rFonts w:cs="Times New Roman" w:eastAsiaTheme="minorEastAsia"/>
                <w:b/>
                <w:bCs/>
                <w:sz w:val="18"/>
                <w:szCs w:val="18"/>
                <w:lang w:bidi="ar"/>
              </w:rPr>
            </w:pPr>
            <w:r>
              <w:rPr>
                <w:rFonts w:cs="Times New Roman" w:eastAsiaTheme="minorEastAsia"/>
                <w:b/>
                <w:bCs/>
                <w:sz w:val="18"/>
                <w:szCs w:val="18"/>
                <w:lang w:bidi="ar"/>
              </w:rPr>
              <w:t>0.8928</w:t>
            </w:r>
          </w:p>
        </w:tc>
        <w:tc>
          <w:tcPr>
            <w:tcW w:w="457" w:type="pct"/>
            <w:tcBorders>
              <w:tl2br w:val="nil"/>
              <w:tr2bl w:val="nil"/>
            </w:tcBorders>
            <w:vAlign w:val="center"/>
          </w:tcPr>
          <w:p w14:paraId="42942094">
            <w:pPr>
              <w:jc w:val="center"/>
              <w:rPr>
                <w:rFonts w:cs="Times New Roman" w:eastAsiaTheme="minorEastAsia"/>
                <w:sz w:val="18"/>
                <w:szCs w:val="18"/>
                <w:lang w:bidi="ar"/>
              </w:rPr>
            </w:pPr>
            <w:r>
              <w:rPr>
                <w:rFonts w:cs="Times New Roman" w:eastAsiaTheme="minorEastAsia"/>
                <w:sz w:val="18"/>
                <w:szCs w:val="18"/>
                <w:lang w:bidi="ar"/>
              </w:rPr>
              <w:t>0.0046</w:t>
            </w:r>
          </w:p>
        </w:tc>
      </w:tr>
    </w:tbl>
    <w:p w14:paraId="2BE1A65D">
      <w:pPr>
        <w:pStyle w:val="4"/>
        <w:spacing w:before="0" w:after="0" w:line="240" w:lineRule="auto"/>
        <w:rPr>
          <w:rFonts w:cs="Times New Roman"/>
          <w:sz w:val="21"/>
          <w:szCs w:val="21"/>
        </w:rPr>
      </w:pPr>
      <w:r>
        <w:rPr>
          <w:rFonts w:cs="Times New Roman"/>
          <w:sz w:val="21"/>
          <w:szCs w:val="21"/>
        </w:rPr>
        <w:t>6.2 采用机器学习算法对特征变量进行重要性排序</w:t>
      </w:r>
    </w:p>
    <w:p w14:paraId="0AB80126">
      <w:pPr>
        <w:ind w:firstLine="420" w:firstLineChars="200"/>
        <w:rPr>
          <w:rFonts w:cs="Times New Roman"/>
          <w:sz w:val="21"/>
          <w:szCs w:val="21"/>
          <w:lang w:bidi="ar"/>
        </w:rPr>
      </w:pPr>
      <w:r>
        <w:rPr>
          <w:rFonts w:cs="Times New Roman"/>
          <w:sz w:val="21"/>
          <w:szCs w:val="21"/>
        </w:rPr>
        <w:t>由于SHAP方法相较于其他方法在特征解释方面更具优势，上文研究主要基于SHAP值来对特征变量进行重要性排序。此处接着采用常规的随机森林和XGBoost算法来进行特征变量重要性排序，如表5所示，企业规模、研发经费投入和高学历人才占比等驱动因素仍排前五，与SHAP方法计算出的结果一致，验证了本文结论的稳健性。</w:t>
      </w:r>
    </w:p>
    <w:p w14:paraId="5010CD98">
      <w:pPr>
        <w:ind w:firstLine="480"/>
        <w:jc w:val="center"/>
        <w:rPr>
          <w:rFonts w:cs="Times New Roman"/>
          <w:sz w:val="18"/>
          <w:szCs w:val="18"/>
          <w:lang w:bidi="ar"/>
        </w:rPr>
      </w:pPr>
      <w:r>
        <w:rPr>
          <w:rFonts w:cs="Times New Roman"/>
          <w:sz w:val="18"/>
          <w:szCs w:val="18"/>
          <w:lang w:bidi="ar"/>
        </w:rPr>
        <w:t>表5 基于机器学习的特征变量重要性排序(前五位)</w:t>
      </w:r>
    </w:p>
    <w:tbl>
      <w:tblPr>
        <w:tblStyle w:val="11"/>
        <w:tblW w:w="4998" w:type="pct"/>
        <w:jc w:val="center"/>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58"/>
        <w:gridCol w:w="2204"/>
        <w:gridCol w:w="2073"/>
        <w:gridCol w:w="2744"/>
        <w:gridCol w:w="2073"/>
      </w:tblGrid>
      <w:tr w14:paraId="520CEC46">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jc w:val="center"/>
        </w:trPr>
        <w:tc>
          <w:tcPr>
            <w:tcW w:w="431" w:type="pct"/>
            <w:vMerge w:val="restart"/>
            <w:tcBorders>
              <w:top w:val="single" w:color="auto" w:sz="12" w:space="0"/>
              <w:bottom w:val="nil"/>
            </w:tcBorders>
            <w:vAlign w:val="center"/>
          </w:tcPr>
          <w:p w14:paraId="2FAC224D">
            <w:pPr>
              <w:jc w:val="center"/>
              <w:rPr>
                <w:rFonts w:cs="Times New Roman"/>
                <w:sz w:val="18"/>
                <w:szCs w:val="18"/>
              </w:rPr>
            </w:pPr>
            <w:r>
              <w:rPr>
                <w:rFonts w:cs="Times New Roman"/>
                <w:sz w:val="18"/>
                <w:szCs w:val="18"/>
              </w:rPr>
              <w:t>排名</w:t>
            </w:r>
          </w:p>
        </w:tc>
        <w:tc>
          <w:tcPr>
            <w:tcW w:w="2148" w:type="pct"/>
            <w:gridSpan w:val="2"/>
            <w:tcBorders>
              <w:top w:val="single" w:color="auto" w:sz="12" w:space="0"/>
              <w:bottom w:val="nil"/>
            </w:tcBorders>
            <w:vAlign w:val="center"/>
          </w:tcPr>
          <w:p w14:paraId="79ACB4E4">
            <w:pPr>
              <w:jc w:val="center"/>
              <w:rPr>
                <w:rFonts w:cs="Times New Roman"/>
                <w:sz w:val="18"/>
                <w:szCs w:val="18"/>
              </w:rPr>
            </w:pPr>
            <w:r>
              <w:rPr>
                <w:rFonts w:cs="Times New Roman"/>
                <w:sz w:val="18"/>
                <w:szCs w:val="18"/>
              </w:rPr>
              <w:t>随机森林</w:t>
            </w:r>
          </w:p>
        </w:tc>
        <w:tc>
          <w:tcPr>
            <w:tcW w:w="2419" w:type="pct"/>
            <w:gridSpan w:val="2"/>
            <w:tcBorders>
              <w:top w:val="single" w:color="auto" w:sz="12" w:space="0"/>
              <w:bottom w:val="nil"/>
            </w:tcBorders>
            <w:vAlign w:val="center"/>
          </w:tcPr>
          <w:p w14:paraId="71A4959F">
            <w:pPr>
              <w:jc w:val="center"/>
              <w:rPr>
                <w:rFonts w:cs="Times New Roman"/>
                <w:sz w:val="18"/>
                <w:szCs w:val="18"/>
              </w:rPr>
            </w:pPr>
            <w:r>
              <w:rPr>
                <w:rFonts w:cs="Times New Roman"/>
                <w:sz w:val="18"/>
                <w:szCs w:val="18"/>
              </w:rPr>
              <w:t>XGBoost</w:t>
            </w:r>
          </w:p>
        </w:tc>
      </w:tr>
      <w:tr w14:paraId="3FBB1F1E">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jc w:val="center"/>
        </w:trPr>
        <w:tc>
          <w:tcPr>
            <w:tcW w:w="431" w:type="pct"/>
            <w:vMerge w:val="continue"/>
            <w:tcBorders>
              <w:top w:val="nil"/>
              <w:bottom w:val="single" w:color="auto" w:sz="8" w:space="0"/>
            </w:tcBorders>
            <w:vAlign w:val="center"/>
          </w:tcPr>
          <w:p w14:paraId="54D1087A">
            <w:pPr>
              <w:jc w:val="center"/>
              <w:rPr>
                <w:rFonts w:cs="Times New Roman"/>
                <w:sz w:val="18"/>
                <w:szCs w:val="18"/>
              </w:rPr>
            </w:pPr>
          </w:p>
        </w:tc>
        <w:tc>
          <w:tcPr>
            <w:tcW w:w="1107" w:type="pct"/>
            <w:tcBorders>
              <w:top w:val="nil"/>
              <w:bottom w:val="single" w:color="auto" w:sz="8" w:space="0"/>
            </w:tcBorders>
            <w:vAlign w:val="center"/>
          </w:tcPr>
          <w:p w14:paraId="723F225C">
            <w:pPr>
              <w:jc w:val="center"/>
              <w:rPr>
                <w:rFonts w:cs="Times New Roman"/>
                <w:sz w:val="18"/>
                <w:szCs w:val="18"/>
              </w:rPr>
            </w:pPr>
            <w:r>
              <w:rPr>
                <w:rFonts w:cs="Times New Roman"/>
                <w:sz w:val="18"/>
                <w:szCs w:val="18"/>
              </w:rPr>
              <w:t>变量名称</w:t>
            </w:r>
          </w:p>
        </w:tc>
        <w:tc>
          <w:tcPr>
            <w:tcW w:w="1041" w:type="pct"/>
            <w:tcBorders>
              <w:top w:val="nil"/>
              <w:bottom w:val="single" w:color="auto" w:sz="8" w:space="0"/>
            </w:tcBorders>
            <w:vAlign w:val="center"/>
          </w:tcPr>
          <w:p w14:paraId="7B160ECA">
            <w:pPr>
              <w:jc w:val="center"/>
              <w:rPr>
                <w:rFonts w:cs="Times New Roman"/>
                <w:sz w:val="18"/>
                <w:szCs w:val="18"/>
              </w:rPr>
            </w:pPr>
            <w:r>
              <w:rPr>
                <w:rFonts w:cs="Times New Roman"/>
                <w:sz w:val="18"/>
                <w:szCs w:val="18"/>
              </w:rPr>
              <w:t>相对重要性(%)</w:t>
            </w:r>
          </w:p>
        </w:tc>
        <w:tc>
          <w:tcPr>
            <w:tcW w:w="1378" w:type="pct"/>
            <w:tcBorders>
              <w:top w:val="nil"/>
              <w:bottom w:val="single" w:color="auto" w:sz="8" w:space="0"/>
            </w:tcBorders>
            <w:vAlign w:val="center"/>
          </w:tcPr>
          <w:p w14:paraId="184266D4">
            <w:pPr>
              <w:jc w:val="center"/>
              <w:rPr>
                <w:rFonts w:cs="Times New Roman"/>
                <w:sz w:val="18"/>
                <w:szCs w:val="18"/>
              </w:rPr>
            </w:pPr>
            <w:r>
              <w:rPr>
                <w:rFonts w:cs="Times New Roman"/>
                <w:sz w:val="18"/>
                <w:szCs w:val="18"/>
              </w:rPr>
              <w:t>变量名称</w:t>
            </w:r>
          </w:p>
        </w:tc>
        <w:tc>
          <w:tcPr>
            <w:tcW w:w="1040" w:type="pct"/>
            <w:tcBorders>
              <w:top w:val="nil"/>
              <w:bottom w:val="single" w:color="auto" w:sz="8" w:space="0"/>
            </w:tcBorders>
            <w:vAlign w:val="center"/>
          </w:tcPr>
          <w:p w14:paraId="466F87D7">
            <w:pPr>
              <w:jc w:val="center"/>
              <w:rPr>
                <w:rFonts w:cs="Times New Roman"/>
                <w:sz w:val="18"/>
                <w:szCs w:val="18"/>
              </w:rPr>
            </w:pPr>
            <w:r>
              <w:rPr>
                <w:rFonts w:cs="Times New Roman"/>
                <w:sz w:val="18"/>
                <w:szCs w:val="18"/>
              </w:rPr>
              <w:t>相对重要性(%)</w:t>
            </w:r>
          </w:p>
        </w:tc>
      </w:tr>
      <w:tr w14:paraId="3FB1406F">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jc w:val="center"/>
        </w:trPr>
        <w:tc>
          <w:tcPr>
            <w:tcW w:w="431" w:type="pct"/>
            <w:tcBorders>
              <w:top w:val="single" w:color="auto" w:sz="8" w:space="0"/>
              <w:bottom w:val="nil"/>
            </w:tcBorders>
            <w:vAlign w:val="center"/>
          </w:tcPr>
          <w:p w14:paraId="08A59DD7">
            <w:pPr>
              <w:jc w:val="center"/>
              <w:rPr>
                <w:rFonts w:cs="Times New Roman"/>
                <w:sz w:val="18"/>
                <w:szCs w:val="18"/>
              </w:rPr>
            </w:pPr>
            <w:r>
              <w:rPr>
                <w:rFonts w:cs="Times New Roman"/>
                <w:sz w:val="18"/>
                <w:szCs w:val="18"/>
              </w:rPr>
              <w:t>1</w:t>
            </w:r>
          </w:p>
        </w:tc>
        <w:tc>
          <w:tcPr>
            <w:tcW w:w="1107" w:type="pct"/>
            <w:tcBorders>
              <w:top w:val="single" w:color="auto" w:sz="8" w:space="0"/>
              <w:bottom w:val="nil"/>
            </w:tcBorders>
            <w:vAlign w:val="center"/>
          </w:tcPr>
          <w:p w14:paraId="54A4EFB6">
            <w:pPr>
              <w:widowControl/>
              <w:jc w:val="left"/>
              <w:textAlignment w:val="bottom"/>
              <w:rPr>
                <w:rFonts w:cs="Times New Roman"/>
                <w:sz w:val="18"/>
                <w:szCs w:val="18"/>
              </w:rPr>
            </w:pPr>
            <w:r>
              <w:rPr>
                <w:rFonts w:cs="Times New Roman"/>
                <w:color w:val="000000"/>
                <w:kern w:val="0"/>
                <w:sz w:val="18"/>
                <w:szCs w:val="18"/>
                <w:lang w:bidi="ar"/>
              </w:rPr>
              <w:t>高学历人才占比</w:t>
            </w:r>
          </w:p>
        </w:tc>
        <w:tc>
          <w:tcPr>
            <w:tcW w:w="1041" w:type="pct"/>
            <w:tcBorders>
              <w:top w:val="single" w:color="auto" w:sz="8" w:space="0"/>
              <w:bottom w:val="nil"/>
            </w:tcBorders>
            <w:vAlign w:val="center"/>
          </w:tcPr>
          <w:p w14:paraId="568CF235">
            <w:pPr>
              <w:widowControl/>
              <w:jc w:val="center"/>
              <w:textAlignment w:val="bottom"/>
              <w:rPr>
                <w:rFonts w:cs="Times New Roman"/>
                <w:sz w:val="18"/>
                <w:szCs w:val="18"/>
              </w:rPr>
            </w:pPr>
            <w:r>
              <w:rPr>
                <w:rFonts w:cs="Times New Roman"/>
                <w:color w:val="000000"/>
                <w:kern w:val="0"/>
                <w:sz w:val="18"/>
                <w:szCs w:val="18"/>
                <w:lang w:bidi="ar"/>
              </w:rPr>
              <w:t>0.095524603</w:t>
            </w:r>
          </w:p>
        </w:tc>
        <w:tc>
          <w:tcPr>
            <w:tcW w:w="1378" w:type="pct"/>
            <w:tcBorders>
              <w:top w:val="single" w:color="auto" w:sz="8" w:space="0"/>
              <w:bottom w:val="nil"/>
            </w:tcBorders>
            <w:vAlign w:val="center"/>
          </w:tcPr>
          <w:p w14:paraId="7834B3F7">
            <w:pPr>
              <w:widowControl/>
              <w:jc w:val="left"/>
              <w:textAlignment w:val="bottom"/>
              <w:rPr>
                <w:rFonts w:cs="Times New Roman"/>
                <w:sz w:val="18"/>
                <w:szCs w:val="18"/>
              </w:rPr>
            </w:pPr>
            <w:r>
              <w:rPr>
                <w:rFonts w:cs="Times New Roman"/>
                <w:color w:val="000000"/>
                <w:kern w:val="0"/>
                <w:sz w:val="18"/>
                <w:szCs w:val="18"/>
                <w:lang w:bidi="ar"/>
              </w:rPr>
              <w:t>企业所有权</w:t>
            </w:r>
          </w:p>
        </w:tc>
        <w:tc>
          <w:tcPr>
            <w:tcW w:w="1040" w:type="pct"/>
            <w:tcBorders>
              <w:top w:val="single" w:color="auto" w:sz="8" w:space="0"/>
              <w:bottom w:val="nil"/>
            </w:tcBorders>
            <w:vAlign w:val="center"/>
          </w:tcPr>
          <w:p w14:paraId="18E90D55">
            <w:pPr>
              <w:widowControl/>
              <w:jc w:val="center"/>
              <w:textAlignment w:val="bottom"/>
              <w:rPr>
                <w:rFonts w:cs="Times New Roman"/>
                <w:sz w:val="18"/>
                <w:szCs w:val="18"/>
              </w:rPr>
            </w:pPr>
            <w:r>
              <w:rPr>
                <w:rFonts w:cs="Times New Roman"/>
                <w:color w:val="000000"/>
                <w:kern w:val="0"/>
                <w:sz w:val="18"/>
                <w:szCs w:val="18"/>
                <w:lang w:bidi="ar"/>
              </w:rPr>
              <w:t>0.065936036</w:t>
            </w:r>
          </w:p>
        </w:tc>
      </w:tr>
      <w:tr w14:paraId="6AF831B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jc w:val="center"/>
        </w:trPr>
        <w:tc>
          <w:tcPr>
            <w:tcW w:w="431" w:type="pct"/>
            <w:tcBorders>
              <w:top w:val="nil"/>
              <w:bottom w:val="nil"/>
            </w:tcBorders>
            <w:vAlign w:val="center"/>
          </w:tcPr>
          <w:p w14:paraId="0E01B1E7">
            <w:pPr>
              <w:jc w:val="center"/>
              <w:rPr>
                <w:rFonts w:cs="Times New Roman"/>
                <w:sz w:val="18"/>
                <w:szCs w:val="18"/>
              </w:rPr>
            </w:pPr>
            <w:r>
              <w:rPr>
                <w:rFonts w:cs="Times New Roman"/>
                <w:sz w:val="18"/>
                <w:szCs w:val="18"/>
              </w:rPr>
              <w:t>2</w:t>
            </w:r>
          </w:p>
        </w:tc>
        <w:tc>
          <w:tcPr>
            <w:tcW w:w="1107" w:type="pct"/>
            <w:tcBorders>
              <w:top w:val="nil"/>
              <w:bottom w:val="nil"/>
            </w:tcBorders>
            <w:vAlign w:val="center"/>
          </w:tcPr>
          <w:p w14:paraId="72129AA5">
            <w:pPr>
              <w:widowControl/>
              <w:jc w:val="left"/>
              <w:textAlignment w:val="bottom"/>
              <w:rPr>
                <w:rFonts w:cs="Times New Roman"/>
                <w:sz w:val="18"/>
                <w:szCs w:val="18"/>
              </w:rPr>
            </w:pPr>
            <w:r>
              <w:rPr>
                <w:rFonts w:cs="Times New Roman"/>
                <w:color w:val="000000"/>
                <w:kern w:val="0"/>
                <w:sz w:val="18"/>
                <w:szCs w:val="18"/>
                <w:lang w:bidi="ar"/>
              </w:rPr>
              <w:t>研发经费投入</w:t>
            </w:r>
          </w:p>
        </w:tc>
        <w:tc>
          <w:tcPr>
            <w:tcW w:w="1041" w:type="pct"/>
            <w:tcBorders>
              <w:top w:val="nil"/>
              <w:bottom w:val="nil"/>
            </w:tcBorders>
            <w:vAlign w:val="center"/>
          </w:tcPr>
          <w:p w14:paraId="4EC3A0D4">
            <w:pPr>
              <w:widowControl/>
              <w:jc w:val="center"/>
              <w:textAlignment w:val="bottom"/>
              <w:rPr>
                <w:rFonts w:cs="Times New Roman"/>
                <w:sz w:val="18"/>
                <w:szCs w:val="18"/>
              </w:rPr>
            </w:pPr>
            <w:r>
              <w:rPr>
                <w:rFonts w:cs="Times New Roman"/>
                <w:color w:val="000000"/>
                <w:kern w:val="0"/>
                <w:sz w:val="18"/>
                <w:szCs w:val="18"/>
                <w:lang w:bidi="ar"/>
              </w:rPr>
              <w:t>0.086129332</w:t>
            </w:r>
          </w:p>
        </w:tc>
        <w:tc>
          <w:tcPr>
            <w:tcW w:w="1378" w:type="pct"/>
            <w:tcBorders>
              <w:top w:val="nil"/>
              <w:bottom w:val="nil"/>
            </w:tcBorders>
            <w:vAlign w:val="center"/>
          </w:tcPr>
          <w:p w14:paraId="41FDCCA4">
            <w:pPr>
              <w:widowControl/>
              <w:jc w:val="left"/>
              <w:textAlignment w:val="bottom"/>
              <w:rPr>
                <w:rFonts w:cs="Times New Roman"/>
                <w:sz w:val="18"/>
                <w:szCs w:val="18"/>
              </w:rPr>
            </w:pPr>
            <w:r>
              <w:rPr>
                <w:rFonts w:cs="Times New Roman"/>
                <w:color w:val="000000"/>
                <w:kern w:val="0"/>
                <w:sz w:val="18"/>
                <w:szCs w:val="18"/>
                <w:lang w:bidi="ar"/>
              </w:rPr>
              <w:t>研发经费投入</w:t>
            </w:r>
          </w:p>
        </w:tc>
        <w:tc>
          <w:tcPr>
            <w:tcW w:w="1040" w:type="pct"/>
            <w:tcBorders>
              <w:top w:val="nil"/>
              <w:bottom w:val="nil"/>
            </w:tcBorders>
            <w:vAlign w:val="center"/>
          </w:tcPr>
          <w:p w14:paraId="40A0916F">
            <w:pPr>
              <w:widowControl/>
              <w:jc w:val="center"/>
              <w:textAlignment w:val="bottom"/>
              <w:rPr>
                <w:rFonts w:cs="Times New Roman"/>
                <w:sz w:val="18"/>
                <w:szCs w:val="18"/>
              </w:rPr>
            </w:pPr>
            <w:r>
              <w:rPr>
                <w:rFonts w:cs="Times New Roman"/>
                <w:color w:val="000000"/>
                <w:kern w:val="0"/>
                <w:sz w:val="18"/>
                <w:szCs w:val="18"/>
                <w:lang w:bidi="ar"/>
              </w:rPr>
              <w:t>0.056206606</w:t>
            </w:r>
          </w:p>
        </w:tc>
      </w:tr>
      <w:tr w14:paraId="6990BEF4">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jc w:val="center"/>
        </w:trPr>
        <w:tc>
          <w:tcPr>
            <w:tcW w:w="431" w:type="pct"/>
            <w:tcBorders>
              <w:top w:val="nil"/>
              <w:bottom w:val="nil"/>
            </w:tcBorders>
            <w:vAlign w:val="center"/>
          </w:tcPr>
          <w:p w14:paraId="4E97B330">
            <w:pPr>
              <w:jc w:val="center"/>
              <w:rPr>
                <w:rFonts w:cs="Times New Roman"/>
                <w:sz w:val="18"/>
                <w:szCs w:val="18"/>
              </w:rPr>
            </w:pPr>
            <w:r>
              <w:rPr>
                <w:rFonts w:cs="Times New Roman"/>
                <w:sz w:val="18"/>
                <w:szCs w:val="18"/>
              </w:rPr>
              <w:t>3</w:t>
            </w:r>
          </w:p>
        </w:tc>
        <w:tc>
          <w:tcPr>
            <w:tcW w:w="1107" w:type="pct"/>
            <w:tcBorders>
              <w:top w:val="nil"/>
              <w:bottom w:val="nil"/>
            </w:tcBorders>
            <w:vAlign w:val="center"/>
          </w:tcPr>
          <w:p w14:paraId="2CC20863">
            <w:pPr>
              <w:widowControl/>
              <w:jc w:val="left"/>
              <w:textAlignment w:val="bottom"/>
              <w:rPr>
                <w:rFonts w:cs="Times New Roman"/>
                <w:sz w:val="18"/>
                <w:szCs w:val="18"/>
              </w:rPr>
            </w:pPr>
            <w:r>
              <w:rPr>
                <w:rFonts w:cs="Times New Roman"/>
                <w:color w:val="000000"/>
                <w:kern w:val="0"/>
                <w:sz w:val="18"/>
                <w:szCs w:val="18"/>
                <w:lang w:bidi="ar"/>
              </w:rPr>
              <w:t>企业规模</w:t>
            </w:r>
          </w:p>
        </w:tc>
        <w:tc>
          <w:tcPr>
            <w:tcW w:w="1041" w:type="pct"/>
            <w:tcBorders>
              <w:top w:val="nil"/>
              <w:bottom w:val="nil"/>
            </w:tcBorders>
            <w:vAlign w:val="center"/>
          </w:tcPr>
          <w:p w14:paraId="2AC8908A">
            <w:pPr>
              <w:widowControl/>
              <w:jc w:val="center"/>
              <w:textAlignment w:val="bottom"/>
              <w:rPr>
                <w:rFonts w:cs="Times New Roman"/>
                <w:sz w:val="18"/>
                <w:szCs w:val="18"/>
              </w:rPr>
            </w:pPr>
            <w:r>
              <w:rPr>
                <w:rFonts w:cs="Times New Roman"/>
                <w:color w:val="000000"/>
                <w:kern w:val="0"/>
                <w:sz w:val="18"/>
                <w:szCs w:val="18"/>
                <w:lang w:bidi="ar"/>
              </w:rPr>
              <w:t>0.063036154</w:t>
            </w:r>
          </w:p>
        </w:tc>
        <w:tc>
          <w:tcPr>
            <w:tcW w:w="1378" w:type="pct"/>
            <w:tcBorders>
              <w:top w:val="nil"/>
              <w:bottom w:val="nil"/>
            </w:tcBorders>
            <w:vAlign w:val="center"/>
          </w:tcPr>
          <w:p w14:paraId="6B5DB80D">
            <w:pPr>
              <w:widowControl/>
              <w:jc w:val="left"/>
              <w:textAlignment w:val="bottom"/>
              <w:rPr>
                <w:rFonts w:cs="Times New Roman"/>
                <w:sz w:val="18"/>
                <w:szCs w:val="18"/>
              </w:rPr>
            </w:pPr>
            <w:r>
              <w:rPr>
                <w:rFonts w:cs="Times New Roman"/>
                <w:color w:val="000000"/>
                <w:kern w:val="0"/>
                <w:sz w:val="18"/>
                <w:szCs w:val="18"/>
                <w:lang w:bidi="ar"/>
              </w:rPr>
              <w:t>高学历人才占比</w:t>
            </w:r>
          </w:p>
        </w:tc>
        <w:tc>
          <w:tcPr>
            <w:tcW w:w="1040" w:type="pct"/>
            <w:tcBorders>
              <w:top w:val="nil"/>
              <w:bottom w:val="nil"/>
            </w:tcBorders>
            <w:vAlign w:val="center"/>
          </w:tcPr>
          <w:p w14:paraId="056AB43A">
            <w:pPr>
              <w:widowControl/>
              <w:jc w:val="center"/>
              <w:textAlignment w:val="bottom"/>
              <w:rPr>
                <w:rFonts w:cs="Times New Roman"/>
                <w:sz w:val="18"/>
                <w:szCs w:val="18"/>
              </w:rPr>
            </w:pPr>
            <w:r>
              <w:rPr>
                <w:rFonts w:cs="Times New Roman"/>
                <w:color w:val="000000"/>
                <w:kern w:val="0"/>
                <w:sz w:val="18"/>
                <w:szCs w:val="18"/>
                <w:lang w:bidi="ar"/>
              </w:rPr>
              <w:t>0.052364852</w:t>
            </w:r>
          </w:p>
        </w:tc>
      </w:tr>
      <w:tr w14:paraId="57909A59">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jc w:val="center"/>
        </w:trPr>
        <w:tc>
          <w:tcPr>
            <w:tcW w:w="431" w:type="pct"/>
            <w:tcBorders>
              <w:top w:val="nil"/>
              <w:bottom w:val="nil"/>
            </w:tcBorders>
            <w:vAlign w:val="center"/>
          </w:tcPr>
          <w:p w14:paraId="70FA8515">
            <w:pPr>
              <w:jc w:val="center"/>
              <w:rPr>
                <w:rFonts w:cs="Times New Roman"/>
                <w:sz w:val="18"/>
                <w:szCs w:val="18"/>
              </w:rPr>
            </w:pPr>
            <w:r>
              <w:rPr>
                <w:rFonts w:cs="Times New Roman"/>
                <w:sz w:val="18"/>
                <w:szCs w:val="18"/>
              </w:rPr>
              <w:t>4</w:t>
            </w:r>
          </w:p>
        </w:tc>
        <w:tc>
          <w:tcPr>
            <w:tcW w:w="1107" w:type="pct"/>
            <w:tcBorders>
              <w:top w:val="nil"/>
              <w:bottom w:val="nil"/>
            </w:tcBorders>
            <w:vAlign w:val="center"/>
          </w:tcPr>
          <w:p w14:paraId="55D06CCA">
            <w:pPr>
              <w:widowControl/>
              <w:jc w:val="left"/>
              <w:textAlignment w:val="bottom"/>
              <w:rPr>
                <w:rFonts w:cs="Times New Roman"/>
                <w:sz w:val="18"/>
                <w:szCs w:val="18"/>
              </w:rPr>
            </w:pPr>
            <w:r>
              <w:rPr>
                <w:rFonts w:cs="Times New Roman"/>
                <w:color w:val="000000"/>
                <w:kern w:val="0"/>
                <w:sz w:val="18"/>
                <w:szCs w:val="18"/>
                <w:lang w:bidi="ar"/>
              </w:rPr>
              <w:t>流动比率</w:t>
            </w:r>
          </w:p>
        </w:tc>
        <w:tc>
          <w:tcPr>
            <w:tcW w:w="1041" w:type="pct"/>
            <w:tcBorders>
              <w:top w:val="nil"/>
              <w:bottom w:val="nil"/>
            </w:tcBorders>
            <w:vAlign w:val="center"/>
          </w:tcPr>
          <w:p w14:paraId="37EA6C75">
            <w:pPr>
              <w:widowControl/>
              <w:jc w:val="center"/>
              <w:textAlignment w:val="bottom"/>
              <w:rPr>
                <w:rFonts w:cs="Times New Roman"/>
                <w:sz w:val="18"/>
                <w:szCs w:val="18"/>
              </w:rPr>
            </w:pPr>
            <w:r>
              <w:rPr>
                <w:rFonts w:cs="Times New Roman"/>
                <w:color w:val="000000"/>
                <w:kern w:val="0"/>
                <w:sz w:val="18"/>
                <w:szCs w:val="18"/>
                <w:lang w:bidi="ar"/>
              </w:rPr>
              <w:t>0.058395027</w:t>
            </w:r>
          </w:p>
        </w:tc>
        <w:tc>
          <w:tcPr>
            <w:tcW w:w="1378" w:type="pct"/>
            <w:tcBorders>
              <w:top w:val="nil"/>
              <w:bottom w:val="nil"/>
            </w:tcBorders>
            <w:vAlign w:val="center"/>
          </w:tcPr>
          <w:p w14:paraId="374F8DA3">
            <w:pPr>
              <w:widowControl/>
              <w:jc w:val="left"/>
              <w:textAlignment w:val="bottom"/>
              <w:rPr>
                <w:rFonts w:cs="Times New Roman"/>
                <w:sz w:val="18"/>
                <w:szCs w:val="18"/>
              </w:rPr>
            </w:pPr>
            <w:r>
              <w:rPr>
                <w:rFonts w:cs="Times New Roman"/>
                <w:color w:val="000000"/>
                <w:kern w:val="0"/>
                <w:sz w:val="18"/>
                <w:szCs w:val="18"/>
                <w:lang w:bidi="ar"/>
              </w:rPr>
              <w:t>企业规模</w:t>
            </w:r>
          </w:p>
        </w:tc>
        <w:tc>
          <w:tcPr>
            <w:tcW w:w="1040" w:type="pct"/>
            <w:tcBorders>
              <w:top w:val="nil"/>
              <w:bottom w:val="nil"/>
            </w:tcBorders>
            <w:vAlign w:val="center"/>
          </w:tcPr>
          <w:p w14:paraId="01F9647C">
            <w:pPr>
              <w:widowControl/>
              <w:jc w:val="center"/>
              <w:textAlignment w:val="bottom"/>
              <w:rPr>
                <w:rFonts w:cs="Times New Roman"/>
                <w:sz w:val="18"/>
                <w:szCs w:val="18"/>
              </w:rPr>
            </w:pPr>
            <w:r>
              <w:rPr>
                <w:rFonts w:cs="Times New Roman"/>
                <w:color w:val="000000"/>
                <w:kern w:val="0"/>
                <w:sz w:val="18"/>
                <w:szCs w:val="18"/>
                <w:lang w:bidi="ar"/>
              </w:rPr>
              <w:t>0.049636289</w:t>
            </w:r>
          </w:p>
        </w:tc>
      </w:tr>
      <w:tr w14:paraId="53489301">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3" w:hRule="atLeast"/>
          <w:jc w:val="center"/>
        </w:trPr>
        <w:tc>
          <w:tcPr>
            <w:tcW w:w="431" w:type="pct"/>
            <w:tcBorders>
              <w:top w:val="nil"/>
              <w:bottom w:val="single" w:color="auto" w:sz="12" w:space="0"/>
            </w:tcBorders>
            <w:vAlign w:val="center"/>
          </w:tcPr>
          <w:p w14:paraId="617E361A">
            <w:pPr>
              <w:jc w:val="center"/>
              <w:rPr>
                <w:rFonts w:cs="Times New Roman"/>
                <w:sz w:val="18"/>
                <w:szCs w:val="18"/>
              </w:rPr>
            </w:pPr>
            <w:r>
              <w:rPr>
                <w:rFonts w:cs="Times New Roman"/>
                <w:sz w:val="18"/>
                <w:szCs w:val="18"/>
              </w:rPr>
              <w:t>5</w:t>
            </w:r>
          </w:p>
        </w:tc>
        <w:tc>
          <w:tcPr>
            <w:tcW w:w="1107" w:type="pct"/>
            <w:tcBorders>
              <w:top w:val="nil"/>
              <w:bottom w:val="single" w:color="auto" w:sz="12" w:space="0"/>
            </w:tcBorders>
            <w:vAlign w:val="center"/>
          </w:tcPr>
          <w:p w14:paraId="41EE7842">
            <w:pPr>
              <w:widowControl/>
              <w:jc w:val="left"/>
              <w:textAlignment w:val="bottom"/>
              <w:rPr>
                <w:rFonts w:cs="Times New Roman"/>
                <w:sz w:val="18"/>
                <w:szCs w:val="18"/>
              </w:rPr>
            </w:pPr>
            <w:r>
              <w:rPr>
                <w:rFonts w:cs="Times New Roman"/>
                <w:sz w:val="18"/>
                <w:szCs w:val="18"/>
              </w:rPr>
              <w:t>创新绩效</w:t>
            </w:r>
          </w:p>
        </w:tc>
        <w:tc>
          <w:tcPr>
            <w:tcW w:w="1041" w:type="pct"/>
            <w:tcBorders>
              <w:top w:val="nil"/>
              <w:bottom w:val="single" w:color="auto" w:sz="12" w:space="0"/>
            </w:tcBorders>
            <w:vAlign w:val="center"/>
          </w:tcPr>
          <w:p w14:paraId="74885CA2">
            <w:pPr>
              <w:widowControl/>
              <w:jc w:val="center"/>
              <w:textAlignment w:val="bottom"/>
              <w:rPr>
                <w:rFonts w:cs="Times New Roman"/>
                <w:sz w:val="18"/>
                <w:szCs w:val="18"/>
              </w:rPr>
            </w:pPr>
            <w:r>
              <w:rPr>
                <w:rFonts w:cs="Times New Roman"/>
                <w:color w:val="000000"/>
                <w:kern w:val="0"/>
                <w:sz w:val="18"/>
                <w:szCs w:val="18"/>
                <w:lang w:bidi="ar"/>
              </w:rPr>
              <w:t>0.054529486</w:t>
            </w:r>
          </w:p>
        </w:tc>
        <w:tc>
          <w:tcPr>
            <w:tcW w:w="1378" w:type="pct"/>
            <w:tcBorders>
              <w:top w:val="nil"/>
              <w:bottom w:val="single" w:color="auto" w:sz="12" w:space="0"/>
            </w:tcBorders>
            <w:vAlign w:val="center"/>
          </w:tcPr>
          <w:p w14:paraId="2E5698D5">
            <w:pPr>
              <w:widowControl/>
              <w:tabs>
                <w:tab w:val="center" w:pos="955"/>
                <w:tab w:val="right" w:pos="1790"/>
              </w:tabs>
              <w:jc w:val="left"/>
              <w:textAlignment w:val="bottom"/>
              <w:rPr>
                <w:rFonts w:cs="Times New Roman"/>
                <w:sz w:val="18"/>
                <w:szCs w:val="18"/>
              </w:rPr>
            </w:pPr>
            <w:r>
              <w:rPr>
                <w:rFonts w:cs="Times New Roman"/>
                <w:color w:val="000000"/>
                <w:kern w:val="0"/>
                <w:sz w:val="18"/>
                <w:szCs w:val="18"/>
                <w:lang w:bidi="ar"/>
              </w:rPr>
              <w:t>数字化背景</w:t>
            </w:r>
            <w:r>
              <w:rPr>
                <w:rFonts w:cs="Times New Roman"/>
                <w:color w:val="000000"/>
                <w:kern w:val="0"/>
                <w:sz w:val="18"/>
                <w:szCs w:val="18"/>
                <w:lang w:bidi="ar"/>
              </w:rPr>
              <w:tab/>
            </w:r>
            <w:r>
              <w:rPr>
                <w:rFonts w:cs="Times New Roman"/>
                <w:color w:val="000000"/>
                <w:kern w:val="0"/>
                <w:sz w:val="18"/>
                <w:szCs w:val="18"/>
                <w:lang w:bidi="ar"/>
              </w:rPr>
              <w:t>高管比例</w:t>
            </w:r>
          </w:p>
        </w:tc>
        <w:tc>
          <w:tcPr>
            <w:tcW w:w="1040" w:type="pct"/>
            <w:tcBorders>
              <w:top w:val="nil"/>
              <w:bottom w:val="single" w:color="auto" w:sz="12" w:space="0"/>
            </w:tcBorders>
            <w:vAlign w:val="center"/>
          </w:tcPr>
          <w:p w14:paraId="4B31DF19">
            <w:pPr>
              <w:widowControl/>
              <w:jc w:val="center"/>
              <w:textAlignment w:val="bottom"/>
              <w:rPr>
                <w:rFonts w:cs="Times New Roman"/>
                <w:sz w:val="18"/>
                <w:szCs w:val="18"/>
              </w:rPr>
            </w:pPr>
            <w:r>
              <w:rPr>
                <w:rFonts w:cs="Times New Roman"/>
                <w:color w:val="000000"/>
                <w:kern w:val="0"/>
                <w:sz w:val="18"/>
                <w:szCs w:val="18"/>
                <w:lang w:bidi="ar"/>
              </w:rPr>
              <w:t>0.048995931</w:t>
            </w:r>
          </w:p>
        </w:tc>
      </w:tr>
    </w:tbl>
    <w:p w14:paraId="223C6DCC">
      <w:pPr>
        <w:adjustRightInd w:val="0"/>
        <w:snapToGrid w:val="0"/>
        <w:outlineLvl w:val="0"/>
        <w:rPr>
          <w:rFonts w:eastAsia="黑体" w:cs="Times New Roman"/>
          <w:b/>
          <w:sz w:val="28"/>
          <w:szCs w:val="28"/>
        </w:rPr>
      </w:pPr>
    </w:p>
    <w:p w14:paraId="034CFC30">
      <w:pPr>
        <w:adjustRightInd w:val="0"/>
        <w:snapToGrid w:val="0"/>
        <w:outlineLvl w:val="0"/>
        <w:rPr>
          <w:rFonts w:eastAsia="黑体" w:cs="Times New Roman"/>
          <w:b/>
          <w:sz w:val="28"/>
          <w:szCs w:val="28"/>
        </w:rPr>
      </w:pPr>
      <w:r>
        <w:rPr>
          <w:rFonts w:eastAsia="黑体" w:cs="Times New Roman"/>
          <w:b/>
          <w:sz w:val="28"/>
          <w:szCs w:val="28"/>
        </w:rPr>
        <w:t>7 结语</w:t>
      </w:r>
    </w:p>
    <w:p w14:paraId="3B735F15">
      <w:pPr>
        <w:pStyle w:val="18"/>
        <w:rPr>
          <w:rFonts w:cs="Times New Roman"/>
          <w:sz w:val="21"/>
          <w:szCs w:val="21"/>
        </w:rPr>
      </w:pPr>
      <w:r>
        <w:rPr>
          <w:rFonts w:cs="Times New Roman"/>
          <w:sz w:val="21"/>
          <w:szCs w:val="21"/>
        </w:rPr>
        <w:t>本研究基于TOE理论框架，从技术、组织和环境三个维度构建了企业新质生产力发展的驱动因素模型，以2011-2022年中国A股上市公司为样本，对比分析9个分类预测模型的训练结果，发现SVM-RF模型在</w:t>
      </w:r>
      <w:r>
        <w:rPr>
          <w:rFonts w:hint="eastAsia" w:cs="Times New Roman"/>
          <w:sz w:val="21"/>
          <w:szCs w:val="21"/>
        </w:rPr>
        <w:t>预测</w:t>
      </w:r>
      <w:r>
        <w:rPr>
          <w:rFonts w:cs="Times New Roman"/>
          <w:sz w:val="21"/>
          <w:szCs w:val="21"/>
        </w:rPr>
        <w:t>性能上表现最为出色，由此确定了</w:t>
      </w:r>
      <w:r>
        <w:rPr>
          <w:rFonts w:hint="eastAsia" w:cs="Times New Roman"/>
          <w:sz w:val="21"/>
          <w:szCs w:val="21"/>
        </w:rPr>
        <w:t>其为</w:t>
      </w:r>
      <w:r>
        <w:rPr>
          <w:rFonts w:cs="Times New Roman"/>
          <w:sz w:val="21"/>
          <w:szCs w:val="21"/>
        </w:rPr>
        <w:t>预测企业新质生产力的最佳模型。然后使用SHAP</w:t>
      </w:r>
      <w:r>
        <w:rPr>
          <w:rFonts w:hint="eastAsia" w:cs="Times New Roman"/>
          <w:sz w:val="21"/>
          <w:szCs w:val="21"/>
        </w:rPr>
        <w:t>方法</w:t>
      </w:r>
      <w:r>
        <w:rPr>
          <w:rFonts w:cs="Times New Roman"/>
          <w:sz w:val="21"/>
          <w:szCs w:val="21"/>
        </w:rPr>
        <w:t>研究不同特征对企业新质生产力发展的预测能力，探究驱动因素的重要性排序以及单特征因素对企业新质生产力发展的具体影响。</w:t>
      </w:r>
    </w:p>
    <w:p w14:paraId="54137176">
      <w:pPr>
        <w:pStyle w:val="18"/>
        <w:rPr>
          <w:rFonts w:cs="Times New Roman"/>
          <w:sz w:val="21"/>
          <w:szCs w:val="21"/>
        </w:rPr>
      </w:pPr>
      <w:r>
        <w:rPr>
          <w:rFonts w:cs="Times New Roman"/>
          <w:sz w:val="21"/>
          <w:szCs w:val="21"/>
        </w:rPr>
        <w:t>研究表明：(1)企</w:t>
      </w:r>
      <w:r>
        <w:rPr>
          <w:rFonts w:hint="eastAsia" w:cs="Times New Roman"/>
          <w:sz w:val="21"/>
          <w:szCs w:val="21"/>
        </w:rPr>
        <w:t>业的科技创新水平越高，企业的新质生产力发展水平越高</w:t>
      </w:r>
      <w:r>
        <w:rPr>
          <w:rFonts w:cs="Times New Roman"/>
          <w:sz w:val="21"/>
          <w:szCs w:val="21"/>
        </w:rPr>
        <w:t>。(2)研发经费投入、高学历人才占比和企业规模在SHAP、随机森林和XGBoost</w:t>
      </w:r>
      <w:r>
        <w:rPr>
          <w:rFonts w:hint="eastAsia" w:cs="Times New Roman"/>
          <w:sz w:val="21"/>
          <w:szCs w:val="21"/>
        </w:rPr>
        <w:t>方法中预测</w:t>
      </w:r>
      <w:r>
        <w:rPr>
          <w:rFonts w:cs="Times New Roman"/>
          <w:sz w:val="21"/>
          <w:szCs w:val="21"/>
        </w:rPr>
        <w:t>的特征重要性排序均在前五位</w:t>
      </w:r>
      <w:r>
        <w:rPr>
          <w:rFonts w:hint="eastAsia" w:cs="Times New Roman"/>
          <w:sz w:val="21"/>
          <w:szCs w:val="21"/>
        </w:rPr>
        <w:t>。然而</w:t>
      </w:r>
      <w:r>
        <w:rPr>
          <w:rFonts w:cs="Times New Roman"/>
          <w:sz w:val="21"/>
          <w:szCs w:val="21"/>
        </w:rPr>
        <w:t>高学历人才占比</w:t>
      </w:r>
      <w:r>
        <w:rPr>
          <w:rFonts w:hint="eastAsia" w:cs="Times New Roman"/>
          <w:sz w:val="21"/>
          <w:szCs w:val="21"/>
        </w:rPr>
        <w:t>与</w:t>
      </w:r>
      <w:r>
        <w:rPr>
          <w:rFonts w:cs="Times New Roman"/>
          <w:sz w:val="21"/>
          <w:szCs w:val="21"/>
        </w:rPr>
        <w:t>企业的新质生产力发展水平</w:t>
      </w:r>
      <w:r>
        <w:rPr>
          <w:rFonts w:hint="eastAsia" w:cs="Times New Roman"/>
          <w:sz w:val="21"/>
          <w:szCs w:val="21"/>
        </w:rPr>
        <w:t>并非成正比关系</w:t>
      </w:r>
      <w:r>
        <w:rPr>
          <w:rFonts w:cs="Times New Roman"/>
          <w:sz w:val="21"/>
          <w:szCs w:val="21"/>
        </w:rPr>
        <w:t>。在高学历人才占比超过50%的企业中，新质生产力发展水平高的概率较低。(3)国有企业的新质生产力发展水平高的概率</w:t>
      </w:r>
      <w:r>
        <w:rPr>
          <w:rFonts w:hint="eastAsia" w:cs="Times New Roman"/>
          <w:sz w:val="21"/>
          <w:szCs w:val="21"/>
        </w:rPr>
        <w:t>大于</w:t>
      </w:r>
      <w:r>
        <w:rPr>
          <w:rFonts w:cs="Times New Roman"/>
          <w:sz w:val="21"/>
          <w:szCs w:val="21"/>
        </w:rPr>
        <w:t>非国有企业</w:t>
      </w:r>
      <w:r>
        <w:rPr>
          <w:rFonts w:hint="eastAsia" w:cs="Times New Roman"/>
          <w:sz w:val="21"/>
          <w:szCs w:val="21"/>
        </w:rPr>
        <w:t>，这不仅</w:t>
      </w:r>
      <w:r>
        <w:rPr>
          <w:rFonts w:cs="Times New Roman"/>
          <w:sz w:val="21"/>
          <w:szCs w:val="21"/>
        </w:rPr>
        <w:t>体现在企业规模和企业年龄</w:t>
      </w:r>
      <w:r>
        <w:rPr>
          <w:rFonts w:hint="eastAsia" w:cs="Times New Roman"/>
          <w:sz w:val="21"/>
          <w:szCs w:val="21"/>
        </w:rPr>
        <w:t>层面，还包括</w:t>
      </w:r>
      <w:r>
        <w:rPr>
          <w:rFonts w:cs="Times New Roman"/>
          <w:sz w:val="21"/>
          <w:szCs w:val="21"/>
        </w:rPr>
        <w:t>创新绩效和绿色创新</w:t>
      </w:r>
      <w:r>
        <w:rPr>
          <w:rFonts w:hint="eastAsia" w:cs="Times New Roman"/>
          <w:sz w:val="21"/>
          <w:szCs w:val="21"/>
        </w:rPr>
        <w:t>等</w:t>
      </w:r>
      <w:r>
        <w:rPr>
          <w:rFonts w:cs="Times New Roman"/>
          <w:sz w:val="21"/>
          <w:szCs w:val="21"/>
        </w:rPr>
        <w:t>方面。说明国有企业作为国民经济的主力军，其在资源投入、技术创新、政策扶持等方面更具优势，在中国企业新质生产力发展中发挥着引领作用。</w:t>
      </w:r>
    </w:p>
    <w:p w14:paraId="08F49BA1">
      <w:pPr>
        <w:pStyle w:val="18"/>
        <w:rPr>
          <w:rFonts w:cs="Times New Roman"/>
          <w:sz w:val="21"/>
          <w:szCs w:val="21"/>
        </w:rPr>
      </w:pPr>
      <w:r>
        <w:rPr>
          <w:rFonts w:cs="Times New Roman"/>
          <w:sz w:val="21"/>
          <w:szCs w:val="21"/>
        </w:rPr>
        <w:t>根据以上研究，为中国企业新质生产力发展提出如下建议：第一，企业应加强科研经费投入，建立完善的科技成果转化机制，促进科技成果向现实生产力转化。另外企业需注重和积极开展数字化转型，目前我国企业数字化转型仍处于初级阶段，鼓励政府通过</w:t>
      </w:r>
      <w:r>
        <w:rPr>
          <w:rFonts w:cs="Times New Roman"/>
          <w:color w:val="000000"/>
          <w:kern w:val="0"/>
          <w:sz w:val="21"/>
          <w:szCs w:val="21"/>
          <w:lang w:bidi="ar"/>
        </w:rPr>
        <w:t>专项资金、补贴等方式来支持企业参与数字化转型。</w:t>
      </w:r>
      <w:r>
        <w:rPr>
          <w:rFonts w:cs="Times New Roman"/>
          <w:sz w:val="21"/>
          <w:szCs w:val="21"/>
        </w:rPr>
        <w:t>第二，企业注重创新人才引进与培养，在人才的选拔与使用上不唯学历论，并非高学历人才占比越高，企业的新质生产力发展水平越高，应该根据企业的实际经营情况合理配置人才队伍。第三，企业重视并加强ESG绿色低碳发展理念，提高环保意识，加大绿色创新投入。政府不断推进发展绿色低碳产业，推动传统产业向高端化、智能化、绿色化转型。第四，鼓励国有企业在科技创新和产业升级中发挥示范引领作用，通过国有企业的成功经验和创新成果，带动其他企业共同推动新质生产力的发展。</w:t>
      </w:r>
    </w:p>
    <w:p w14:paraId="2B032836">
      <w:pPr>
        <w:pStyle w:val="18"/>
        <w:rPr>
          <w:rFonts w:cs="Times New Roman"/>
          <w:sz w:val="21"/>
          <w:szCs w:val="21"/>
        </w:rPr>
      </w:pPr>
    </w:p>
    <w:p w14:paraId="332A665A">
      <w:pPr>
        <w:rPr>
          <w:rFonts w:cs="Times New Roman"/>
          <w:b/>
          <w:sz w:val="18"/>
          <w:szCs w:val="18"/>
        </w:rPr>
      </w:pPr>
      <w:r>
        <w:rPr>
          <w:rFonts w:cs="Times New Roman"/>
          <w:b/>
          <w:sz w:val="18"/>
          <w:szCs w:val="18"/>
        </w:rPr>
        <w:t>参考文献</w:t>
      </w:r>
    </w:p>
    <w:p w14:paraId="7CA55027">
      <w:pPr>
        <w:numPr>
          <w:ilvl w:val="0"/>
          <w:numId w:val="2"/>
        </w:numPr>
        <w:jc w:val="left"/>
        <w:rPr>
          <w:rFonts w:cs="Times New Roman" w:eastAsiaTheme="minorEastAsia"/>
          <w:sz w:val="18"/>
          <w:szCs w:val="18"/>
          <w:lang w:bidi="ar"/>
        </w:rPr>
      </w:pPr>
      <w:r>
        <w:rPr>
          <w:rFonts w:cs="Times New Roman" w:eastAsiaTheme="minorEastAsia"/>
          <w:sz w:val="18"/>
          <w:szCs w:val="18"/>
          <w:lang w:bidi="ar"/>
        </w:rPr>
        <w:t xml:space="preserve">习近平在黑龙江考察时强调 牢牢把握在国家发展大局中的战略定位 奋力开创黑龙江高质量发展新局面[N].人民日报,2023-09-09. </w:t>
      </w:r>
    </w:p>
    <w:p w14:paraId="6D00D09E">
      <w:pPr>
        <w:numPr>
          <w:ilvl w:val="0"/>
          <w:numId w:val="2"/>
        </w:numPr>
        <w:jc w:val="left"/>
        <w:rPr>
          <w:rFonts w:cs="Times New Roman" w:eastAsiaTheme="minorEastAsia"/>
          <w:sz w:val="18"/>
          <w:szCs w:val="18"/>
          <w:lang w:bidi="ar"/>
        </w:rPr>
      </w:pPr>
      <w:r>
        <w:rPr>
          <w:rFonts w:cs="Times New Roman" w:eastAsiaTheme="minorEastAsia"/>
          <w:sz w:val="18"/>
          <w:szCs w:val="18"/>
          <w:lang w:bidi="ar"/>
        </w:rPr>
        <w:t xml:space="preserve">习近平在中共中央政治局第十一次集体学习时强调加快发展新质生产力 扎实推进高质量发展[N].人民日报,2024-02-02. </w:t>
      </w:r>
    </w:p>
    <w:p w14:paraId="53501F54">
      <w:pPr>
        <w:numPr>
          <w:ilvl w:val="0"/>
          <w:numId w:val="2"/>
        </w:numPr>
        <w:jc w:val="left"/>
        <w:rPr>
          <w:rFonts w:cs="Times New Roman" w:eastAsiaTheme="minorEastAsia"/>
          <w:sz w:val="18"/>
          <w:szCs w:val="18"/>
          <w:lang w:bidi="ar"/>
        </w:rPr>
      </w:pPr>
      <w:r>
        <w:rPr>
          <w:rFonts w:cs="Times New Roman" w:eastAsiaTheme="minorEastAsia"/>
          <w:sz w:val="18"/>
          <w:szCs w:val="18"/>
          <w:lang w:bidi="ar"/>
        </w:rPr>
        <w:t>刘伟.科学认识与切实发展新质生产力[J].经济研究,2024,59(03):4-11.</w:t>
      </w:r>
    </w:p>
    <w:p w14:paraId="43CEC2F1">
      <w:pPr>
        <w:numPr>
          <w:ilvl w:val="0"/>
          <w:numId w:val="2"/>
        </w:numPr>
        <w:jc w:val="left"/>
        <w:rPr>
          <w:rFonts w:cs="Times New Roman" w:eastAsiaTheme="minorEastAsia"/>
          <w:sz w:val="18"/>
          <w:szCs w:val="18"/>
          <w:lang w:bidi="ar"/>
        </w:rPr>
      </w:pPr>
      <w:r>
        <w:rPr>
          <w:rFonts w:cs="Times New Roman" w:eastAsiaTheme="minorEastAsia"/>
          <w:sz w:val="18"/>
          <w:szCs w:val="18"/>
          <w:lang w:bidi="ar"/>
        </w:rPr>
        <w:t>任保平,豆渊博.新质生产力:文献综述与研究展望[J].经济与管理评论,2024,40(03):5-16.</w:t>
      </w:r>
    </w:p>
    <w:p w14:paraId="6E1960D4">
      <w:pPr>
        <w:numPr>
          <w:ilvl w:val="0"/>
          <w:numId w:val="2"/>
        </w:numPr>
        <w:jc w:val="left"/>
        <w:rPr>
          <w:rFonts w:cs="Times New Roman" w:eastAsiaTheme="minorEastAsia"/>
          <w:sz w:val="18"/>
          <w:szCs w:val="18"/>
          <w:lang w:bidi="ar"/>
        </w:rPr>
      </w:pPr>
      <w:r>
        <w:rPr>
          <w:rFonts w:cs="Times New Roman" w:eastAsiaTheme="minorEastAsia"/>
          <w:sz w:val="18"/>
          <w:szCs w:val="18"/>
          <w:lang w:bidi="ar"/>
        </w:rPr>
        <w:t>陈梦根,张可.新质生产力与现代化产业体系建设[J].改革,2024,(06):58-69.</w:t>
      </w:r>
    </w:p>
    <w:p w14:paraId="5EA49794">
      <w:pPr>
        <w:numPr>
          <w:ilvl w:val="0"/>
          <w:numId w:val="2"/>
        </w:numPr>
        <w:jc w:val="left"/>
        <w:rPr>
          <w:rFonts w:cs="Times New Roman" w:eastAsiaTheme="minorEastAsia"/>
          <w:sz w:val="18"/>
          <w:szCs w:val="18"/>
          <w:lang w:bidi="ar"/>
        </w:rPr>
      </w:pPr>
      <w:r>
        <w:rPr>
          <w:rFonts w:cs="Times New Roman" w:eastAsiaTheme="minorEastAsia"/>
          <w:sz w:val="18"/>
          <w:szCs w:val="18"/>
          <w:lang w:bidi="ar"/>
        </w:rPr>
        <w:t>周文,许凌云．再论新质生产力:认识误区、形成条件与实现路径[J]．改革,2024(3):26-37.</w:t>
      </w:r>
    </w:p>
    <w:p w14:paraId="6B57FEA0">
      <w:pPr>
        <w:numPr>
          <w:ilvl w:val="0"/>
          <w:numId w:val="2"/>
        </w:numPr>
        <w:jc w:val="left"/>
        <w:rPr>
          <w:rFonts w:cs="Times New Roman" w:eastAsiaTheme="minorEastAsia"/>
          <w:sz w:val="18"/>
          <w:szCs w:val="18"/>
          <w:lang w:bidi="ar"/>
        </w:rPr>
      </w:pPr>
      <w:r>
        <w:rPr>
          <w:rFonts w:cs="Times New Roman" w:eastAsiaTheme="minorEastAsia"/>
          <w:sz w:val="18"/>
          <w:szCs w:val="18"/>
          <w:lang w:bidi="ar"/>
        </w:rPr>
        <w:t>蒋永穆,乔张媛.新质生产力:逻辑、内涵及路径[J].社会科学研究,2024,(01):10-18+211.</w:t>
      </w:r>
    </w:p>
    <w:p w14:paraId="29D0359D">
      <w:pPr>
        <w:numPr>
          <w:ilvl w:val="0"/>
          <w:numId w:val="2"/>
        </w:numPr>
        <w:jc w:val="left"/>
        <w:rPr>
          <w:rFonts w:cs="Times New Roman" w:eastAsiaTheme="minorEastAsia"/>
          <w:sz w:val="18"/>
          <w:szCs w:val="18"/>
          <w:lang w:bidi="ar"/>
        </w:rPr>
      </w:pPr>
      <w:r>
        <w:rPr>
          <w:rFonts w:cs="Times New Roman" w:eastAsiaTheme="minorEastAsia"/>
          <w:sz w:val="18"/>
          <w:szCs w:val="18"/>
          <w:lang w:bidi="ar"/>
        </w:rPr>
        <w:t>韩文龙,张瑞生,赵峰.新质生产力水平测算与中国经济增长新动能[J].数量经济技术经济研究,2024,41(06):5-25.</w:t>
      </w:r>
    </w:p>
    <w:p w14:paraId="33A59AAF">
      <w:pPr>
        <w:numPr>
          <w:ilvl w:val="0"/>
          <w:numId w:val="2"/>
        </w:numPr>
        <w:jc w:val="left"/>
        <w:rPr>
          <w:rFonts w:cs="Times New Roman" w:eastAsiaTheme="minorEastAsia"/>
          <w:sz w:val="18"/>
          <w:szCs w:val="18"/>
          <w:lang w:bidi="ar"/>
        </w:rPr>
      </w:pPr>
      <w:r>
        <w:rPr>
          <w:rFonts w:cs="Times New Roman" w:eastAsiaTheme="minorEastAsia"/>
          <w:sz w:val="18"/>
          <w:szCs w:val="18"/>
          <w:lang w:bidi="ar"/>
        </w:rPr>
        <w:t>王珏,王荣基.新质生产力:指标构建与时空演进[J].西安财经大学学报,2024,37(01):31-47.</w:t>
      </w:r>
    </w:p>
    <w:p w14:paraId="732BEC76">
      <w:pPr>
        <w:numPr>
          <w:ilvl w:val="0"/>
          <w:numId w:val="2"/>
        </w:numPr>
        <w:jc w:val="left"/>
        <w:rPr>
          <w:rFonts w:cs="Times New Roman" w:eastAsiaTheme="minorEastAsia"/>
          <w:sz w:val="18"/>
          <w:szCs w:val="18"/>
          <w:lang w:bidi="ar"/>
        </w:rPr>
      </w:pPr>
      <w:r>
        <w:rPr>
          <w:rFonts w:cs="Times New Roman" w:eastAsiaTheme="minorEastAsia"/>
          <w:sz w:val="18"/>
          <w:szCs w:val="18"/>
          <w:lang w:bidi="ar"/>
        </w:rPr>
        <w:t>宋佳, 张金昌, 潘艺. ESG发展对企业新质生产力影响的研究——来自中国A股上市企业的经验证据[J]. 当代经济管理, 2024, 46 (06): 1-11.</w:t>
      </w:r>
    </w:p>
    <w:p w14:paraId="771B503E">
      <w:pPr>
        <w:numPr>
          <w:ilvl w:val="0"/>
          <w:numId w:val="2"/>
        </w:numPr>
        <w:jc w:val="left"/>
        <w:rPr>
          <w:rFonts w:cs="Times New Roman" w:eastAsiaTheme="minorEastAsia"/>
          <w:sz w:val="18"/>
          <w:szCs w:val="18"/>
          <w:lang w:bidi="ar"/>
        </w:rPr>
      </w:pPr>
      <w:r>
        <w:rPr>
          <w:rFonts w:cs="Times New Roman" w:eastAsiaTheme="minorEastAsia"/>
          <w:sz w:val="18"/>
          <w:szCs w:val="18"/>
          <w:lang w:bidi="ar"/>
        </w:rPr>
        <w:t>张秀娥,王卫,于泳波.数智化转型对企业新质生产力的影响研究[J/OL].科学学研究,1-19.</w:t>
      </w:r>
    </w:p>
    <w:p w14:paraId="6DE25195">
      <w:pPr>
        <w:numPr>
          <w:ilvl w:val="0"/>
          <w:numId w:val="2"/>
        </w:numPr>
        <w:jc w:val="left"/>
        <w:rPr>
          <w:rFonts w:cs="Times New Roman" w:eastAsiaTheme="minorEastAsia"/>
          <w:sz w:val="18"/>
          <w:szCs w:val="18"/>
          <w:lang w:bidi="ar"/>
        </w:rPr>
      </w:pPr>
      <w:r>
        <w:rPr>
          <w:rFonts w:cs="Times New Roman" w:eastAsiaTheme="minorEastAsia"/>
          <w:sz w:val="18"/>
          <w:szCs w:val="18"/>
          <w:lang w:bidi="ar"/>
        </w:rPr>
        <w:t>肖有智, 张晓兰, 刘欣. 新质生产力与企业内部薪酬差距——基于共享发展视角[J]. 经济评论, 2024, (03): 75-91.</w:t>
      </w:r>
    </w:p>
    <w:p w14:paraId="1E60B319">
      <w:pPr>
        <w:numPr>
          <w:ilvl w:val="0"/>
          <w:numId w:val="2"/>
        </w:numPr>
        <w:jc w:val="left"/>
        <w:rPr>
          <w:rFonts w:cs="Times New Roman" w:eastAsiaTheme="minorEastAsia"/>
          <w:sz w:val="18"/>
          <w:szCs w:val="18"/>
          <w:lang w:bidi="ar"/>
        </w:rPr>
      </w:pPr>
      <w:r>
        <w:rPr>
          <w:rFonts w:cs="Times New Roman" w:eastAsiaTheme="minorEastAsia"/>
          <w:sz w:val="18"/>
          <w:szCs w:val="18"/>
          <w:lang w:bidi="ar"/>
        </w:rPr>
        <w:t>Tornatzky L G, Fleischer M. The Process of Technological Innovation [M]. United States: Lexington Books, 1990.</w:t>
      </w:r>
    </w:p>
    <w:p w14:paraId="7EC38432">
      <w:pPr>
        <w:numPr>
          <w:ilvl w:val="0"/>
          <w:numId w:val="2"/>
        </w:numPr>
        <w:jc w:val="left"/>
        <w:rPr>
          <w:rFonts w:cs="Times New Roman" w:eastAsiaTheme="minorEastAsia"/>
          <w:sz w:val="18"/>
          <w:szCs w:val="18"/>
          <w:lang w:bidi="ar"/>
        </w:rPr>
      </w:pPr>
      <w:r>
        <w:rPr>
          <w:rFonts w:cs="Times New Roman" w:eastAsiaTheme="minorEastAsia"/>
          <w:sz w:val="18"/>
          <w:szCs w:val="18"/>
          <w:lang w:bidi="ar"/>
        </w:rPr>
        <w:t>谭海波,范梓腾,杜运周.技术管理能力、注意力分配与地方政府网站建设——一项基于TOE框架的组态分析[J].管理世界,2019,35(09):81-94.</w:t>
      </w:r>
    </w:p>
    <w:p w14:paraId="2DB36242">
      <w:pPr>
        <w:numPr>
          <w:ilvl w:val="0"/>
          <w:numId w:val="2"/>
        </w:numPr>
        <w:jc w:val="left"/>
        <w:rPr>
          <w:rFonts w:cs="Times New Roman" w:eastAsiaTheme="minorEastAsia"/>
          <w:sz w:val="18"/>
          <w:szCs w:val="18"/>
          <w:lang w:bidi="ar"/>
        </w:rPr>
      </w:pPr>
      <w:r>
        <w:rPr>
          <w:rFonts w:cs="Times New Roman" w:eastAsiaTheme="minorEastAsia"/>
          <w:sz w:val="18"/>
          <w:szCs w:val="18"/>
          <w:lang w:bidi="ar"/>
        </w:rPr>
        <w:t>刘敦虎,易敏轩,唐国强,等.数字化转型对制造企业新质生产力影响机理研究[J/OL].软科学,1-19.</w:t>
      </w:r>
    </w:p>
    <w:p w14:paraId="55CD4DA0">
      <w:pPr>
        <w:numPr>
          <w:ilvl w:val="0"/>
          <w:numId w:val="2"/>
        </w:numPr>
        <w:jc w:val="left"/>
        <w:rPr>
          <w:rFonts w:cs="Times New Roman" w:eastAsiaTheme="minorEastAsia"/>
          <w:sz w:val="18"/>
          <w:szCs w:val="18"/>
          <w:lang w:bidi="ar"/>
        </w:rPr>
      </w:pPr>
      <w:r>
        <w:rPr>
          <w:rFonts w:cs="Times New Roman" w:eastAsiaTheme="minorEastAsia"/>
          <w:sz w:val="18"/>
          <w:szCs w:val="18"/>
          <w:lang w:bidi="ar"/>
        </w:rPr>
        <w:t>白雪洁, 王欣悦, 宋培. 中国企业数字化转型的影响因素研究——基于TOE框架的实证分析[J]. 科学学研究, 1-18.</w:t>
      </w:r>
    </w:p>
    <w:p w14:paraId="4027D030">
      <w:pPr>
        <w:numPr>
          <w:ilvl w:val="0"/>
          <w:numId w:val="2"/>
        </w:numPr>
        <w:jc w:val="left"/>
        <w:rPr>
          <w:rFonts w:cs="Times New Roman" w:eastAsiaTheme="minorEastAsia"/>
          <w:sz w:val="18"/>
          <w:szCs w:val="18"/>
          <w:lang w:bidi="ar"/>
        </w:rPr>
      </w:pPr>
      <w:r>
        <w:rPr>
          <w:rFonts w:cs="Times New Roman" w:eastAsiaTheme="minorEastAsia"/>
          <w:sz w:val="18"/>
          <w:szCs w:val="18"/>
          <w:lang w:bidi="ar"/>
        </w:rPr>
        <w:t>Hambrick D C. 2007. Upper echelons theory: An update [J]. Academy of Management Review,32 (2):334-343.</w:t>
      </w:r>
    </w:p>
    <w:p w14:paraId="526A8BD7">
      <w:pPr>
        <w:numPr>
          <w:ilvl w:val="0"/>
          <w:numId w:val="2"/>
        </w:numPr>
        <w:jc w:val="left"/>
        <w:rPr>
          <w:rFonts w:cs="Times New Roman" w:eastAsiaTheme="minorEastAsia"/>
          <w:sz w:val="18"/>
          <w:szCs w:val="18"/>
          <w:lang w:bidi="ar"/>
        </w:rPr>
      </w:pPr>
      <w:r>
        <w:rPr>
          <w:rFonts w:cs="Times New Roman" w:eastAsiaTheme="minorEastAsia"/>
          <w:sz w:val="18"/>
          <w:szCs w:val="18"/>
          <w:lang w:bidi="ar"/>
        </w:rPr>
        <w:t>牛彪,于翔,丁亚楠,等.高管薪酬差距对企业数字化转型的影响研究[J].管理学报,2024,21(07):982-991.</w:t>
      </w:r>
    </w:p>
    <w:p w14:paraId="5C839F1B">
      <w:pPr>
        <w:numPr>
          <w:ilvl w:val="0"/>
          <w:numId w:val="2"/>
        </w:numPr>
        <w:jc w:val="left"/>
        <w:rPr>
          <w:rFonts w:cs="Times New Roman" w:eastAsiaTheme="minorEastAsia"/>
          <w:sz w:val="18"/>
          <w:szCs w:val="18"/>
          <w:lang w:bidi="ar"/>
        </w:rPr>
      </w:pPr>
      <w:r>
        <w:rPr>
          <w:rFonts w:cs="Times New Roman" w:eastAsiaTheme="minorEastAsia"/>
          <w:sz w:val="18"/>
          <w:szCs w:val="18"/>
          <w:lang w:bidi="ar"/>
        </w:rPr>
        <w:t>王象路,罗瑾琏,姜新华,等.高管团队信息技术背景与企业数字化转型战略——基于数字战略认知框架[J].科学学与科学技术管理,2024,45(10):153-167.</w:t>
      </w:r>
    </w:p>
    <w:p w14:paraId="407BAD25">
      <w:pPr>
        <w:numPr>
          <w:ilvl w:val="0"/>
          <w:numId w:val="2"/>
        </w:numPr>
        <w:jc w:val="left"/>
        <w:rPr>
          <w:rFonts w:cs="Times New Roman" w:eastAsiaTheme="minorEastAsia"/>
          <w:sz w:val="18"/>
          <w:szCs w:val="18"/>
          <w:lang w:bidi="ar"/>
        </w:rPr>
      </w:pPr>
      <w:r>
        <w:rPr>
          <w:rFonts w:cs="Times New Roman" w:eastAsiaTheme="minorEastAsia"/>
          <w:sz w:val="18"/>
          <w:szCs w:val="18"/>
          <w:lang w:bidi="ar"/>
        </w:rPr>
        <w:t>严兵,程敏,王乃合.ESG绿色溢出、供应链传导与企业绿色创新[J].经济研究,2024,59(07):72-91.</w:t>
      </w:r>
    </w:p>
    <w:p w14:paraId="63AE3237">
      <w:pPr>
        <w:numPr>
          <w:ilvl w:val="0"/>
          <w:numId w:val="2"/>
        </w:numPr>
        <w:jc w:val="left"/>
        <w:rPr>
          <w:rFonts w:cs="Times New Roman" w:eastAsiaTheme="minorEastAsia"/>
          <w:sz w:val="18"/>
          <w:szCs w:val="18"/>
          <w:lang w:bidi="ar"/>
        </w:rPr>
      </w:pPr>
      <w:r>
        <w:rPr>
          <w:rFonts w:cs="Times New Roman" w:eastAsiaTheme="minorEastAsia"/>
          <w:sz w:val="18"/>
          <w:szCs w:val="18"/>
          <w:lang w:bidi="ar"/>
        </w:rPr>
        <w:t>杨维新,杨云鹏,朱晨.数字经济如何促进“双碳”目标实现:理论机制与微观证据[J/OL].系统管理学报,1-22.</w:t>
      </w:r>
    </w:p>
    <w:p w14:paraId="2CC956A7">
      <w:pPr>
        <w:numPr>
          <w:ilvl w:val="0"/>
          <w:numId w:val="2"/>
        </w:numPr>
        <w:jc w:val="left"/>
        <w:rPr>
          <w:rFonts w:cs="Times New Roman" w:eastAsiaTheme="minorEastAsia"/>
          <w:sz w:val="18"/>
          <w:szCs w:val="18"/>
          <w:lang w:bidi="ar"/>
        </w:rPr>
      </w:pPr>
      <w:r>
        <w:rPr>
          <w:rFonts w:cs="Times New Roman" w:eastAsiaTheme="minorEastAsia"/>
          <w:sz w:val="18"/>
          <w:szCs w:val="18"/>
          <w:lang w:bidi="ar"/>
        </w:rPr>
        <w:t>Cortes C, Vapnik V. Support-vector networks [J]. Machine learning, 1995, 20: 273-297.</w:t>
      </w:r>
    </w:p>
    <w:p w14:paraId="430E0302">
      <w:pPr>
        <w:numPr>
          <w:ilvl w:val="0"/>
          <w:numId w:val="2"/>
        </w:numPr>
        <w:jc w:val="left"/>
        <w:rPr>
          <w:rFonts w:cs="Times New Roman" w:eastAsiaTheme="minorEastAsia"/>
          <w:sz w:val="18"/>
          <w:szCs w:val="18"/>
          <w:lang w:bidi="ar"/>
        </w:rPr>
      </w:pPr>
      <w:r>
        <w:rPr>
          <w:rFonts w:cs="Times New Roman" w:eastAsiaTheme="minorEastAsia"/>
          <w:sz w:val="18"/>
          <w:szCs w:val="18"/>
          <w:lang w:bidi="ar"/>
        </w:rPr>
        <w:t xml:space="preserve">Breiman L. Random forests [J]. Machine learning, 2001, 45 (1): 5-32. </w:t>
      </w:r>
    </w:p>
    <w:p w14:paraId="0B96425D">
      <w:pPr>
        <w:numPr>
          <w:ilvl w:val="0"/>
          <w:numId w:val="2"/>
        </w:numPr>
        <w:jc w:val="left"/>
        <w:rPr>
          <w:rFonts w:cs="Times New Roman" w:eastAsiaTheme="minorEastAsia"/>
          <w:sz w:val="18"/>
          <w:szCs w:val="18"/>
          <w:lang w:bidi="ar"/>
        </w:rPr>
      </w:pPr>
      <w:r>
        <w:rPr>
          <w:rFonts w:cs="Times New Roman" w:eastAsiaTheme="minorEastAsia"/>
          <w:sz w:val="18"/>
          <w:szCs w:val="18"/>
          <w:lang w:bidi="ar"/>
        </w:rPr>
        <w:t>Lundberg S M, Lee S I. A unified approach to interpreting model predictions [J]. Advances in neural information processing systems,2017,30:4768-4777.</w:t>
      </w:r>
    </w:p>
    <w:p w14:paraId="1E7CAD13">
      <w:pPr>
        <w:numPr>
          <w:ilvl w:val="0"/>
          <w:numId w:val="2"/>
        </w:numPr>
        <w:jc w:val="left"/>
        <w:rPr>
          <w:rFonts w:cs="Times New Roman" w:eastAsiaTheme="minorEastAsia"/>
          <w:sz w:val="18"/>
          <w:szCs w:val="18"/>
          <w:lang w:bidi="ar"/>
        </w:rPr>
      </w:pPr>
      <w:r>
        <w:rPr>
          <w:rFonts w:cs="Times New Roman" w:eastAsiaTheme="minorEastAsia"/>
          <w:sz w:val="18"/>
          <w:szCs w:val="18"/>
          <w:lang w:val="de-DE" w:bidi="ar"/>
        </w:rPr>
        <w:t xml:space="preserve">Xie Y, Chen Y, Wei Q, et al. </w:t>
      </w:r>
      <w:r>
        <w:rPr>
          <w:rFonts w:cs="Times New Roman" w:eastAsiaTheme="minorEastAsia"/>
          <w:sz w:val="18"/>
          <w:szCs w:val="18"/>
          <w:lang w:bidi="ar"/>
        </w:rPr>
        <w:t>A hybrid deep learning approach to improve real-time effluent quality prediction in wastewater treatment plant [J]. Water Research, 2024, 250: 121092.</w:t>
      </w:r>
    </w:p>
    <w:p w14:paraId="300869BA">
      <w:pPr>
        <w:numPr>
          <w:ilvl w:val="0"/>
          <w:numId w:val="2"/>
        </w:numPr>
        <w:jc w:val="left"/>
        <w:rPr>
          <w:rFonts w:cs="Times New Roman" w:eastAsiaTheme="minorEastAsia"/>
          <w:sz w:val="18"/>
          <w:szCs w:val="18"/>
          <w:lang w:bidi="ar"/>
        </w:rPr>
      </w:pPr>
      <w:r>
        <w:rPr>
          <w:rFonts w:cs="Times New Roman" w:eastAsiaTheme="minorEastAsia"/>
          <w:sz w:val="18"/>
          <w:szCs w:val="18"/>
          <w:lang w:bidi="ar"/>
        </w:rPr>
        <w:t>朱建新,刘可心,曾能民,等.竞争网络与公司财务绩效——基于可解释性随机森林的经验证据[J/OL].中国管理科学,1-20.</w:t>
      </w:r>
    </w:p>
    <w:p w14:paraId="4DCCC469">
      <w:pPr>
        <w:numPr>
          <w:ilvl w:val="0"/>
          <w:numId w:val="2"/>
        </w:numPr>
        <w:jc w:val="left"/>
        <w:rPr>
          <w:rFonts w:cs="Times New Roman" w:eastAsiaTheme="minorEastAsia"/>
          <w:sz w:val="18"/>
          <w:szCs w:val="18"/>
          <w:lang w:bidi="ar"/>
        </w:rPr>
      </w:pPr>
      <w:r>
        <w:rPr>
          <w:rFonts w:cs="Times New Roman" w:eastAsiaTheme="minorEastAsia"/>
          <w:sz w:val="18"/>
          <w:szCs w:val="18"/>
          <w:lang w:bidi="ar"/>
        </w:rPr>
        <w:t>Lundberg S M, Erion G, Chen H, et al. From local explanations to global understanding with explainable AI for trees [J]. Nature Machine Intelligence,2020,2 (1):56-67.</w:t>
      </w:r>
    </w:p>
    <w:p w14:paraId="4397C0B1">
      <w:pPr>
        <w:numPr>
          <w:ilvl w:val="0"/>
          <w:numId w:val="2"/>
        </w:numPr>
        <w:jc w:val="left"/>
        <w:rPr>
          <w:rFonts w:cs="Times New Roman" w:eastAsiaTheme="minorEastAsia"/>
          <w:sz w:val="18"/>
          <w:szCs w:val="18"/>
          <w:lang w:bidi="ar"/>
        </w:rPr>
      </w:pPr>
      <w:r>
        <w:rPr>
          <w:rFonts w:cs="Times New Roman" w:eastAsiaTheme="minorEastAsia"/>
          <w:sz w:val="18"/>
          <w:szCs w:val="18"/>
          <w:lang w:bidi="ar"/>
        </w:rPr>
        <w:t>陈运森,周金泳,彭嘉续.中国上市公司分红的动因研究——基于机器学习的证据[J/OL].中国工业经济,2024,(05):155-173.</w:t>
      </w:r>
    </w:p>
    <w:p w14:paraId="2FC82A42">
      <w:pPr>
        <w:numPr>
          <w:ilvl w:val="0"/>
          <w:numId w:val="2"/>
        </w:numPr>
        <w:jc w:val="left"/>
        <w:rPr>
          <w:rFonts w:cs="Times New Roman" w:eastAsiaTheme="minorEastAsia"/>
          <w:sz w:val="18"/>
          <w:szCs w:val="18"/>
          <w:lang w:bidi="ar"/>
        </w:rPr>
      </w:pPr>
      <w:r>
        <w:rPr>
          <w:rFonts w:cs="Times New Roman" w:eastAsiaTheme="minorEastAsia"/>
          <w:sz w:val="18"/>
          <w:szCs w:val="18"/>
          <w:lang w:bidi="ar"/>
        </w:rPr>
        <w:t>刘潇,王效俐.基于k-means和邻域粗糙集的航空客户价值分类研究[J].运筹与管理,2021,30(03):104-111.</w:t>
      </w:r>
    </w:p>
    <w:p w14:paraId="2D09E54B">
      <w:pPr>
        <w:numPr>
          <w:ilvl w:val="0"/>
          <w:numId w:val="2"/>
        </w:numPr>
        <w:jc w:val="left"/>
        <w:rPr>
          <w:rFonts w:cs="Times New Roman" w:eastAsiaTheme="minorEastAsia"/>
          <w:sz w:val="18"/>
          <w:szCs w:val="18"/>
          <w:lang w:bidi="ar"/>
        </w:rPr>
      </w:pPr>
      <w:r>
        <w:rPr>
          <w:rFonts w:cs="Times New Roman" w:eastAsiaTheme="minorEastAsia"/>
          <w:sz w:val="18"/>
          <w:szCs w:val="18"/>
          <w:lang w:bidi="ar"/>
        </w:rPr>
        <w:t>刘景江,郑畅然,洪永淼.机器学习如何赋能管理学研究?——国内外前沿综述和未来展望[J].管理世界,2023,39(09):191-216.</w:t>
      </w:r>
    </w:p>
    <w:p w14:paraId="6FAE3460">
      <w:pPr>
        <w:numPr>
          <w:ilvl w:val="0"/>
          <w:numId w:val="2"/>
        </w:numPr>
        <w:jc w:val="left"/>
        <w:rPr>
          <w:rFonts w:cs="Times New Roman" w:eastAsiaTheme="minorEastAsia"/>
          <w:sz w:val="18"/>
          <w:szCs w:val="18"/>
          <w:lang w:bidi="ar"/>
        </w:rPr>
      </w:pPr>
      <w:r>
        <w:rPr>
          <w:rFonts w:cs="Times New Roman" w:eastAsiaTheme="minorEastAsia"/>
          <w:sz w:val="18"/>
          <w:szCs w:val="18"/>
          <w:lang w:bidi="ar"/>
        </w:rPr>
        <w:t>温廷新,白云鹤.融合RF-GA-XGBoost和SHAP的虚假新闻群体互动质量可解释模型[J/OL].数据分析与知识发现,1-18.</w:t>
      </w:r>
    </w:p>
    <w:p w14:paraId="091C47AE">
      <w:pPr>
        <w:numPr>
          <w:ilvl w:val="0"/>
          <w:numId w:val="2"/>
        </w:numPr>
        <w:jc w:val="left"/>
        <w:rPr>
          <w:rFonts w:cs="Times New Roman" w:eastAsiaTheme="minorEastAsia"/>
          <w:sz w:val="18"/>
          <w:szCs w:val="18"/>
          <w:lang w:bidi="ar"/>
        </w:rPr>
      </w:pPr>
      <w:r>
        <w:rPr>
          <w:rFonts w:cs="Times New Roman" w:eastAsiaTheme="minorEastAsia"/>
          <w:sz w:val="18"/>
          <w:szCs w:val="18"/>
          <w:lang w:bidi="ar"/>
        </w:rPr>
        <w:t>王兆华,刘杰,王博,等.融合机器学习与SHAP值算法的居民需求响应个体异质性因素挖掘与应用研究[J/OL].系统工程理论与实践,1-30.</w:t>
      </w:r>
    </w:p>
    <w:p w14:paraId="1CF69AFB">
      <w:pPr>
        <w:numPr>
          <w:ilvl w:val="0"/>
          <w:numId w:val="2"/>
        </w:numPr>
        <w:jc w:val="left"/>
        <w:rPr>
          <w:rFonts w:cs="Times New Roman" w:eastAsiaTheme="minorEastAsia"/>
          <w:sz w:val="18"/>
          <w:szCs w:val="18"/>
          <w:lang w:bidi="ar"/>
        </w:rPr>
      </w:pPr>
      <w:r>
        <w:rPr>
          <w:rFonts w:cs="Times New Roman" w:eastAsiaTheme="minorEastAsia"/>
          <w:sz w:val="18"/>
          <w:szCs w:val="18"/>
          <w:lang w:bidi="ar"/>
        </w:rPr>
        <w:t>Mullainathan, S., and J. Spiess, 2017, "Machine Learning: An Applied Econometric Approach", Journal of Economic Perspectives, 31 (2): 87-106</w:t>
      </w:r>
    </w:p>
    <w:p w14:paraId="3BA44E93">
      <w:pPr>
        <w:numPr>
          <w:ilvl w:val="0"/>
          <w:numId w:val="2"/>
        </w:numPr>
        <w:jc w:val="left"/>
        <w:rPr>
          <w:rFonts w:cs="Times New Roman" w:eastAsiaTheme="minorEastAsia"/>
          <w:sz w:val="18"/>
          <w:szCs w:val="18"/>
          <w:lang w:bidi="ar"/>
        </w:rPr>
      </w:pPr>
      <w:r>
        <w:rPr>
          <w:rFonts w:cs="Times New Roman" w:eastAsiaTheme="minorEastAsia"/>
          <w:sz w:val="18"/>
          <w:szCs w:val="18"/>
          <w:lang w:bidi="ar"/>
        </w:rPr>
        <w:t>薛秋童,唐攀.数字普惠金融与贫困脆弱性:“普及”抑或“惠及”?——来自可解释机器学习的证据[J].国际金融研究,2024,(06):18-29.</w:t>
      </w:r>
    </w:p>
    <w:p w14:paraId="29672A81">
      <w:pPr>
        <w:numPr>
          <w:ilvl w:val="0"/>
          <w:numId w:val="2"/>
        </w:numPr>
        <w:jc w:val="left"/>
        <w:rPr>
          <w:rFonts w:cs="Times New Roman" w:eastAsiaTheme="minorEastAsia"/>
          <w:sz w:val="18"/>
          <w:szCs w:val="18"/>
          <w:lang w:bidi="ar"/>
        </w:rPr>
      </w:pPr>
      <w:r>
        <w:rPr>
          <w:rFonts w:cs="Times New Roman" w:eastAsiaTheme="minorEastAsia"/>
          <w:sz w:val="18"/>
          <w:szCs w:val="18"/>
          <w:lang w:bidi="ar"/>
        </w:rPr>
        <w:t>Feng L,Rongping W,Mingjie F.Mapping green innovation with machine learning: Evidence from China [J]. Technological Forecasting &amp; Social Change,2024,200123107.</w:t>
      </w:r>
    </w:p>
    <w:p w14:paraId="75D66D2D">
      <w:pPr>
        <w:numPr>
          <w:ilvl w:val="0"/>
          <w:numId w:val="2"/>
        </w:numPr>
        <w:jc w:val="left"/>
        <w:rPr>
          <w:rFonts w:cs="Times New Roman" w:eastAsiaTheme="minorEastAsia"/>
          <w:sz w:val="18"/>
          <w:szCs w:val="18"/>
          <w:lang w:bidi="ar"/>
        </w:rPr>
      </w:pPr>
      <w:r>
        <w:rPr>
          <w:rFonts w:cs="Times New Roman" w:eastAsiaTheme="minorEastAsia"/>
          <w:sz w:val="18"/>
          <w:szCs w:val="18"/>
          <w:lang w:bidi="ar"/>
        </w:rPr>
        <w:t>聂卉,吴晓燕.结合梯度提升树算法与可解释机器学习模型SHAP的抑郁症影响因素研究[J].数据分析与知识发现,2024,8(03):41-52.</w:t>
      </w:r>
    </w:p>
    <w:p w14:paraId="3E276124">
      <w:pPr>
        <w:jc w:val="center"/>
        <w:rPr>
          <w:rFonts w:cs="Times New Roman"/>
          <w:b/>
          <w:sz w:val="28"/>
          <w:szCs w:val="28"/>
        </w:rPr>
      </w:pPr>
    </w:p>
    <w:p w14:paraId="07C67D6B">
      <w:pPr>
        <w:jc w:val="center"/>
        <w:rPr>
          <w:rFonts w:cs="Times New Roman"/>
          <w:b/>
          <w:sz w:val="28"/>
          <w:szCs w:val="28"/>
        </w:rPr>
      </w:pPr>
    </w:p>
    <w:p w14:paraId="64C63574">
      <w:pPr>
        <w:rPr>
          <w:rFonts w:cs="Times New Roman"/>
          <w:b/>
          <w:sz w:val="28"/>
          <w:szCs w:val="28"/>
        </w:rPr>
      </w:pPr>
    </w:p>
    <w:p w14:paraId="22FD9D33">
      <w:pPr>
        <w:jc w:val="center"/>
        <w:rPr>
          <w:rFonts w:cs="Times New Roman"/>
          <w:b/>
          <w:sz w:val="28"/>
          <w:szCs w:val="28"/>
        </w:rPr>
      </w:pPr>
      <w:r>
        <w:rPr>
          <w:rFonts w:cs="Times New Roman"/>
          <w:b/>
          <w:sz w:val="28"/>
          <w:szCs w:val="28"/>
        </w:rPr>
        <w:t>Research on the Driving Forces of New quality productive forces of Chinese Enterprises Based on SVM-RF and SHAP</w:t>
      </w:r>
    </w:p>
    <w:p w14:paraId="7684833E">
      <w:pPr>
        <w:jc w:val="center"/>
        <w:rPr>
          <w:rFonts w:cs="Times New Roman"/>
          <w:sz w:val="21"/>
          <w:szCs w:val="21"/>
        </w:rPr>
      </w:pPr>
      <w:r>
        <w:rPr>
          <w:rFonts w:cs="Times New Roman"/>
          <w:sz w:val="21"/>
          <w:szCs w:val="21"/>
        </w:rPr>
        <w:t>Liu Xiong</w:t>
      </w:r>
      <w:r>
        <w:rPr>
          <w:rFonts w:cs="Times New Roman"/>
          <w:sz w:val="21"/>
          <w:szCs w:val="21"/>
          <w:vertAlign w:val="superscript"/>
        </w:rPr>
        <w:t>1</w:t>
      </w:r>
      <w:r>
        <w:rPr>
          <w:rFonts w:hint="eastAsia" w:cs="Times New Roman"/>
          <w:sz w:val="21"/>
          <w:szCs w:val="21"/>
          <w:vertAlign w:val="superscript"/>
        </w:rPr>
        <w:t>,2</w:t>
      </w:r>
      <w:r>
        <w:rPr>
          <w:rFonts w:cs="Times New Roman"/>
          <w:sz w:val="21"/>
          <w:szCs w:val="21"/>
        </w:rPr>
        <w:t>,</w:t>
      </w:r>
      <w:r>
        <w:rPr>
          <w:rFonts w:hint="eastAsia" w:cs="Times New Roman"/>
          <w:sz w:val="21"/>
          <w:szCs w:val="21"/>
        </w:rPr>
        <w:t xml:space="preserve"> </w:t>
      </w:r>
      <w:r>
        <w:rPr>
          <w:rFonts w:cs="Times New Roman"/>
          <w:sz w:val="21"/>
          <w:szCs w:val="21"/>
        </w:rPr>
        <w:t>Zhu Fengjing</w:t>
      </w:r>
      <w:r>
        <w:rPr>
          <w:rFonts w:hint="eastAsia" w:cs="Times New Roman"/>
          <w:sz w:val="21"/>
          <w:szCs w:val="21"/>
          <w:vertAlign w:val="superscript"/>
        </w:rPr>
        <w:t>1,2</w:t>
      </w:r>
      <w:r>
        <w:rPr>
          <w:rFonts w:cs="Times New Roman"/>
          <w:sz w:val="21"/>
          <w:szCs w:val="21"/>
        </w:rPr>
        <w:t xml:space="preserve"> </w:t>
      </w:r>
    </w:p>
    <w:p w14:paraId="54ABD9EF">
      <w:pPr>
        <w:widowControl/>
        <w:jc w:val="center"/>
        <w:rPr>
          <w:rFonts w:cs="Times New Roman"/>
          <w:sz w:val="21"/>
          <w:szCs w:val="21"/>
        </w:rPr>
      </w:pPr>
      <w:r>
        <w:rPr>
          <w:rFonts w:cs="Times New Roman"/>
          <w:sz w:val="21"/>
          <w:szCs w:val="21"/>
        </w:rPr>
        <w:t>(1.Chinese Academy of Sciences Institutes of Science and Development,Beijing 100190;</w:t>
      </w:r>
      <w:r>
        <w:rPr>
          <w:rFonts w:hint="eastAsia" w:cs="Times New Roman"/>
          <w:sz w:val="21"/>
          <w:szCs w:val="21"/>
        </w:rPr>
        <w:t xml:space="preserve"> </w:t>
      </w:r>
      <w:r>
        <w:rPr>
          <w:rFonts w:cs="Times New Roman"/>
          <w:sz w:val="21"/>
          <w:szCs w:val="21"/>
        </w:rPr>
        <w:t>2.School</w:t>
      </w:r>
      <w:r>
        <w:rPr>
          <w:rFonts w:hint="eastAsia" w:cs="Times New Roman"/>
          <w:sz w:val="21"/>
          <w:szCs w:val="21"/>
        </w:rPr>
        <w:t xml:space="preserve"> </w:t>
      </w:r>
      <w:r>
        <w:rPr>
          <w:rFonts w:cs="Times New Roman"/>
          <w:sz w:val="21"/>
          <w:szCs w:val="21"/>
        </w:rPr>
        <w:t>of Public Policy and Management,University of Chinese Academy of Sciences,Beijing 100049)</w:t>
      </w:r>
    </w:p>
    <w:p w14:paraId="5FD47BC4">
      <w:pPr>
        <w:pStyle w:val="9"/>
        <w:widowControl/>
        <w:spacing w:beforeAutospacing="0" w:afterAutospacing="0"/>
        <w:rPr>
          <w:rFonts w:eastAsia="ArialUnicodeMS"/>
          <w:sz w:val="21"/>
          <w:szCs w:val="21"/>
          <w:lang w:bidi="ar"/>
        </w:rPr>
      </w:pPr>
      <w:r>
        <w:rPr>
          <w:b/>
          <w:sz w:val="21"/>
          <w:szCs w:val="21"/>
        </w:rPr>
        <w:t>Abstract:</w:t>
      </w:r>
      <w:r>
        <w:rPr>
          <w:sz w:val="21"/>
          <w:szCs w:val="21"/>
        </w:rPr>
        <w:t xml:space="preserve"> </w:t>
      </w:r>
      <w:r>
        <w:rPr>
          <w:rFonts w:eastAsia="ArialUnicodeMS"/>
          <w:sz w:val="21"/>
          <w:szCs w:val="21"/>
          <w:lang w:bidi="ar"/>
        </w:rPr>
        <w:t>As key entities in a market economy, enterprises serve as crucial carriers of new</w:t>
      </w:r>
      <w:r>
        <w:rPr>
          <w:rFonts w:hint="eastAsia" w:eastAsia="ArialUnicodeMS"/>
          <w:sz w:val="21"/>
          <w:szCs w:val="21"/>
          <w:lang w:bidi="ar"/>
        </w:rPr>
        <w:t xml:space="preserve"> </w:t>
      </w:r>
      <w:r>
        <w:rPr>
          <w:rFonts w:eastAsia="ArialUnicodeMS"/>
          <w:sz w:val="21"/>
          <w:szCs w:val="21"/>
          <w:lang w:bidi="ar"/>
        </w:rPr>
        <w:t xml:space="preserve">quality productive forces. Investigating the driving factors behind their development is essential for enhancing corporate competitiveness and promoting high-quality growth. This study constructs a framework for analyzing the drivers of enterprise </w:t>
      </w:r>
      <w:r>
        <w:rPr>
          <w:rFonts w:hint="eastAsia" w:eastAsia="ArialUnicodeMS"/>
          <w:sz w:val="21"/>
          <w:szCs w:val="21"/>
          <w:lang w:bidi="ar"/>
        </w:rPr>
        <w:t>new quality</w:t>
      </w:r>
      <w:r>
        <w:rPr>
          <w:rFonts w:eastAsia="ArialUnicodeMS"/>
          <w:sz w:val="21"/>
          <w:szCs w:val="21"/>
          <w:lang w:bidi="ar"/>
        </w:rPr>
        <w:t xml:space="preserve"> productive forces based on the TOE model. Using a dataset of A-share listed companies in China from 2011 to 2022, a predictive model integrating Support Vector Machines and Random Forest (SVM-RF) is developed and compared with various machine learning approaches, including logistic regression, ensemble learning, and deep learning. Furthermore, the SHAP method is employed to interpret the influence of driving factors and rank their importance. The key findings are as follows:(1) The SVM-RF ensemble model outperforms other models in terms of Accuracy, F1-score, and other evaluation metrics, achieving an AUC exceeding 90%, thereby demonstrating strong predictive performance in assessing the development level of enterprise </w:t>
      </w:r>
      <w:r>
        <w:rPr>
          <w:rFonts w:hint="eastAsia" w:eastAsia="ArialUnicodeMS"/>
          <w:sz w:val="21"/>
          <w:szCs w:val="21"/>
          <w:lang w:bidi="ar"/>
        </w:rPr>
        <w:t>new quality</w:t>
      </w:r>
      <w:r>
        <w:rPr>
          <w:rFonts w:eastAsia="ArialUnicodeMS"/>
          <w:sz w:val="21"/>
          <w:szCs w:val="21"/>
          <w:lang w:bidi="ar"/>
        </w:rPr>
        <w:t xml:space="preserve"> productive forces. Moreover, machine learning methods significantly surpass traditional regression models in prediction accuracy.(2) R&amp;D investment, the proportion of highly educated talent, and enterprise size consistently rank among the top five factors in both SHAP analysis and multiple machine learning feature importance rankings. Attributes related to technological innovation, human capital investment, and green development positively contribute to the advancement of enterprise </w:t>
      </w:r>
      <w:r>
        <w:rPr>
          <w:rFonts w:hint="eastAsia" w:eastAsia="ArialUnicodeMS"/>
          <w:sz w:val="21"/>
          <w:szCs w:val="21"/>
          <w:lang w:bidi="ar"/>
        </w:rPr>
        <w:t>new quality</w:t>
      </w:r>
      <w:r>
        <w:rPr>
          <w:rFonts w:eastAsia="ArialUnicodeMS"/>
          <w:sz w:val="21"/>
          <w:szCs w:val="21"/>
          <w:lang w:bidi="ar"/>
        </w:rPr>
        <w:t xml:space="preserve"> productive forces.(3) State-owned enterprises exhibit a higher likelihood of strong </w:t>
      </w:r>
      <w:r>
        <w:rPr>
          <w:rFonts w:hint="eastAsia" w:eastAsia="ArialUnicodeMS"/>
          <w:sz w:val="21"/>
          <w:szCs w:val="21"/>
          <w:lang w:bidi="ar"/>
        </w:rPr>
        <w:t>new quality</w:t>
      </w:r>
      <w:r>
        <w:rPr>
          <w:rFonts w:eastAsia="ArialUnicodeMS"/>
          <w:sz w:val="21"/>
          <w:szCs w:val="21"/>
          <w:lang w:bidi="ar"/>
        </w:rPr>
        <w:t xml:space="preserve"> productive forces development compared to non-state-owned enterprises, reflecting their advantages in technological innovation and resource allocation. Additionally, enterprise age and ESG environmental ratings have contrasting effects on </w:t>
      </w:r>
      <w:r>
        <w:rPr>
          <w:rFonts w:hint="eastAsia" w:eastAsia="ArialUnicodeMS"/>
          <w:sz w:val="21"/>
          <w:szCs w:val="21"/>
          <w:lang w:bidi="ar"/>
        </w:rPr>
        <w:t>new quality</w:t>
      </w:r>
      <w:r>
        <w:rPr>
          <w:rFonts w:eastAsia="ArialUnicodeMS"/>
          <w:sz w:val="21"/>
          <w:szCs w:val="21"/>
          <w:lang w:bidi="ar"/>
        </w:rPr>
        <w:t xml:space="preserve"> productive forces development between state-owned and non-state-owned enterprises. Specifically, state-owned enterprises of medium age demonstrate a higher level of development, whereas non-state-owned enterprises in the same age category show lower levels.These findings offer theoretical and empirical insights into the development of enterprise </w:t>
      </w:r>
      <w:r>
        <w:rPr>
          <w:rFonts w:hint="eastAsia" w:eastAsia="ArialUnicodeMS"/>
          <w:sz w:val="21"/>
          <w:szCs w:val="21"/>
          <w:lang w:bidi="ar"/>
        </w:rPr>
        <w:t>new quality</w:t>
      </w:r>
      <w:r>
        <w:rPr>
          <w:rFonts w:eastAsia="ArialUnicodeMS"/>
          <w:sz w:val="21"/>
          <w:szCs w:val="21"/>
          <w:lang w:bidi="ar"/>
        </w:rPr>
        <w:t xml:space="preserve"> productive forces and provide evidence supporting the application of machine learning methods in exploring their driving factors.</w:t>
      </w:r>
    </w:p>
    <w:p w14:paraId="446CA9CE">
      <w:pPr>
        <w:widowControl/>
        <w:jc w:val="left"/>
        <w:rPr>
          <w:rFonts w:cs="Times New Roman"/>
          <w:sz w:val="21"/>
          <w:szCs w:val="21"/>
          <w:lang w:bidi="ar"/>
        </w:rPr>
      </w:pPr>
      <w:r>
        <w:rPr>
          <w:rFonts w:cs="Times New Roman"/>
          <w:b/>
          <w:sz w:val="21"/>
          <w:szCs w:val="21"/>
        </w:rPr>
        <w:t>Key words</w:t>
      </w:r>
      <w:r>
        <w:rPr>
          <w:rFonts w:hint="eastAsia" w:cs="Times New Roman"/>
          <w:b/>
          <w:sz w:val="21"/>
          <w:szCs w:val="21"/>
        </w:rPr>
        <w:t xml:space="preserve">: </w:t>
      </w:r>
      <w:r>
        <w:rPr>
          <w:rFonts w:eastAsia="ArialUnicodeMS" w:cs="Times New Roman"/>
          <w:kern w:val="0"/>
          <w:sz w:val="21"/>
          <w:szCs w:val="21"/>
          <w:lang w:bidi="ar"/>
        </w:rPr>
        <w:t>new quality productive forces</w:t>
      </w:r>
      <w:r>
        <w:rPr>
          <w:rFonts w:hint="eastAsia" w:eastAsia="ArialUnicodeMS" w:cs="Times New Roman"/>
          <w:kern w:val="0"/>
          <w:sz w:val="21"/>
          <w:szCs w:val="21"/>
          <w:lang w:bidi="ar"/>
        </w:rPr>
        <w:t xml:space="preserve"> ; </w:t>
      </w:r>
      <w:r>
        <w:rPr>
          <w:rFonts w:eastAsia="ArialUnicodeMS" w:cs="Times New Roman"/>
          <w:kern w:val="0"/>
          <w:sz w:val="21"/>
          <w:szCs w:val="21"/>
          <w:lang w:bidi="ar"/>
        </w:rPr>
        <w:t>TOE Framework</w:t>
      </w:r>
      <w:r>
        <w:rPr>
          <w:rFonts w:hint="eastAsia" w:eastAsia="ArialUnicodeMS" w:cs="Times New Roman"/>
          <w:kern w:val="0"/>
          <w:sz w:val="21"/>
          <w:szCs w:val="21"/>
          <w:lang w:bidi="ar"/>
        </w:rPr>
        <w:t xml:space="preserve"> ; </w:t>
      </w:r>
      <w:r>
        <w:rPr>
          <w:rFonts w:eastAsia="ArialUnicodeMS" w:cs="Times New Roman"/>
          <w:kern w:val="0"/>
          <w:sz w:val="21"/>
          <w:szCs w:val="21"/>
          <w:lang w:bidi="ar"/>
        </w:rPr>
        <w:t>Machine Learning</w:t>
      </w:r>
      <w:r>
        <w:rPr>
          <w:rFonts w:hint="eastAsia" w:eastAsia="ArialUnicodeMS" w:cs="Times New Roman"/>
          <w:kern w:val="0"/>
          <w:sz w:val="21"/>
          <w:szCs w:val="21"/>
          <w:lang w:bidi="ar"/>
        </w:rPr>
        <w:t xml:space="preserve"> ; </w:t>
      </w:r>
      <w:r>
        <w:rPr>
          <w:rFonts w:eastAsia="ArialUnicodeMS" w:cs="Times New Roman"/>
          <w:kern w:val="0"/>
          <w:sz w:val="21"/>
          <w:szCs w:val="21"/>
          <w:lang w:bidi="ar"/>
        </w:rPr>
        <w:t>SHAP</w:t>
      </w:r>
    </w:p>
    <w:sectPr>
      <w:pgSz w:w="11906" w:h="16838"/>
      <w:pgMar w:top="1440" w:right="1083" w:bottom="1440" w:left="1083" w:header="851" w:footer="992" w:gutter="0"/>
      <w:pgBorders>
        <w:top w:val="none" w:sz="0" w:space="0"/>
        <w:left w:val="none" w:sz="0" w:space="0"/>
        <w:bottom w:val="none" w:sz="0" w:space="0"/>
        <w:right w:val="none" w:sz="0" w:space="0"/>
      </w:pgBorders>
      <w:cols w:space="425"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libri Light">
    <w:panose1 w:val="020F0302020204030204"/>
    <w:charset w:val="00"/>
    <w:family w:val="swiss"/>
    <w:pitch w:val="default"/>
    <w:sig w:usb0="E4002EFF" w:usb1="C2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 w:name="仿宋">
    <w:panose1 w:val="02010609060101010101"/>
    <w:charset w:val="86"/>
    <w:family w:val="modern"/>
    <w:pitch w:val="default"/>
    <w:sig w:usb0="800002BF" w:usb1="38CF7CFA" w:usb2="00000016" w:usb3="00000000" w:csb0="00040001" w:csb1="00000000"/>
  </w:font>
  <w:font w:name="ArialUnicodeMS">
    <w:altName w:val="Arial"/>
    <w:panose1 w:val="00000000000000000000"/>
    <w:charset w:val="00"/>
    <w:family w:val="auto"/>
    <w:pitch w:val="default"/>
    <w:sig w:usb0="00000000" w:usb1="00000000" w:usb2="00000000" w:usb3="00000000" w:csb0="00000000"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SJ-PK74820000002-Identity-H">
    <w:altName w:val="Segoe Print"/>
    <w:panose1 w:val="00000000000000000000"/>
    <w:charset w:val="00"/>
    <w:family w:val="auto"/>
    <w:pitch w:val="default"/>
    <w:sig w:usb0="00000000" w:usb1="00000000" w:usb2="00000000" w:usb3="00000000" w:csb0="00000000" w:csb1="00000000"/>
  </w:font>
  <w:font w:name="E-BZ-PK74847-Identity-H">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MS PGothic">
    <w:panose1 w:val="020B0600070205080204"/>
    <w:charset w:val="80"/>
    <w:family w:val="auto"/>
    <w:pitch w:val="default"/>
    <w:sig w:usb0="E00002FF" w:usb1="6AC7FDFB" w:usb2="08000012" w:usb3="00000000" w:csb0="4002009F" w:csb1="DFD70000"/>
  </w:font>
  <w:font w:name="Calibri">
    <w:panose1 w:val="020F0502020204030204"/>
    <w:charset w:val="86"/>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r>
        <w:separator/>
      </w:r>
    </w:p>
  </w:footnote>
  <w:footnote w:type="continuationSeparator" w:id="3">
    <w:p>
      <w:r>
        <w:continuationSeparator/>
      </w:r>
    </w:p>
  </w:footnote>
  <w:footnote w:id="0">
    <w:p w14:paraId="4C91BCB9">
      <w:pPr>
        <w:pStyle w:val="8"/>
        <w:snapToGrid w:val="0"/>
        <w:rPr>
          <w:color w:val="FF0000"/>
        </w:rPr>
      </w:pPr>
      <w:r>
        <w:rPr>
          <w:rStyle w:val="17"/>
          <w:color w:val="FF0000"/>
        </w:rPr>
        <w:footnoteRef/>
      </w:r>
      <w:r>
        <w:rPr>
          <w:color w:val="FF0000"/>
        </w:rPr>
        <w:t xml:space="preserve"> </w:t>
      </w:r>
      <w:r>
        <w:rPr>
          <w:rFonts w:hint="eastAsia"/>
          <w:color w:val="FF0000"/>
        </w:rPr>
        <w:t>Ataei, Y., Mahmoudi, A., Feylizadeh, M. R., &amp; Li, D.-F. (2020). Ordinal Priority Approach (OPA) in Multiple Attribute Decision-Making. Applied Soft Computing, 86, 105893. https://doi.org/10.1016/j.asoc.2019.105893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4611D2"/>
    <w:multiLevelType w:val="singleLevel"/>
    <w:tmpl w:val="9B4611D2"/>
    <w:lvl w:ilvl="0" w:tentative="0">
      <w:start w:val="1"/>
      <w:numFmt w:val="decimal"/>
      <w:lvlText w:val="[%1] "/>
      <w:lvlJc w:val="left"/>
      <w:pPr>
        <w:tabs>
          <w:tab w:val="left" w:pos="420"/>
        </w:tabs>
        <w:ind w:left="425" w:hanging="425"/>
      </w:pPr>
      <w:rPr>
        <w:rFonts w:hint="default"/>
      </w:rPr>
    </w:lvl>
  </w:abstractNum>
  <w:abstractNum w:abstractNumId="1">
    <w:nsid w:val="ACAC0E37"/>
    <w:multiLevelType w:val="singleLevel"/>
    <w:tmpl w:val="ACAC0E37"/>
    <w:lvl w:ilvl="0" w:tentative="0">
      <w:start w:val="1"/>
      <w:numFmt w:val="chineseCounting"/>
      <w:suff w:val="nothing"/>
      <w:lvlText w:val="第%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2"/>
    <w:footnote w:id="3"/>
  </w:foot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c4ZjdkNGQ1YzU4OTE2YzhhNDI1NmE4YmNhZmZkNTQifQ=="/>
  </w:docVars>
  <w:rsids>
    <w:rsidRoot w:val="00172A27"/>
    <w:rsid w:val="00011A8A"/>
    <w:rsid w:val="000120B8"/>
    <w:rsid w:val="000271FA"/>
    <w:rsid w:val="00027809"/>
    <w:rsid w:val="000320B0"/>
    <w:rsid w:val="00043CDF"/>
    <w:rsid w:val="0004437C"/>
    <w:rsid w:val="000453FB"/>
    <w:rsid w:val="0005000C"/>
    <w:rsid w:val="00070BD3"/>
    <w:rsid w:val="00074F16"/>
    <w:rsid w:val="00083B2C"/>
    <w:rsid w:val="000C6BCE"/>
    <w:rsid w:val="000D01EA"/>
    <w:rsid w:val="000F01C5"/>
    <w:rsid w:val="000F7D3C"/>
    <w:rsid w:val="0014731B"/>
    <w:rsid w:val="001479E5"/>
    <w:rsid w:val="001510CD"/>
    <w:rsid w:val="00151271"/>
    <w:rsid w:val="00152C0E"/>
    <w:rsid w:val="001814B4"/>
    <w:rsid w:val="001908B4"/>
    <w:rsid w:val="001962BD"/>
    <w:rsid w:val="001A0BF9"/>
    <w:rsid w:val="001B4F39"/>
    <w:rsid w:val="001C6168"/>
    <w:rsid w:val="001C7350"/>
    <w:rsid w:val="001C7DFB"/>
    <w:rsid w:val="001D77B3"/>
    <w:rsid w:val="001E414A"/>
    <w:rsid w:val="001E63CC"/>
    <w:rsid w:val="001F45F8"/>
    <w:rsid w:val="001F52AD"/>
    <w:rsid w:val="00200FA5"/>
    <w:rsid w:val="00221439"/>
    <w:rsid w:val="002276FB"/>
    <w:rsid w:val="0024095B"/>
    <w:rsid w:val="0027545B"/>
    <w:rsid w:val="00277EB6"/>
    <w:rsid w:val="00277F9D"/>
    <w:rsid w:val="00292043"/>
    <w:rsid w:val="002A3EAE"/>
    <w:rsid w:val="002A6E95"/>
    <w:rsid w:val="002B03AA"/>
    <w:rsid w:val="002D70FC"/>
    <w:rsid w:val="002E084A"/>
    <w:rsid w:val="002E37FD"/>
    <w:rsid w:val="002E4867"/>
    <w:rsid w:val="00315DEF"/>
    <w:rsid w:val="00324A79"/>
    <w:rsid w:val="00336970"/>
    <w:rsid w:val="00372D43"/>
    <w:rsid w:val="00375CC8"/>
    <w:rsid w:val="00380C8A"/>
    <w:rsid w:val="00397C0B"/>
    <w:rsid w:val="003A5C59"/>
    <w:rsid w:val="003A7F5A"/>
    <w:rsid w:val="003B46F5"/>
    <w:rsid w:val="003B6179"/>
    <w:rsid w:val="003C53E9"/>
    <w:rsid w:val="003D55D4"/>
    <w:rsid w:val="003D7685"/>
    <w:rsid w:val="003E2ADC"/>
    <w:rsid w:val="003E3201"/>
    <w:rsid w:val="003F0C5D"/>
    <w:rsid w:val="004007BB"/>
    <w:rsid w:val="00410AE6"/>
    <w:rsid w:val="00413CD0"/>
    <w:rsid w:val="00417ECF"/>
    <w:rsid w:val="00426B13"/>
    <w:rsid w:val="004710F8"/>
    <w:rsid w:val="00471588"/>
    <w:rsid w:val="00473E3A"/>
    <w:rsid w:val="00485DA3"/>
    <w:rsid w:val="004945B8"/>
    <w:rsid w:val="004950EE"/>
    <w:rsid w:val="004A78F3"/>
    <w:rsid w:val="004C277E"/>
    <w:rsid w:val="004C753D"/>
    <w:rsid w:val="004D2FA7"/>
    <w:rsid w:val="004E587A"/>
    <w:rsid w:val="004F515A"/>
    <w:rsid w:val="00500C3F"/>
    <w:rsid w:val="00502298"/>
    <w:rsid w:val="00521E82"/>
    <w:rsid w:val="00527ED8"/>
    <w:rsid w:val="00554585"/>
    <w:rsid w:val="005621D6"/>
    <w:rsid w:val="00562FF1"/>
    <w:rsid w:val="00565184"/>
    <w:rsid w:val="0056539D"/>
    <w:rsid w:val="005821A1"/>
    <w:rsid w:val="00582866"/>
    <w:rsid w:val="005A0571"/>
    <w:rsid w:val="005A0BC0"/>
    <w:rsid w:val="005C59B2"/>
    <w:rsid w:val="005D049C"/>
    <w:rsid w:val="005E2064"/>
    <w:rsid w:val="005F1E19"/>
    <w:rsid w:val="005F7AAB"/>
    <w:rsid w:val="00610A93"/>
    <w:rsid w:val="0063266E"/>
    <w:rsid w:val="006357C1"/>
    <w:rsid w:val="006557C9"/>
    <w:rsid w:val="006567A4"/>
    <w:rsid w:val="00666D83"/>
    <w:rsid w:val="00670B33"/>
    <w:rsid w:val="0067776A"/>
    <w:rsid w:val="00684FCD"/>
    <w:rsid w:val="00695424"/>
    <w:rsid w:val="00696C3F"/>
    <w:rsid w:val="006B2852"/>
    <w:rsid w:val="006D2FBC"/>
    <w:rsid w:val="006D3E9F"/>
    <w:rsid w:val="00700C05"/>
    <w:rsid w:val="00702350"/>
    <w:rsid w:val="007029B1"/>
    <w:rsid w:val="00702BB1"/>
    <w:rsid w:val="00704807"/>
    <w:rsid w:val="007050AF"/>
    <w:rsid w:val="00707106"/>
    <w:rsid w:val="00723677"/>
    <w:rsid w:val="0072738D"/>
    <w:rsid w:val="00771B82"/>
    <w:rsid w:val="00772093"/>
    <w:rsid w:val="007861C7"/>
    <w:rsid w:val="00790304"/>
    <w:rsid w:val="007979F8"/>
    <w:rsid w:val="007A2112"/>
    <w:rsid w:val="007A3C22"/>
    <w:rsid w:val="007B41CE"/>
    <w:rsid w:val="007B4EBD"/>
    <w:rsid w:val="007B5D71"/>
    <w:rsid w:val="007B5F80"/>
    <w:rsid w:val="007C0E44"/>
    <w:rsid w:val="007D2576"/>
    <w:rsid w:val="007E0ADC"/>
    <w:rsid w:val="007E14EA"/>
    <w:rsid w:val="007F0065"/>
    <w:rsid w:val="007F1BDC"/>
    <w:rsid w:val="007F2BF7"/>
    <w:rsid w:val="00801E73"/>
    <w:rsid w:val="00804FD4"/>
    <w:rsid w:val="00814CD0"/>
    <w:rsid w:val="00817CD7"/>
    <w:rsid w:val="008378BD"/>
    <w:rsid w:val="00856F61"/>
    <w:rsid w:val="00864B77"/>
    <w:rsid w:val="008658A0"/>
    <w:rsid w:val="008920A5"/>
    <w:rsid w:val="008C1D56"/>
    <w:rsid w:val="008C289C"/>
    <w:rsid w:val="008D1B12"/>
    <w:rsid w:val="008D52DC"/>
    <w:rsid w:val="008F025D"/>
    <w:rsid w:val="008F458E"/>
    <w:rsid w:val="00904498"/>
    <w:rsid w:val="009110F0"/>
    <w:rsid w:val="00915A0C"/>
    <w:rsid w:val="00917E2C"/>
    <w:rsid w:val="00921105"/>
    <w:rsid w:val="009344AC"/>
    <w:rsid w:val="0096186C"/>
    <w:rsid w:val="00967323"/>
    <w:rsid w:val="00982184"/>
    <w:rsid w:val="00982525"/>
    <w:rsid w:val="009957CE"/>
    <w:rsid w:val="009A17F0"/>
    <w:rsid w:val="009A5E34"/>
    <w:rsid w:val="009B16D9"/>
    <w:rsid w:val="009B4C46"/>
    <w:rsid w:val="009D345D"/>
    <w:rsid w:val="009D36A6"/>
    <w:rsid w:val="009F617E"/>
    <w:rsid w:val="00A2182E"/>
    <w:rsid w:val="00A22001"/>
    <w:rsid w:val="00A23CC9"/>
    <w:rsid w:val="00A35122"/>
    <w:rsid w:val="00A40752"/>
    <w:rsid w:val="00A45EC0"/>
    <w:rsid w:val="00A54EEB"/>
    <w:rsid w:val="00A87511"/>
    <w:rsid w:val="00A87B05"/>
    <w:rsid w:val="00AB66B4"/>
    <w:rsid w:val="00AC1135"/>
    <w:rsid w:val="00AC6476"/>
    <w:rsid w:val="00AD3794"/>
    <w:rsid w:val="00AD6649"/>
    <w:rsid w:val="00B021A0"/>
    <w:rsid w:val="00B1458C"/>
    <w:rsid w:val="00B43027"/>
    <w:rsid w:val="00B445D9"/>
    <w:rsid w:val="00B467DE"/>
    <w:rsid w:val="00B518B0"/>
    <w:rsid w:val="00B53F8F"/>
    <w:rsid w:val="00B55802"/>
    <w:rsid w:val="00B56F2B"/>
    <w:rsid w:val="00B60942"/>
    <w:rsid w:val="00B60D7A"/>
    <w:rsid w:val="00B616B8"/>
    <w:rsid w:val="00B63F94"/>
    <w:rsid w:val="00B73A8A"/>
    <w:rsid w:val="00B92B2B"/>
    <w:rsid w:val="00B9477A"/>
    <w:rsid w:val="00BA4B48"/>
    <w:rsid w:val="00BA58CA"/>
    <w:rsid w:val="00BC0147"/>
    <w:rsid w:val="00BE17CB"/>
    <w:rsid w:val="00BE258A"/>
    <w:rsid w:val="00BE4EE9"/>
    <w:rsid w:val="00BF0E19"/>
    <w:rsid w:val="00C046DF"/>
    <w:rsid w:val="00C11A69"/>
    <w:rsid w:val="00C12E20"/>
    <w:rsid w:val="00C2583E"/>
    <w:rsid w:val="00C43434"/>
    <w:rsid w:val="00C43AC4"/>
    <w:rsid w:val="00C524D2"/>
    <w:rsid w:val="00C5466E"/>
    <w:rsid w:val="00C55296"/>
    <w:rsid w:val="00C56006"/>
    <w:rsid w:val="00C642DE"/>
    <w:rsid w:val="00C65A57"/>
    <w:rsid w:val="00C84704"/>
    <w:rsid w:val="00C972AF"/>
    <w:rsid w:val="00CA0827"/>
    <w:rsid w:val="00CA0A86"/>
    <w:rsid w:val="00CA2638"/>
    <w:rsid w:val="00CA2FC5"/>
    <w:rsid w:val="00CA6948"/>
    <w:rsid w:val="00CD1703"/>
    <w:rsid w:val="00CF3180"/>
    <w:rsid w:val="00CF5E2D"/>
    <w:rsid w:val="00D10651"/>
    <w:rsid w:val="00D13EA2"/>
    <w:rsid w:val="00D2495C"/>
    <w:rsid w:val="00D33599"/>
    <w:rsid w:val="00D5339B"/>
    <w:rsid w:val="00D6485A"/>
    <w:rsid w:val="00D979FA"/>
    <w:rsid w:val="00DA39E2"/>
    <w:rsid w:val="00DA7419"/>
    <w:rsid w:val="00DC2598"/>
    <w:rsid w:val="00DC4033"/>
    <w:rsid w:val="00DD1E73"/>
    <w:rsid w:val="00DD685B"/>
    <w:rsid w:val="00DD7557"/>
    <w:rsid w:val="00DE3B54"/>
    <w:rsid w:val="00E033D3"/>
    <w:rsid w:val="00E1255B"/>
    <w:rsid w:val="00E15041"/>
    <w:rsid w:val="00E34F10"/>
    <w:rsid w:val="00E47747"/>
    <w:rsid w:val="00E74F73"/>
    <w:rsid w:val="00EA41CA"/>
    <w:rsid w:val="00EC59A6"/>
    <w:rsid w:val="00ED0E5A"/>
    <w:rsid w:val="00EE2A7F"/>
    <w:rsid w:val="00EE3DA0"/>
    <w:rsid w:val="00EE59D8"/>
    <w:rsid w:val="00F02001"/>
    <w:rsid w:val="00F039FF"/>
    <w:rsid w:val="00F04474"/>
    <w:rsid w:val="00F23653"/>
    <w:rsid w:val="00F258B2"/>
    <w:rsid w:val="00F27F42"/>
    <w:rsid w:val="00F3225C"/>
    <w:rsid w:val="00F34BB2"/>
    <w:rsid w:val="00F41597"/>
    <w:rsid w:val="00F62BA0"/>
    <w:rsid w:val="00F71398"/>
    <w:rsid w:val="00F853CB"/>
    <w:rsid w:val="00F91AA9"/>
    <w:rsid w:val="00F96398"/>
    <w:rsid w:val="00FA1BB5"/>
    <w:rsid w:val="00FA5B80"/>
    <w:rsid w:val="00FC320D"/>
    <w:rsid w:val="00FE7464"/>
    <w:rsid w:val="00FF04D4"/>
    <w:rsid w:val="00FF313F"/>
    <w:rsid w:val="01610122"/>
    <w:rsid w:val="0196601E"/>
    <w:rsid w:val="02A824AD"/>
    <w:rsid w:val="02CB0537"/>
    <w:rsid w:val="02EA7AD6"/>
    <w:rsid w:val="02F77AEA"/>
    <w:rsid w:val="03103BAE"/>
    <w:rsid w:val="034321D6"/>
    <w:rsid w:val="03600692"/>
    <w:rsid w:val="036A7762"/>
    <w:rsid w:val="043E7F38"/>
    <w:rsid w:val="04730898"/>
    <w:rsid w:val="04797AA9"/>
    <w:rsid w:val="052667C0"/>
    <w:rsid w:val="05AF57AD"/>
    <w:rsid w:val="05C25634"/>
    <w:rsid w:val="063C4A4E"/>
    <w:rsid w:val="06473D8B"/>
    <w:rsid w:val="06AE7966"/>
    <w:rsid w:val="06DE529C"/>
    <w:rsid w:val="074F63E7"/>
    <w:rsid w:val="07FB7039"/>
    <w:rsid w:val="08137711"/>
    <w:rsid w:val="083C3A43"/>
    <w:rsid w:val="08980EE6"/>
    <w:rsid w:val="091A12E3"/>
    <w:rsid w:val="09680E93"/>
    <w:rsid w:val="0A002BCE"/>
    <w:rsid w:val="0AD657D1"/>
    <w:rsid w:val="0B182A56"/>
    <w:rsid w:val="0B2F3F69"/>
    <w:rsid w:val="0BCC4A44"/>
    <w:rsid w:val="0BDB0627"/>
    <w:rsid w:val="0C0A1AE2"/>
    <w:rsid w:val="0C4231AF"/>
    <w:rsid w:val="0C801DA5"/>
    <w:rsid w:val="0C9E7A71"/>
    <w:rsid w:val="0D444B80"/>
    <w:rsid w:val="0E2055ED"/>
    <w:rsid w:val="0E4449F4"/>
    <w:rsid w:val="0E8D49FC"/>
    <w:rsid w:val="10013A51"/>
    <w:rsid w:val="101051ED"/>
    <w:rsid w:val="108C6F6A"/>
    <w:rsid w:val="109B53FF"/>
    <w:rsid w:val="114F7F97"/>
    <w:rsid w:val="11942F96"/>
    <w:rsid w:val="119569CB"/>
    <w:rsid w:val="1279351E"/>
    <w:rsid w:val="12CC7AF2"/>
    <w:rsid w:val="12D31205"/>
    <w:rsid w:val="14224BA0"/>
    <w:rsid w:val="14567A2F"/>
    <w:rsid w:val="146D6CF9"/>
    <w:rsid w:val="15227E9D"/>
    <w:rsid w:val="159E2D49"/>
    <w:rsid w:val="15E038B4"/>
    <w:rsid w:val="16297009"/>
    <w:rsid w:val="162B57F8"/>
    <w:rsid w:val="1642631D"/>
    <w:rsid w:val="164E081E"/>
    <w:rsid w:val="167A7FCD"/>
    <w:rsid w:val="178564C1"/>
    <w:rsid w:val="17B62B1E"/>
    <w:rsid w:val="185201A1"/>
    <w:rsid w:val="189D5A8C"/>
    <w:rsid w:val="1A211102"/>
    <w:rsid w:val="1A756CC1"/>
    <w:rsid w:val="1AB5530F"/>
    <w:rsid w:val="1B2D1381"/>
    <w:rsid w:val="1B4548E5"/>
    <w:rsid w:val="1BA445E7"/>
    <w:rsid w:val="1C365FDC"/>
    <w:rsid w:val="1C427076"/>
    <w:rsid w:val="1C6D02DA"/>
    <w:rsid w:val="1CAE0268"/>
    <w:rsid w:val="1CC57360"/>
    <w:rsid w:val="1CD63A5F"/>
    <w:rsid w:val="1DB377EF"/>
    <w:rsid w:val="1DEA5F5A"/>
    <w:rsid w:val="1E2C211B"/>
    <w:rsid w:val="1EE03435"/>
    <w:rsid w:val="1F026649"/>
    <w:rsid w:val="1F741D23"/>
    <w:rsid w:val="1FB2006F"/>
    <w:rsid w:val="20E56AC7"/>
    <w:rsid w:val="20FA50E2"/>
    <w:rsid w:val="2177331E"/>
    <w:rsid w:val="22521696"/>
    <w:rsid w:val="22723AE6"/>
    <w:rsid w:val="22947F00"/>
    <w:rsid w:val="22E227A4"/>
    <w:rsid w:val="233B4536"/>
    <w:rsid w:val="23661CD3"/>
    <w:rsid w:val="23827D58"/>
    <w:rsid w:val="239D1C07"/>
    <w:rsid w:val="24523BCF"/>
    <w:rsid w:val="24730451"/>
    <w:rsid w:val="247F4012"/>
    <w:rsid w:val="24D33BBD"/>
    <w:rsid w:val="251A2FF7"/>
    <w:rsid w:val="25973F8F"/>
    <w:rsid w:val="26243349"/>
    <w:rsid w:val="26BA6B8B"/>
    <w:rsid w:val="27396983"/>
    <w:rsid w:val="27840543"/>
    <w:rsid w:val="27EB4EC1"/>
    <w:rsid w:val="28405893"/>
    <w:rsid w:val="293935AF"/>
    <w:rsid w:val="298E56A9"/>
    <w:rsid w:val="29A517BF"/>
    <w:rsid w:val="29F86FC6"/>
    <w:rsid w:val="2A133007"/>
    <w:rsid w:val="2A866380"/>
    <w:rsid w:val="2A972B0D"/>
    <w:rsid w:val="2AD43590"/>
    <w:rsid w:val="2B0D6AA1"/>
    <w:rsid w:val="2C0D23BB"/>
    <w:rsid w:val="2C1A1476"/>
    <w:rsid w:val="2C9C5DA6"/>
    <w:rsid w:val="2C9C632F"/>
    <w:rsid w:val="2D2F2CFF"/>
    <w:rsid w:val="2DA76D39"/>
    <w:rsid w:val="2E0B496C"/>
    <w:rsid w:val="2E1E25C8"/>
    <w:rsid w:val="2E291E44"/>
    <w:rsid w:val="2E3D3241"/>
    <w:rsid w:val="2E8B0409"/>
    <w:rsid w:val="2F27213A"/>
    <w:rsid w:val="2FC51EB9"/>
    <w:rsid w:val="31374878"/>
    <w:rsid w:val="31421372"/>
    <w:rsid w:val="317E0299"/>
    <w:rsid w:val="318B3481"/>
    <w:rsid w:val="319E0453"/>
    <w:rsid w:val="31DD5420"/>
    <w:rsid w:val="32564395"/>
    <w:rsid w:val="32715B68"/>
    <w:rsid w:val="32E71EAF"/>
    <w:rsid w:val="32ED1B36"/>
    <w:rsid w:val="33496FD1"/>
    <w:rsid w:val="33EA2EAA"/>
    <w:rsid w:val="33FC018F"/>
    <w:rsid w:val="34487E72"/>
    <w:rsid w:val="344D2683"/>
    <w:rsid w:val="34636AF6"/>
    <w:rsid w:val="34876187"/>
    <w:rsid w:val="34C226AB"/>
    <w:rsid w:val="35147E93"/>
    <w:rsid w:val="3605091F"/>
    <w:rsid w:val="365D6B2F"/>
    <w:rsid w:val="36B83D65"/>
    <w:rsid w:val="380975AD"/>
    <w:rsid w:val="38A327F3"/>
    <w:rsid w:val="397FC3EF"/>
    <w:rsid w:val="3997F14F"/>
    <w:rsid w:val="399C35C3"/>
    <w:rsid w:val="39CE564E"/>
    <w:rsid w:val="3A7E076D"/>
    <w:rsid w:val="3A9B4436"/>
    <w:rsid w:val="3B1B1B34"/>
    <w:rsid w:val="3B697D24"/>
    <w:rsid w:val="3C166635"/>
    <w:rsid w:val="3C3A521C"/>
    <w:rsid w:val="3C5B2EA4"/>
    <w:rsid w:val="3C7631DF"/>
    <w:rsid w:val="3C771FCD"/>
    <w:rsid w:val="3C9A3E44"/>
    <w:rsid w:val="3CBE7BFC"/>
    <w:rsid w:val="3D2F28A7"/>
    <w:rsid w:val="3D932FC1"/>
    <w:rsid w:val="3E29430C"/>
    <w:rsid w:val="3E2F1ADA"/>
    <w:rsid w:val="3E621F68"/>
    <w:rsid w:val="3E9C4CE2"/>
    <w:rsid w:val="3EF94F1B"/>
    <w:rsid w:val="3EFEB3FF"/>
    <w:rsid w:val="3FA96941"/>
    <w:rsid w:val="3FF4075F"/>
    <w:rsid w:val="40707CC2"/>
    <w:rsid w:val="40D9097C"/>
    <w:rsid w:val="41682B37"/>
    <w:rsid w:val="41D1217F"/>
    <w:rsid w:val="4268288E"/>
    <w:rsid w:val="42905ECD"/>
    <w:rsid w:val="42A60AA8"/>
    <w:rsid w:val="42C61868"/>
    <w:rsid w:val="42DD2A5B"/>
    <w:rsid w:val="43427A77"/>
    <w:rsid w:val="441D5B50"/>
    <w:rsid w:val="44290050"/>
    <w:rsid w:val="443F5C8C"/>
    <w:rsid w:val="44D44ABB"/>
    <w:rsid w:val="44EB4D9D"/>
    <w:rsid w:val="44FA19ED"/>
    <w:rsid w:val="452A0166"/>
    <w:rsid w:val="45392515"/>
    <w:rsid w:val="465D15B2"/>
    <w:rsid w:val="479B3366"/>
    <w:rsid w:val="47B15BEA"/>
    <w:rsid w:val="487675DC"/>
    <w:rsid w:val="48770C18"/>
    <w:rsid w:val="489634D1"/>
    <w:rsid w:val="48F350D1"/>
    <w:rsid w:val="490A295B"/>
    <w:rsid w:val="49731D6E"/>
    <w:rsid w:val="497D499A"/>
    <w:rsid w:val="49D93D12"/>
    <w:rsid w:val="4A584FD3"/>
    <w:rsid w:val="4A803DBF"/>
    <w:rsid w:val="4AAC0685"/>
    <w:rsid w:val="4AF02A73"/>
    <w:rsid w:val="4AFA44F5"/>
    <w:rsid w:val="4B525EB5"/>
    <w:rsid w:val="4B7E6171"/>
    <w:rsid w:val="4BA10EB8"/>
    <w:rsid w:val="4BA91A77"/>
    <w:rsid w:val="4C1769FE"/>
    <w:rsid w:val="4C404189"/>
    <w:rsid w:val="4C6A56AA"/>
    <w:rsid w:val="4C831E77"/>
    <w:rsid w:val="4D477799"/>
    <w:rsid w:val="4D7C5695"/>
    <w:rsid w:val="4DB05BAB"/>
    <w:rsid w:val="4DD51840"/>
    <w:rsid w:val="4E0062C6"/>
    <w:rsid w:val="4E685C19"/>
    <w:rsid w:val="4E745331"/>
    <w:rsid w:val="4F5B752C"/>
    <w:rsid w:val="4F8C3B89"/>
    <w:rsid w:val="502355EB"/>
    <w:rsid w:val="502747D8"/>
    <w:rsid w:val="51826F0F"/>
    <w:rsid w:val="51D52D0D"/>
    <w:rsid w:val="528A4BF2"/>
    <w:rsid w:val="53114638"/>
    <w:rsid w:val="532B4E81"/>
    <w:rsid w:val="534F5655"/>
    <w:rsid w:val="535B7AFB"/>
    <w:rsid w:val="53EC109A"/>
    <w:rsid w:val="551A1558"/>
    <w:rsid w:val="55345F5A"/>
    <w:rsid w:val="55697662"/>
    <w:rsid w:val="557F2C01"/>
    <w:rsid w:val="55986DE4"/>
    <w:rsid w:val="563F0797"/>
    <w:rsid w:val="565847C5"/>
    <w:rsid w:val="567BB7BA"/>
    <w:rsid w:val="56A1616C"/>
    <w:rsid w:val="56FC15F5"/>
    <w:rsid w:val="57747CB6"/>
    <w:rsid w:val="577E200A"/>
    <w:rsid w:val="57853398"/>
    <w:rsid w:val="57C739B1"/>
    <w:rsid w:val="57C9597B"/>
    <w:rsid w:val="57DFAA9E"/>
    <w:rsid w:val="58535244"/>
    <w:rsid w:val="585E45B4"/>
    <w:rsid w:val="587E03A0"/>
    <w:rsid w:val="58DE7204"/>
    <w:rsid w:val="596F44B8"/>
    <w:rsid w:val="59775EEF"/>
    <w:rsid w:val="59C61A38"/>
    <w:rsid w:val="5AFD593B"/>
    <w:rsid w:val="5BB96388"/>
    <w:rsid w:val="5BC22E0D"/>
    <w:rsid w:val="5BC85F49"/>
    <w:rsid w:val="5C1C66F0"/>
    <w:rsid w:val="5C361105"/>
    <w:rsid w:val="5C410A8A"/>
    <w:rsid w:val="5C637A6E"/>
    <w:rsid w:val="5D006F05"/>
    <w:rsid w:val="5D034B5B"/>
    <w:rsid w:val="5D58021E"/>
    <w:rsid w:val="5D5C2BD8"/>
    <w:rsid w:val="5D7D59D0"/>
    <w:rsid w:val="5D8D2FA6"/>
    <w:rsid w:val="5EAA7B88"/>
    <w:rsid w:val="5ED171A4"/>
    <w:rsid w:val="5EFE5910"/>
    <w:rsid w:val="5F030FA2"/>
    <w:rsid w:val="600D4872"/>
    <w:rsid w:val="60757548"/>
    <w:rsid w:val="611429B3"/>
    <w:rsid w:val="612A2B07"/>
    <w:rsid w:val="61532759"/>
    <w:rsid w:val="6168019F"/>
    <w:rsid w:val="617C67FA"/>
    <w:rsid w:val="61B83E3D"/>
    <w:rsid w:val="61E954F4"/>
    <w:rsid w:val="63711F5B"/>
    <w:rsid w:val="641B57B0"/>
    <w:rsid w:val="64D4595F"/>
    <w:rsid w:val="64DF7953"/>
    <w:rsid w:val="64F47DAF"/>
    <w:rsid w:val="65006C01"/>
    <w:rsid w:val="6562740E"/>
    <w:rsid w:val="65F31E15"/>
    <w:rsid w:val="6688793D"/>
    <w:rsid w:val="672030DD"/>
    <w:rsid w:val="67DD4B2A"/>
    <w:rsid w:val="67F32768"/>
    <w:rsid w:val="682312A9"/>
    <w:rsid w:val="68F0185B"/>
    <w:rsid w:val="692769A5"/>
    <w:rsid w:val="698A6F34"/>
    <w:rsid w:val="69CB4255"/>
    <w:rsid w:val="69E97A00"/>
    <w:rsid w:val="6A0445F0"/>
    <w:rsid w:val="6A267741"/>
    <w:rsid w:val="6A753189"/>
    <w:rsid w:val="6B2762EB"/>
    <w:rsid w:val="6B885CF4"/>
    <w:rsid w:val="6BC8789F"/>
    <w:rsid w:val="6C000956"/>
    <w:rsid w:val="6D042B59"/>
    <w:rsid w:val="6DA35A63"/>
    <w:rsid w:val="6DA700B4"/>
    <w:rsid w:val="6E711527"/>
    <w:rsid w:val="6F1A6664"/>
    <w:rsid w:val="6FD17745"/>
    <w:rsid w:val="7010581B"/>
    <w:rsid w:val="71072C18"/>
    <w:rsid w:val="714300F4"/>
    <w:rsid w:val="716A5681"/>
    <w:rsid w:val="72A13F35"/>
    <w:rsid w:val="732B0E40"/>
    <w:rsid w:val="733F2189"/>
    <w:rsid w:val="742F2BB2"/>
    <w:rsid w:val="74526697"/>
    <w:rsid w:val="74E7523A"/>
    <w:rsid w:val="75596138"/>
    <w:rsid w:val="75A27BB4"/>
    <w:rsid w:val="7661360A"/>
    <w:rsid w:val="76AC673B"/>
    <w:rsid w:val="77316C41"/>
    <w:rsid w:val="77667621"/>
    <w:rsid w:val="776C195E"/>
    <w:rsid w:val="779B5096"/>
    <w:rsid w:val="78100A78"/>
    <w:rsid w:val="785E5813"/>
    <w:rsid w:val="7864765D"/>
    <w:rsid w:val="78885F97"/>
    <w:rsid w:val="797803E1"/>
    <w:rsid w:val="7A2320EF"/>
    <w:rsid w:val="7A4E2C19"/>
    <w:rsid w:val="7B2D132A"/>
    <w:rsid w:val="7B69756D"/>
    <w:rsid w:val="7BC02341"/>
    <w:rsid w:val="7BE9323E"/>
    <w:rsid w:val="7C7B2E38"/>
    <w:rsid w:val="7C9E08D4"/>
    <w:rsid w:val="7D0A41BC"/>
    <w:rsid w:val="7D6B548D"/>
    <w:rsid w:val="7DCE5DAC"/>
    <w:rsid w:val="7E4F632A"/>
    <w:rsid w:val="7E9B0A1C"/>
    <w:rsid w:val="7EB02B41"/>
    <w:rsid w:val="7EC565EC"/>
    <w:rsid w:val="7F300E90"/>
    <w:rsid w:val="7F4D213E"/>
    <w:rsid w:val="7FBB79EF"/>
    <w:rsid w:val="7FCF277B"/>
    <w:rsid w:val="7FE40CF4"/>
    <w:rsid w:val="7FF450D4"/>
    <w:rsid w:val="F7FD4782"/>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宋体" w:cstheme="minorBidi"/>
      <w:kern w:val="2"/>
      <w:sz w:val="24"/>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paragraph" w:styleId="5">
    <w:name w:val="heading 4"/>
    <w:basedOn w:val="1"/>
    <w:next w:val="1"/>
    <w:link w:val="22"/>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2">
    <w:name w:val="Default Paragraph Font"/>
    <w:unhideWhenUsed/>
    <w:qFormat/>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6">
    <w:name w:val="footer"/>
    <w:basedOn w:val="1"/>
    <w:link w:val="20"/>
    <w:qFormat/>
    <w:uiPriority w:val="0"/>
    <w:pPr>
      <w:tabs>
        <w:tab w:val="center" w:pos="4153"/>
        <w:tab w:val="right" w:pos="8306"/>
      </w:tabs>
      <w:snapToGrid w:val="0"/>
      <w:jc w:val="left"/>
    </w:pPr>
    <w:rPr>
      <w:sz w:val="18"/>
      <w:szCs w:val="18"/>
    </w:rPr>
  </w:style>
  <w:style w:type="paragraph" w:styleId="7">
    <w:name w:val="header"/>
    <w:basedOn w:val="1"/>
    <w:link w:val="19"/>
    <w:qFormat/>
    <w:uiPriority w:val="0"/>
    <w:pPr>
      <w:tabs>
        <w:tab w:val="center" w:pos="4153"/>
        <w:tab w:val="right" w:pos="8306"/>
      </w:tabs>
      <w:snapToGrid w:val="0"/>
      <w:jc w:val="center"/>
    </w:pPr>
    <w:rPr>
      <w:sz w:val="18"/>
      <w:szCs w:val="18"/>
    </w:rPr>
  </w:style>
  <w:style w:type="paragraph" w:styleId="8">
    <w:name w:val="footnote text"/>
    <w:basedOn w:val="1"/>
    <w:uiPriority w:val="0"/>
    <w:pPr>
      <w:snapToGrid w:val="0"/>
      <w:jc w:val="left"/>
    </w:pPr>
    <w:rPr>
      <w:sz w:val="18"/>
    </w:rPr>
  </w:style>
  <w:style w:type="paragraph" w:styleId="9">
    <w:name w:val="Normal (Web)"/>
    <w:basedOn w:val="1"/>
    <w:qFormat/>
    <w:uiPriority w:val="0"/>
    <w:pPr>
      <w:spacing w:beforeAutospacing="1" w:afterAutospacing="1"/>
      <w:jc w:val="left"/>
    </w:pPr>
    <w:rPr>
      <w:rFonts w:cs="Times New Roman"/>
      <w:kern w:val="0"/>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tcBorders>
        <w:top w:val="single" w:color="auto" w:sz="4" w:space="0"/>
        <w:left w:val="single" w:color="auto" w:sz="4" w:space="0"/>
        <w:bottom w:val="single" w:color="auto" w:sz="4" w:space="0"/>
        <w:right w:val="single" w:color="auto" w:sz="4" w:space="0"/>
      </w:tcBorders>
    </w:tcPr>
  </w:style>
  <w:style w:type="character" w:styleId="13">
    <w:name w:val="Strong"/>
    <w:basedOn w:val="12"/>
    <w:qFormat/>
    <w:uiPriority w:val="0"/>
    <w:rPr>
      <w:b/>
    </w:rPr>
  </w:style>
  <w:style w:type="character" w:styleId="14">
    <w:name w:val="Emphasis"/>
    <w:basedOn w:val="12"/>
    <w:qFormat/>
    <w:uiPriority w:val="0"/>
    <w:rPr>
      <w:i/>
    </w:rPr>
  </w:style>
  <w:style w:type="character" w:styleId="15">
    <w:name w:val="Hyperlink"/>
    <w:basedOn w:val="12"/>
    <w:qFormat/>
    <w:uiPriority w:val="0"/>
    <w:rPr>
      <w:color w:val="0000FF"/>
      <w:u w:val="single"/>
    </w:rPr>
  </w:style>
  <w:style w:type="character" w:styleId="16">
    <w:name w:val="HTML Code"/>
    <w:basedOn w:val="12"/>
    <w:uiPriority w:val="0"/>
    <w:rPr>
      <w:rFonts w:ascii="Courier New" w:hAnsi="Courier New"/>
      <w:sz w:val="20"/>
    </w:rPr>
  </w:style>
  <w:style w:type="character" w:styleId="17">
    <w:name w:val="footnote reference"/>
    <w:basedOn w:val="12"/>
    <w:uiPriority w:val="0"/>
    <w:rPr>
      <w:vertAlign w:val="superscript"/>
    </w:rPr>
  </w:style>
  <w:style w:type="paragraph" w:styleId="18">
    <w:name w:val="List Paragraph"/>
    <w:basedOn w:val="1"/>
    <w:unhideWhenUsed/>
    <w:qFormat/>
    <w:uiPriority w:val="99"/>
    <w:pPr>
      <w:ind w:firstLine="420" w:firstLineChars="200"/>
    </w:pPr>
  </w:style>
  <w:style w:type="character" w:customStyle="1" w:styleId="19">
    <w:name w:val="页眉 字符"/>
    <w:basedOn w:val="12"/>
    <w:link w:val="7"/>
    <w:qFormat/>
    <w:uiPriority w:val="0"/>
    <w:rPr>
      <w:rFonts w:cstheme="minorBidi"/>
      <w:kern w:val="2"/>
      <w:sz w:val="18"/>
      <w:szCs w:val="18"/>
    </w:rPr>
  </w:style>
  <w:style w:type="character" w:customStyle="1" w:styleId="20">
    <w:name w:val="页脚 字符"/>
    <w:basedOn w:val="12"/>
    <w:link w:val="6"/>
    <w:qFormat/>
    <w:uiPriority w:val="0"/>
    <w:rPr>
      <w:rFonts w:cstheme="minorBidi"/>
      <w:kern w:val="2"/>
      <w:sz w:val="18"/>
      <w:szCs w:val="18"/>
    </w:rPr>
  </w:style>
  <w:style w:type="character" w:customStyle="1" w:styleId="21">
    <w:name w:val="未处理的提及1"/>
    <w:basedOn w:val="12"/>
    <w:semiHidden/>
    <w:unhideWhenUsed/>
    <w:qFormat/>
    <w:uiPriority w:val="99"/>
    <w:rPr>
      <w:color w:val="605E5C"/>
      <w:shd w:val="clear" w:color="auto" w:fill="E1DFDD"/>
    </w:rPr>
  </w:style>
  <w:style w:type="character" w:customStyle="1" w:styleId="22">
    <w:name w:val="标题 4 字符"/>
    <w:basedOn w:val="12"/>
    <w:link w:val="5"/>
    <w:qFormat/>
    <w:uiPriority w:val="0"/>
    <w:rPr>
      <w:rFonts w:asciiTheme="majorHAnsi" w:hAnsiTheme="majorHAnsi" w:eastAsiaTheme="majorEastAsia" w:cstheme="majorBidi"/>
      <w:b/>
      <w:bCs/>
      <w:kern w:val="2"/>
      <w:sz w:val="28"/>
      <w:szCs w:val="28"/>
    </w:rPr>
  </w:style>
  <w:style w:type="paragraph" w:customStyle="1" w:styleId="23">
    <w:name w:val="公式"/>
    <w:basedOn w:val="1"/>
    <w:qFormat/>
    <w:uiPriority w:val="0"/>
    <w:pPr>
      <w:tabs>
        <w:tab w:val="center" w:pos="4876"/>
        <w:tab w:val="right" w:pos="9751"/>
      </w:tabs>
      <w:ind w:firstLine="420" w:firstLineChars="200"/>
    </w:pPr>
    <w:rPr>
      <w:rFonts w:ascii="Cambria Math" w:hAnsi="Cambria Math" w:cs="Times New Roman"/>
      <w:i/>
      <w:sz w:val="21"/>
      <w:szCs w:val="21"/>
    </w:rPr>
  </w:style>
  <w:style w:type="paragraph" w:customStyle="1" w:styleId="24">
    <w:name w:val="英文摘要正文"/>
    <w:basedOn w:val="1"/>
    <w:qFormat/>
    <w:uiPriority w:val="0"/>
    <w:pPr>
      <w:widowControl/>
      <w:snapToGrid w:val="0"/>
      <w:spacing w:line="300" w:lineRule="auto"/>
      <w:ind w:firstLine="480" w:firstLineChars="200"/>
      <w:jc w:val="left"/>
    </w:pPr>
    <w:rPr>
      <w:kern w:val="0"/>
      <w:szCs w:val="20"/>
      <w:lang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15</Pages>
  <Words>5108</Words>
  <Characters>5781</Characters>
  <Lines>529</Lines>
  <Paragraphs>506</Paragraphs>
  <TotalTime>89</TotalTime>
  <ScaleCrop>false</ScaleCrop>
  <LinksUpToDate>false</LinksUpToDate>
  <CharactersWithSpaces>5848</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2024-05-26T12:26:00Z</dcterms:created>
  <dc:creator>云起时</dc:creator>
  <cp:lastModifiedBy>Tina</cp:lastModifiedBy>
  <dcterms:modified xsi:type="dcterms:W3CDTF">2025-05-17T09:04:15Z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ICV">
    <vt:lpwstr>C36E0160B777466F83CC12828B56D270_13</vt:lpwstr>
  </property>
  <property fmtid="{D5CDD505-2E9C-101B-9397-08002B2CF9AE}" pid="4" name="KSOTemplateDocerSaveRecord">
    <vt:lpwstr>eyJoZGlkIjoiOWNlOGIwNzA0MzNhYzcyNzAxMGViYzk1NzlmYWYxMDciLCJ1c2VySWQiOiIxMDQzMzY0MDE0In0=</vt:lpwstr>
  </property>
</Properties>
</file>