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3FCA" w14:textId="77777777" w:rsidR="00CE25A2" w:rsidRDefault="00000000">
      <w:pPr>
        <w:pBdr>
          <w:bottom w:val="single" w:sz="6" w:space="8" w:color="D9D9D9"/>
        </w:pBdr>
        <w:spacing w:after="160"/>
      </w:pPr>
      <w:r>
        <w:rPr>
          <w:rFonts w:ascii="Calibri" w:eastAsia="Calibri" w:hAnsi="Calibri" w:cs="Calibri"/>
          <w:b/>
          <w:bCs/>
          <w:color w:val="1B2A4A"/>
          <w:sz w:val="40"/>
          <w:szCs w:val="40"/>
        </w:rPr>
        <w:t>Mazbien: AI Training Needs Assessment and Solution Designer</w:t>
      </w:r>
    </w:p>
    <w:p w14:paraId="385CDFD5" w14:textId="77777777" w:rsidR="00CE25A2" w:rsidRDefault="00000000">
      <w:pPr>
        <w:spacing w:before="220" w:after="60"/>
      </w:pPr>
      <w:r>
        <w:rPr>
          <w:rFonts w:ascii="Calibri" w:eastAsia="Calibri" w:hAnsi="Calibri" w:cs="Calibri"/>
          <w:b/>
          <w:bCs/>
          <w:color w:val="C1571C"/>
          <w:spacing w:val="10"/>
          <w:sz w:val="18"/>
          <w:szCs w:val="18"/>
        </w:rPr>
        <w:t>THE COMPANY</w:t>
      </w:r>
    </w:p>
    <w:p w14:paraId="5E03B1BD" w14:textId="77777777" w:rsidR="00CE25A2" w:rsidRDefault="00000000">
      <w:pPr>
        <w:spacing w:after="140"/>
      </w:pPr>
      <w:r>
        <w:rPr>
          <w:rFonts w:ascii="Calibri" w:eastAsia="Calibri" w:hAnsi="Calibri" w:cs="Calibri"/>
          <w:color w:val="222222"/>
          <w:sz w:val="21"/>
          <w:szCs w:val="21"/>
        </w:rPr>
        <w:t>Mazbien IntelliHub Inc. is a Calgary based technology company providing business intelligence, AI consulting, workforce AI training and upskilling, and AI and tech bootcamps, delivered onsite, virtually, and through its own learning facility.</w:t>
      </w:r>
    </w:p>
    <w:p w14:paraId="2E5A123D" w14:textId="0A14CB80" w:rsidR="00F761F6" w:rsidRPr="00F761F6" w:rsidRDefault="00000000" w:rsidP="00F761F6">
      <w:pPr>
        <w:spacing w:after="160"/>
        <w:rPr>
          <w:rFonts w:ascii="Calibri" w:eastAsia="Calibri" w:hAnsi="Calibri" w:cs="Calibri"/>
          <w:b/>
          <w:bCs/>
          <w:color w:val="44546A"/>
        </w:rPr>
      </w:pPr>
      <w:r>
        <w:rPr>
          <w:rFonts w:ascii="Calibri" w:eastAsia="Calibri" w:hAnsi="Calibri" w:cs="Calibri"/>
          <w:b/>
          <w:bCs/>
          <w:color w:val="44546A"/>
        </w:rPr>
        <w:t>Project contact:</w:t>
      </w:r>
      <w:r w:rsidR="00053C65">
        <w:rPr>
          <w:rFonts w:ascii="Calibri" w:eastAsia="Calibri" w:hAnsi="Calibri" w:cs="Calibri"/>
          <w:b/>
          <w:bCs/>
          <w:color w:val="44546A"/>
        </w:rPr>
        <w:t xml:space="preserve"> </w:t>
      </w:r>
      <w:r w:rsidR="00053C65" w:rsidRPr="00053C65">
        <w:rPr>
          <w:rFonts w:ascii="Calibri" w:eastAsia="Calibri" w:hAnsi="Calibri" w:cs="Calibri"/>
          <w:b/>
          <w:bCs/>
          <w:color w:val="44546A"/>
        </w:rPr>
        <w:t>Uzoma Ezenwa</w:t>
      </w:r>
      <w:r w:rsidR="00053C65">
        <w:rPr>
          <w:rFonts w:ascii="Calibri" w:eastAsia="Calibri" w:hAnsi="Calibri" w:cs="Calibri"/>
          <w:b/>
          <w:bCs/>
          <w:color w:val="44546A"/>
        </w:rPr>
        <w:t xml:space="preserve">, </w:t>
      </w:r>
      <w:r w:rsidR="00F761F6" w:rsidRPr="00F761F6">
        <w:rPr>
          <w:rFonts w:ascii="Calibri" w:eastAsia="Calibri" w:hAnsi="Calibri" w:cs="Calibri"/>
          <w:b/>
          <w:bCs/>
          <w:color w:val="44546A"/>
        </w:rPr>
        <w:t>uezenwa@mazbienintellihub.ca</w:t>
      </w:r>
    </w:p>
    <w:p w14:paraId="30E201A5" w14:textId="77777777" w:rsidR="00CE25A2" w:rsidRDefault="00000000">
      <w:pPr>
        <w:spacing w:before="220" w:after="60"/>
      </w:pPr>
      <w:r>
        <w:rPr>
          <w:rFonts w:ascii="Calibri" w:eastAsia="Calibri" w:hAnsi="Calibri" w:cs="Calibri"/>
          <w:b/>
          <w:bCs/>
          <w:color w:val="C1571C"/>
          <w:spacing w:val="10"/>
          <w:sz w:val="18"/>
          <w:szCs w:val="18"/>
        </w:rPr>
        <w:t>THE PROBLEM STORY</w:t>
      </w:r>
    </w:p>
    <w:p w14:paraId="6965E7DD" w14:textId="77777777" w:rsidR="00CE25A2" w:rsidRDefault="00000000">
      <w:pPr>
        <w:spacing w:after="140"/>
      </w:pPr>
      <w:r>
        <w:rPr>
          <w:rFonts w:ascii="Calibri" w:eastAsia="Calibri" w:hAnsi="Calibri" w:cs="Calibri"/>
          <w:color w:val="222222"/>
          <w:sz w:val="21"/>
          <w:szCs w:val="21"/>
        </w:rPr>
        <w:t>Organizations typically request AI training in broad terms, such as help our employees use AI, even though the needs of leadership, finance, customer service, marketing, human resources, and operations can differ significantly. Mazbien currently translates discovery conversations, employee roles, AI readiness, and business objectives into role specific recommendations by hand. A standard assessment takes roughly two to four hours of consultant analysis plus one to three follow up exchanges, and proposal turnaround can stretch one to three business days. Details get missed, similar roles get assessed inconsistently, and useful add ons are easy to leave off a proposal.</w:t>
      </w:r>
    </w:p>
    <w:tbl>
      <w:tblPr>
        <w:tblW w:w="5000" w:type="pct"/>
        <w:tblBorders>
          <w:top w:val="none" w:sz="0" w:space="0" w:color="FFFFFF"/>
          <w:left w:val="single" w:sz="24" w:space="0" w:color="C1571C"/>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CE25A2" w14:paraId="55A5E760" w14:textId="77777777">
        <w:tc>
          <w:tcPr>
            <w:tcW w:w="0" w:type="auto"/>
            <w:shd w:val="clear" w:color="auto" w:fill="EEF2F8"/>
            <w:tcMar>
              <w:top w:w="160" w:type="dxa"/>
              <w:left w:w="260" w:type="dxa"/>
              <w:bottom w:w="160" w:type="dxa"/>
              <w:right w:w="260" w:type="dxa"/>
            </w:tcMar>
          </w:tcPr>
          <w:p w14:paraId="057CE9B9" w14:textId="77777777" w:rsidR="00CE25A2" w:rsidRDefault="00000000">
            <w:pPr>
              <w:spacing w:after="60"/>
            </w:pPr>
            <w:r>
              <w:rPr>
                <w:rFonts w:ascii="Calibri" w:eastAsia="Calibri" w:hAnsi="Calibri" w:cs="Calibri"/>
                <w:b/>
                <w:bCs/>
                <w:color w:val="1B2A4A"/>
                <w:spacing w:val="8"/>
                <w:sz w:val="18"/>
                <w:szCs w:val="18"/>
              </w:rPr>
              <w:t>THE HEART OF IT</w:t>
            </w:r>
          </w:p>
          <w:p w14:paraId="241F08EB" w14:textId="77777777" w:rsidR="00CE25A2" w:rsidRDefault="00000000">
            <w:r>
              <w:rPr>
                <w:rFonts w:ascii="Calibri" w:eastAsia="Calibri" w:hAnsi="Calibri" w:cs="Calibri"/>
                <w:color w:val="222222"/>
                <w:sz w:val="21"/>
                <w:szCs w:val="21"/>
              </w:rPr>
              <w:t>Mazbien wants to move from a completed discovery process to a clear, role based training recommendation more quickly, without losing the consultant's final review and judgment.</w:t>
            </w:r>
          </w:p>
        </w:tc>
      </w:tr>
    </w:tbl>
    <w:p w14:paraId="6322CA52" w14:textId="77777777" w:rsidR="00053C65" w:rsidRDefault="00053C65" w:rsidP="00053C65">
      <w:pPr>
        <w:spacing w:before="220" w:after="60"/>
      </w:pPr>
      <w:r>
        <w:rPr>
          <w:rFonts w:ascii="Calibri" w:eastAsia="Calibri" w:hAnsi="Calibri" w:cs="Calibri"/>
          <w:b/>
          <w:bCs/>
          <w:color w:val="C1571C"/>
          <w:spacing w:val="10"/>
          <w:sz w:val="18"/>
          <w:szCs w:val="18"/>
        </w:rPr>
        <w:t>WHAT YOU'LL BUILD</w:t>
      </w:r>
    </w:p>
    <w:p w14:paraId="48B88B9F" w14:textId="77777777" w:rsidR="00053C65" w:rsidRDefault="00053C65" w:rsidP="00053C65">
      <w:pPr>
        <w:spacing w:after="140"/>
      </w:pPr>
      <w:r>
        <w:rPr>
          <w:rFonts w:ascii="Calibri" w:eastAsia="Calibri" w:hAnsi="Calibri" w:cs="Calibri"/>
          <w:color w:val="222222"/>
          <w:sz w:val="21"/>
          <w:szCs w:val="21"/>
        </w:rPr>
        <w:t>Build a consulting platform that turns a company's business challenges and workforce needs into a customized AI training solution. A client organization describes its business, departments, employee roles, existing workflows, current tools, repetitive tasks, pain points, AI experience, and desired outcomes. AI then generates an adaptive follow-up questionnaire asking the most relevant further questions.</w:t>
      </w:r>
    </w:p>
    <w:p w14:paraId="6AD138D0" w14:textId="2A8954BF" w:rsidR="00053C65" w:rsidRDefault="00053C65" w:rsidP="00053C65">
      <w:pPr>
        <w:spacing w:after="140"/>
      </w:pPr>
      <w:r>
        <w:rPr>
          <w:rFonts w:ascii="Calibri" w:eastAsia="Calibri" w:hAnsi="Calibri" w:cs="Calibri"/>
          <w:color w:val="222222"/>
          <w:sz w:val="21"/>
          <w:szCs w:val="21"/>
        </w:rPr>
        <w:t>Once enough information is collected, the platform produces two outputs: a client-facing AI training recommendation (capability gaps, priority use cases, suggested training pathways, an appropriate solution) and an internal delivery plan for Mazbien (recommended modules, resources, sequencing, delivery requirements, possible add-ons, implementation considerations). Recommendations should map to Mazbien's real pricing structure: three standardized tiers (Bronze, Silver, Gold) plus a configurable Premium enterprise option; and a Mazbien consultant reviews, modifies, approves, and saves the recommendation rather than AI deciding automatically.</w:t>
      </w:r>
    </w:p>
    <w:p w14:paraId="777D6C89" w14:textId="77777777" w:rsidR="00053C65" w:rsidRDefault="00053C65" w:rsidP="00053C65">
      <w:pPr>
        <w:spacing w:after="140"/>
        <w:rPr>
          <w:rFonts w:ascii="Calibri" w:eastAsia="Calibri" w:hAnsi="Calibri" w:cs="Calibri"/>
          <w:color w:val="222222"/>
          <w:sz w:val="21"/>
          <w:szCs w:val="21"/>
        </w:rPr>
      </w:pPr>
      <w:r>
        <w:rPr>
          <w:rFonts w:ascii="Calibri" w:eastAsia="Calibri" w:hAnsi="Calibri" w:cs="Calibri"/>
          <w:color w:val="222222"/>
          <w:sz w:val="21"/>
          <w:szCs w:val="21"/>
        </w:rPr>
        <w:t>Mazbien's own targets for a good outcome: cut consultant analysis time by at least 40%, get same-business-day draft recommendations for standard cases, produce consistent pricing for comparable scope, and surface relevant add-ons systematically instead of ad hoc.</w:t>
      </w:r>
    </w:p>
    <w:p w14:paraId="166386B4" w14:textId="77777777" w:rsidR="00053C65" w:rsidRDefault="00053C65" w:rsidP="00053C65">
      <w:pPr>
        <w:spacing w:after="140"/>
      </w:pPr>
    </w:p>
    <w:tbl>
      <w:tblPr>
        <w:tblW w:w="5000" w:type="pct"/>
        <w:tblBorders>
          <w:left w:val="single" w:sz="24" w:space="0" w:color="C1571C"/>
        </w:tblBorders>
        <w:tblCellMar>
          <w:left w:w="10" w:type="dxa"/>
          <w:right w:w="10" w:type="dxa"/>
        </w:tblCellMar>
        <w:tblLook w:val="04A0" w:firstRow="1" w:lastRow="0" w:firstColumn="1" w:lastColumn="0" w:noHBand="0" w:noVBand="1"/>
      </w:tblPr>
      <w:tblGrid>
        <w:gridCol w:w="9810"/>
      </w:tblGrid>
      <w:tr w:rsidR="00053C65" w14:paraId="74FE1954" w14:textId="77777777">
        <w:tc>
          <w:tcPr>
            <w:tcW w:w="0" w:type="auto"/>
            <w:tcBorders>
              <w:top w:val="nil"/>
              <w:left w:val="single" w:sz="24" w:space="0" w:color="C1571C"/>
              <w:bottom w:val="nil"/>
              <w:right w:val="nil"/>
            </w:tcBorders>
            <w:shd w:val="clear" w:color="auto" w:fill="EEF2F8"/>
            <w:tcMar>
              <w:top w:w="160" w:type="dxa"/>
              <w:left w:w="260" w:type="dxa"/>
              <w:bottom w:w="160" w:type="dxa"/>
              <w:right w:w="260" w:type="dxa"/>
            </w:tcMar>
            <w:hideMark/>
          </w:tcPr>
          <w:p w14:paraId="21B9B00B" w14:textId="77777777" w:rsidR="00053C65" w:rsidRDefault="00053C65">
            <w:pPr>
              <w:spacing w:after="60"/>
            </w:pPr>
            <w:r>
              <w:rPr>
                <w:rFonts w:ascii="Calibri" w:eastAsia="Calibri" w:hAnsi="Calibri" w:cs="Calibri"/>
                <w:b/>
                <w:bCs/>
                <w:color w:val="1B2A4A"/>
                <w:spacing w:val="8"/>
                <w:sz w:val="18"/>
                <w:szCs w:val="18"/>
              </w:rPr>
              <w:t>DATA &amp; SCOPE</w:t>
            </w:r>
          </w:p>
          <w:p w14:paraId="6BA35B9A" w14:textId="77777777" w:rsidR="00053C65" w:rsidRDefault="00053C65">
            <w:r>
              <w:rPr>
                <w:rFonts w:ascii="Calibri" w:eastAsia="Calibri" w:hAnsi="Calibri" w:cs="Calibri"/>
                <w:color w:val="222222"/>
                <w:sz w:val="21"/>
                <w:szCs w:val="21"/>
              </w:rPr>
              <w:t>Synthetic client organizations of varied size, departments, roles, workflows, AI-readiness levels, and training needs, plus commercial data (package selected, add-ons offered vs. accepted, proposal value, time to recommendation) so the dashboard can show more than a single assessment at a time.</w:t>
            </w:r>
          </w:p>
        </w:tc>
      </w:tr>
    </w:tbl>
    <w:p w14:paraId="531EAB6B" w14:textId="77777777" w:rsidR="00053C65" w:rsidRDefault="00053C65" w:rsidP="00053C65">
      <w:pPr>
        <w:spacing w:before="220" w:after="60"/>
      </w:pPr>
      <w:r>
        <w:rPr>
          <w:rFonts w:ascii="Calibri" w:eastAsia="Calibri" w:hAnsi="Calibri" w:cs="Calibri"/>
          <w:b/>
          <w:bCs/>
          <w:color w:val="C1571C"/>
          <w:spacing w:val="10"/>
          <w:sz w:val="18"/>
          <w:szCs w:val="18"/>
        </w:rPr>
        <w:t>MAKE IT YOUR OWN</w:t>
      </w:r>
    </w:p>
    <w:p w14:paraId="5AA3041B" w14:textId="77777777" w:rsidR="00053C65" w:rsidRDefault="00053C65" w:rsidP="00053C65">
      <w:pPr>
        <w:spacing w:after="140"/>
      </w:pPr>
      <w:r>
        <w:rPr>
          <w:rFonts w:ascii="Calibri" w:eastAsia="Calibri" w:hAnsi="Calibri" w:cs="Calibri"/>
          <w:color w:val="222222"/>
          <w:sz w:val="21"/>
          <w:szCs w:val="21"/>
        </w:rPr>
        <w:t>This is an individual project, and others in the class may choose the same brief. Your Discovery submission must define a specific primary user and a specific MVP boundary — your own answer to who this is for and what "done" means for version one. That choice is what makes your build yours.</w:t>
      </w:r>
    </w:p>
    <w:sectPr w:rsidR="00053C65">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45F2F"/>
    <w:multiLevelType w:val="hybridMultilevel"/>
    <w:tmpl w:val="DEBA097A"/>
    <w:lvl w:ilvl="0" w:tplc="E584B7EA">
      <w:start w:val="1"/>
      <w:numFmt w:val="bullet"/>
      <w:lvlText w:val="●"/>
      <w:lvlJc w:val="left"/>
      <w:pPr>
        <w:ind w:left="720" w:hanging="360"/>
      </w:pPr>
    </w:lvl>
    <w:lvl w:ilvl="1" w:tplc="251C27F0">
      <w:start w:val="1"/>
      <w:numFmt w:val="bullet"/>
      <w:lvlText w:val="○"/>
      <w:lvlJc w:val="left"/>
      <w:pPr>
        <w:ind w:left="1440" w:hanging="360"/>
      </w:pPr>
    </w:lvl>
    <w:lvl w:ilvl="2" w:tplc="80FE01DC">
      <w:start w:val="1"/>
      <w:numFmt w:val="bullet"/>
      <w:lvlText w:val="■"/>
      <w:lvlJc w:val="left"/>
      <w:pPr>
        <w:ind w:left="2160" w:hanging="360"/>
      </w:pPr>
    </w:lvl>
    <w:lvl w:ilvl="3" w:tplc="91DC097E">
      <w:start w:val="1"/>
      <w:numFmt w:val="bullet"/>
      <w:lvlText w:val="●"/>
      <w:lvlJc w:val="left"/>
      <w:pPr>
        <w:ind w:left="2880" w:hanging="360"/>
      </w:pPr>
    </w:lvl>
    <w:lvl w:ilvl="4" w:tplc="758CD8E2">
      <w:start w:val="1"/>
      <w:numFmt w:val="bullet"/>
      <w:lvlText w:val="○"/>
      <w:lvlJc w:val="left"/>
      <w:pPr>
        <w:ind w:left="3600" w:hanging="360"/>
      </w:pPr>
    </w:lvl>
    <w:lvl w:ilvl="5" w:tplc="0C3E08A6">
      <w:start w:val="1"/>
      <w:numFmt w:val="bullet"/>
      <w:lvlText w:val="■"/>
      <w:lvlJc w:val="left"/>
      <w:pPr>
        <w:ind w:left="4320" w:hanging="360"/>
      </w:pPr>
    </w:lvl>
    <w:lvl w:ilvl="6" w:tplc="310E681E">
      <w:start w:val="1"/>
      <w:numFmt w:val="bullet"/>
      <w:lvlText w:val="●"/>
      <w:lvlJc w:val="left"/>
      <w:pPr>
        <w:ind w:left="5040" w:hanging="360"/>
      </w:pPr>
    </w:lvl>
    <w:lvl w:ilvl="7" w:tplc="E88E385C">
      <w:start w:val="1"/>
      <w:numFmt w:val="bullet"/>
      <w:lvlText w:val="●"/>
      <w:lvlJc w:val="left"/>
      <w:pPr>
        <w:ind w:left="5760" w:hanging="360"/>
      </w:pPr>
    </w:lvl>
    <w:lvl w:ilvl="8" w:tplc="AE42C35A">
      <w:start w:val="1"/>
      <w:numFmt w:val="bullet"/>
      <w:lvlText w:val="●"/>
      <w:lvlJc w:val="left"/>
      <w:pPr>
        <w:ind w:left="6480" w:hanging="360"/>
      </w:pPr>
    </w:lvl>
  </w:abstractNum>
  <w:num w:numId="1" w16cid:durableId="1665934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5A2"/>
    <w:rsid w:val="00053C65"/>
    <w:rsid w:val="00A4405A"/>
    <w:rsid w:val="00CE25A2"/>
    <w:rsid w:val="00F761F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45B6"/>
  <w15:docId w15:val="{596EC8FF-6E88-4257-8759-B4EF15D0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6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Zahra Jamshidi</cp:lastModifiedBy>
  <cp:revision>3</cp:revision>
  <dcterms:created xsi:type="dcterms:W3CDTF">2026-08-29T15:35:00Z</dcterms:created>
  <dcterms:modified xsi:type="dcterms:W3CDTF">2026-08-29T16:01:00Z</dcterms:modified>
</cp:coreProperties>
</file>