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PGothic" w:cs="MS PGothic" w:eastAsia="MS PGothic" w:hAnsi="MS PGothic"/>
          <w:b w:val="0"/>
          <w:bCs w:val="0"/>
          <w:i w:val="0"/>
          <w:iCs w:val="0"/>
          <w:smallCaps w:val="0"/>
          <w:strike w:val="0"/>
          <w:color w:val="000000"/>
          <w:sz w:val="36"/>
          <w:szCs w:val="36"/>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48"/>
          <w:szCs w:val="48"/>
          <w:u w:val="none"/>
          <w:shd w:fill="auto" w:val="clear"/>
          <w:vertAlign w:val="baseline"/>
          <w:rtl w:val="0"/>
        </w:rPr>
        <w:t xml:space="preserve">身体拘束排除マニュアル</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基本方針</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7"/>
        <w:jc w:val="left"/>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身体拘束による、身体的弊害、精神的弊害、社会的弊害をなくす為にメディケアビレッジかしわじまにおいては身体拘束ゼロを目指します。</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但し、生命に危険のある場合等一時的に拘束を行う必要がある場合には、ご家族の承認があれば、この限りではない。</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身体拘束をせずに行うケア</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1　身体拘束を誘発する原因を探り、除去する身体拘束をやむを得ず行う理由として、次のような状況を防止するために「必要」だといわれることがある。</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俳徊や興奮状態での周囲への迷惑行為</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転倒のおそれのある不安定な歩行や、点滴の抜去などの危険な行動</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かきむしりや体をたたき続けるなどの自傷行為</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姿勢が崩れ、体位保持が困難であること</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しかし、それらの状況には必ずその人なりの理由や原因があり、ケアする側の関わり方や環境に問題があることも少なくない。従って、その人なりの理由や原因を徹底的に探り除去するケアが必要である。</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2　五つの基本的ケアを徹底する</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S Mincho" w:cs="MS Mincho" w:eastAsia="MS Mincho" w:hAnsi="MS Mincho"/>
          <w:b w:val="0"/>
          <w:bCs w:val="0"/>
          <w:i w:val="0"/>
          <w:iCs w:val="0"/>
          <w:smallCaps w:val="0"/>
          <w:strike w:val="0"/>
          <w:color w:val="000000"/>
          <w:sz w:val="20"/>
          <w:szCs w:val="20"/>
          <w:u w:val="none"/>
          <w:shd w:fill="auto" w:val="clear"/>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起きる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人間は座っているとき、重力が上からかかることにより覚醒する。目が開き、耳が聞こえ、自分の周囲で起こっていることがわかるようになる。これは仰臥して天井を見ていたのではわからない。起きるのを助けることは人間らしさを追求する第一歩である。</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S Mincho" w:cs="MS Mincho" w:eastAsia="MS Mincho" w:hAnsi="MS Mincho"/>
          <w:b w:val="0"/>
          <w:bCs w:val="0"/>
          <w:i w:val="0"/>
          <w:iCs w:val="0"/>
          <w:smallCaps w:val="0"/>
          <w:strike w:val="0"/>
          <w:color w:val="000000"/>
          <w:sz w:val="20"/>
          <w:szCs w:val="20"/>
          <w:u w:val="none"/>
          <w:shd w:fill="auto" w:val="clear"/>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食べる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人にとって食べることは楽しみや生きがいであり、脱水予防、感染予防にもなり、点滴や経管栄養が不要になる。食べることはケアの基本である。</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S Mincho" w:cs="MS Mincho" w:eastAsia="MS Mincho" w:hAnsi="MS Mincho"/>
          <w:b w:val="0"/>
          <w:bCs w:val="0"/>
          <w:i w:val="0"/>
          <w:iCs w:val="0"/>
          <w:smallCaps w:val="0"/>
          <w:strike w:val="0"/>
          <w:color w:val="000000"/>
          <w:sz w:val="20"/>
          <w:szCs w:val="20"/>
          <w:u w:val="none"/>
          <w:shd w:fill="auto" w:val="clear"/>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排泄する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なるべくトイレで排せつしてもらうことを基本に考える。おむつを使用している人については、随時交換が重要である。おむつに排せつ物が付いたままになっていると気持ち悪く、「おむついじり」などの行為につながることになる。</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S Mincho" w:cs="MS Mincho" w:eastAsia="MS Mincho" w:hAnsi="MS Mincho"/>
          <w:b w:val="0"/>
          <w:bCs w:val="0"/>
          <w:i w:val="0"/>
          <w:iCs w:val="0"/>
          <w:smallCaps w:val="0"/>
          <w:strike w:val="0"/>
          <w:color w:val="000000"/>
          <w:sz w:val="20"/>
          <w:szCs w:val="20"/>
          <w:u w:val="none"/>
          <w:shd w:fill="auto" w:val="clear"/>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清潔にする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きちんと風呂に入ることが基本である。皮膚が不潔なことがかゆみの原因になり、そのために大声を出したり、夜眠れずに不穏になったりすることになる。皮膚をきれいにしておけば、本人も快適になり、また、周囲も世話をしやすくなり、人間関係も良好になる。</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S Mincho" w:cs="MS Mincho" w:eastAsia="MS Mincho" w:hAnsi="MS Mincho"/>
          <w:b w:val="0"/>
          <w:bCs w:val="0"/>
          <w:i w:val="0"/>
          <w:iCs w:val="0"/>
          <w:smallCaps w:val="0"/>
          <w:strike w:val="0"/>
          <w:color w:val="000000"/>
          <w:sz w:val="20"/>
          <w:szCs w:val="20"/>
          <w:u w:val="none"/>
          <w:shd w:fill="auto" w:val="clear"/>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活動する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その人の状態や生活歴に合ったよい刺激を提供することが重要である。具体的には、音楽、工芸、園芸、ゲーム、体操、家事、ペット、テレビなどが考えられる。言葉によるよい刺激もあれば、言葉以外の刺激もあるが、いずれにせよ、その人らしさを追求するうえで、心地よい刺激が必要であ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という五つの基本的事項について、その人に合った十分なケアを徹底することである。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3　身体拘束廃止をきっかけに「よりよいケア」の実現を</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このように身体拘束の廃止を実現していく取り組みは、介護保険施設等におけるケア全体の向上や生活環境の改善のきっかけとなりうる。「身体拘束廃止」を最終ゴールとせず、身体拘束を廃上していく過程で提起された様々な課題を真摯に受け止め、よりよいケアの実現に取り組んでいくことが期待され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4　三つの要件をすべて満たすことが必要</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以下の三つの要件をすべて満たす状態であることを関連する職員で検討、確認し記録しておく。</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切迫性:利用者本人または他の利用者等の生命または身体が危険にさらされる可能性が著しく高いこと</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非代替性:身体拘束その他の行動制限を行う以外に代替する介護方法がないこと</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一時性：身体拘束その他の行動制限が一時的なものであること</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5　手続きの面でも慎重な取り扱いが求められる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仮に三つの要件を満たす場合にも、以下の点に留意すべきである。</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①「緊急やむを得ない場合」に該当するかどうかの判断は、担当のスタッフ個人では行わず、施設全体としての判断が行われるように、あらかじめルールや手続きを定めておく。</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②利用者本人や家族に対して、身体拘束の内容、目的、理由、拘束の時間、時間帯、期間等をできる限り詳細に説明し、十分な理解を得るよう努める。その際には、施設長や医師、その他現場の責任者から説明を行うなど、説明手続きや説明者について事前に明文化しておく。</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仮に、事前に身体拘束について施設としての考え方を利用者や家族に説明し、理解を得ている場合であっても、実際に身体拘束を行う時点で、必ず個別に説明を行う。</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③緊急やむを得ず身体拘束を行う場合についても、「緊急やむを得ない場合」に該当するかどうかを常に観察、再検討し、要件に該当しなくなった場合には直ちに解除すること。この場合には、実際に身体拘束を一時的に解除して状態を観察するなどの対応をとることが重要であ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6　身体拘束に関する記録が義務づけられている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緊急等やむを得ず身体拘束等を行う場合には、その態様及び時間、その際の利用者の心身の状況、緊急等やむを得なかった理由を記録しなければならない。</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6" w:type="default"/>
      <w:footerReference r:id="rId7" w:type="default"/>
      <w:pgSz w:h="16838" w:w="11906" w:orient="portrait"/>
      <w:pgMar w:bottom="851" w:top="1134" w:left="1418" w:right="1418" w:header="0" w:footer="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Gothic"/>
  <w:font w:name="MS PGothic"/>
  <w:font w:name="MS Mincho"/>
  <w:font w:name="Times New Roman"/>
  <w:font w:name="Noto Sans Symbols">
    <w:embedRegular w:fontKey="{00000000-0000-0000-0000-000000000000}" r:id="rId1" w:subsetted="0"/>
    <w:embedBold w:fontKey="{00000000-0000-0000-0000-000000000000}" r:id="rId2" w:subsetted="0"/>
  </w:font>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MS Gothic" w:cs="MS Gothic" w:eastAsia="MS Gothic" w:hAnsi="MS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Gothic" w:cs="MS Gothic" w:eastAsia="MS Gothic" w:hAnsi="MS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Gothic" w:cs="MS Gothic" w:eastAsia="MS Gothic" w:hAnsi="MS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Times New Roman" w:cs="Times New Roman" w:eastAsia="Times New Roman" w:hAnsi="Times New Roman"/>
        <w:vertAlign w:val="baseline"/>
      </w:rPr>
    </w:lvl>
    <w:lvl w:ilvl="1">
      <w:start w:val="1"/>
      <w:numFmt w:val="bullet"/>
      <w:lvlText w:val="⮚"/>
      <w:lvlJc w:val="left"/>
      <w:pPr>
        <w:ind w:left="840" w:hanging="420"/>
      </w:pPr>
      <w:rPr>
        <w:rFonts w:ascii="Noto Sans Symbols" w:cs="Noto Sans Symbols" w:eastAsia="Noto Sans Symbols" w:hAnsi="Noto Sans Symbols"/>
        <w:vertAlign w:val="baseline"/>
      </w:rPr>
    </w:lvl>
    <w:lvl w:ilvl="2">
      <w:start w:val="1"/>
      <w:numFmt w:val="bullet"/>
      <w:lvlText w:val="✧"/>
      <w:lvlJc w:val="left"/>
      <w:pPr>
        <w:ind w:left="1260" w:hanging="420"/>
      </w:pPr>
      <w:rPr>
        <w:rFonts w:ascii="Noto Sans Symbols" w:cs="Noto Sans Symbols" w:eastAsia="Noto Sans Symbols" w:hAnsi="Noto Sans Symbols"/>
        <w:vertAlign w:val="baseline"/>
      </w:rPr>
    </w:lvl>
    <w:lvl w:ilvl="3">
      <w:start w:val="1"/>
      <w:numFmt w:val="bullet"/>
      <w:lvlText w:val="●"/>
      <w:lvlJc w:val="left"/>
      <w:pPr>
        <w:ind w:left="1680" w:hanging="420"/>
      </w:pPr>
      <w:rPr>
        <w:rFonts w:ascii="Noto Sans Symbols" w:cs="Noto Sans Symbols" w:eastAsia="Noto Sans Symbols" w:hAnsi="Noto Sans Symbols"/>
        <w:vertAlign w:val="baseline"/>
      </w:rPr>
    </w:lvl>
    <w:lvl w:ilvl="4">
      <w:start w:val="1"/>
      <w:numFmt w:val="bullet"/>
      <w:lvlText w:val="⮚"/>
      <w:lvlJc w:val="left"/>
      <w:pPr>
        <w:ind w:left="2100" w:hanging="420"/>
      </w:pPr>
      <w:rPr>
        <w:rFonts w:ascii="Noto Sans Symbols" w:cs="Noto Sans Symbols" w:eastAsia="Noto Sans Symbols" w:hAnsi="Noto Sans Symbols"/>
        <w:vertAlign w:val="baseline"/>
      </w:rPr>
    </w:lvl>
    <w:lvl w:ilvl="5">
      <w:start w:val="1"/>
      <w:numFmt w:val="bullet"/>
      <w:lvlText w:val="✧"/>
      <w:lvlJc w:val="left"/>
      <w:pPr>
        <w:ind w:left="2520" w:hanging="420"/>
      </w:pPr>
      <w:rPr>
        <w:rFonts w:ascii="Noto Sans Symbols" w:cs="Noto Sans Symbols" w:eastAsia="Noto Sans Symbols" w:hAnsi="Noto Sans Symbols"/>
        <w:vertAlign w:val="baseline"/>
      </w:rPr>
    </w:lvl>
    <w:lvl w:ilvl="6">
      <w:start w:val="1"/>
      <w:numFmt w:val="bullet"/>
      <w:lvlText w:val="●"/>
      <w:lvlJc w:val="left"/>
      <w:pPr>
        <w:ind w:left="2940" w:hanging="420"/>
      </w:pPr>
      <w:rPr>
        <w:rFonts w:ascii="Noto Sans Symbols" w:cs="Noto Sans Symbols" w:eastAsia="Noto Sans Symbols" w:hAnsi="Noto Sans Symbols"/>
        <w:vertAlign w:val="baseline"/>
      </w:rPr>
    </w:lvl>
    <w:lvl w:ilvl="7">
      <w:start w:val="1"/>
      <w:numFmt w:val="bullet"/>
      <w:lvlText w:val="⮚"/>
      <w:lvlJc w:val="left"/>
      <w:pPr>
        <w:ind w:left="3360" w:hanging="420"/>
      </w:pPr>
      <w:rPr>
        <w:rFonts w:ascii="Noto Sans Symbols" w:cs="Noto Sans Symbols" w:eastAsia="Noto Sans Symbols" w:hAnsi="Noto Sans Symbols"/>
        <w:vertAlign w:val="baseline"/>
      </w:rPr>
    </w:lvl>
    <w:lvl w:ilvl="8">
      <w:start w:val="1"/>
      <w:numFmt w:val="bullet"/>
      <w:lvlText w:val="✧"/>
      <w:lvlJc w:val="left"/>
      <w:pPr>
        <w:ind w:left="3780" w:hanging="42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360" w:hanging="360"/>
      </w:pPr>
      <w:rPr>
        <w:vertAlign w:val="baseline"/>
      </w:rPr>
    </w:lvl>
    <w:lvl w:ilvl="1">
      <w:start w:val="1"/>
      <w:numFmt w:val="decimal"/>
      <w:lvlText w:val="(%2)"/>
      <w:lvlJc w:val="left"/>
      <w:pPr>
        <w:ind w:left="840" w:hanging="420"/>
      </w:pPr>
      <w:rPr>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80" w:hanging="420"/>
      </w:pPr>
      <w:rPr>
        <w:vertAlign w:val="baseline"/>
      </w:rPr>
    </w:lvl>
    <w:lvl w:ilvl="4">
      <w:start w:val="1"/>
      <w:numFmt w:val="decimal"/>
      <w:lvlText w:val="(%5)"/>
      <w:lvlJc w:val="left"/>
      <w:pPr>
        <w:ind w:left="2100" w:hanging="420"/>
      </w:pPr>
      <w:rPr>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