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76dedbf1c480472e2412e5df65282d6f0d019fd"/>
    <w:p>
      <w:pPr>
        <w:pStyle w:val="Heading1"/>
      </w:pPr>
      <w:r>
        <w:t xml:space="preserve">Ayurveda Sublayer Research — Bhasma / Rasaśāstra / Material Transformation</w:t>
      </w:r>
    </w:p>
    <w:bookmarkStart w:id="25" w:name="X991df44acf128598f761d83af860e6acbc281a7"/>
    <w:p>
      <w:pPr>
        <w:pStyle w:val="Heading2"/>
      </w:pPr>
      <w:r>
        <w:t xml:space="preserve">In-house coverage check and available public structured sources</w:t>
      </w:r>
    </w:p>
    <w:p>
      <w:pPr>
        <w:pStyle w:val="FirstParagraph"/>
      </w:pPr>
      <w:r>
        <w:t xml:space="preserve">A search of Sev‑A‑Bharata in-house sources via the workspace</w:t>
      </w:r>
      <w:r>
        <w:t xml:space="preserve"> </w:t>
      </w:r>
      <w:r>
        <w:rPr>
          <w:rStyle w:val="VerbatimChar"/>
        </w:rPr>
        <w:t xml:space="preserve">file_search</w:t>
      </w:r>
      <w:r>
        <w:t xml:space="preserve"> </w:t>
      </w:r>
      <w:r>
        <w:t xml:space="preserve">tool returned</w:t>
      </w:r>
      <w:r>
        <w:t xml:space="preserve"> </w:t>
      </w:r>
      <w:r>
        <w:rPr>
          <w:b/>
          <w:bCs/>
        </w:rPr>
        <w:t xml:space="preserve">no accessible internal sources</w:t>
      </w:r>
      <w:r>
        <w:t xml:space="preserve"> </w:t>
      </w:r>
      <w:r>
        <w:t xml:space="preserve">(“NoSourcesAvailable”). As a result, I cannot confirm whether</w:t>
      </w:r>
      <w:r>
        <w:t xml:space="preserve"> </w:t>
      </w:r>
      <w:r>
        <w:rPr>
          <w:b/>
          <w:bCs/>
        </w:rPr>
        <w:t xml:space="preserve">your internal datasets</w:t>
      </w:r>
      <w:r>
        <w:t xml:space="preserve"> </w:t>
      </w:r>
      <w:r>
        <w:t xml:space="preserve">already model bhasma / rasaśāstra content, or whether it only exists in internal source texts. This report therefore treats “dataset coverage” in two layers: what is</w:t>
      </w:r>
      <w:r>
        <w:t xml:space="preserve"> </w:t>
      </w:r>
      <w:r>
        <w:rPr>
          <w:b/>
          <w:bCs/>
        </w:rPr>
        <w:t xml:space="preserve">verifiably present in public standardized corpora</w:t>
      </w:r>
      <w:r>
        <w:t xml:space="preserve"> </w:t>
      </w:r>
      <w:r>
        <w:t xml:space="preserve">(pharmacopoeia/formulary + portals), and what is</w:t>
      </w:r>
      <w:r>
        <w:t xml:space="preserve"> </w:t>
      </w:r>
      <w:r>
        <w:rPr>
          <w:b/>
          <w:bCs/>
        </w:rPr>
        <w:t xml:space="preserve">typically present only in classical rasa texts</w:t>
      </w:r>
      <w:r>
        <w:t xml:space="preserve">.</w:t>
      </w:r>
    </w:p>
    <w:p>
      <w:pPr>
        <w:pStyle w:val="BodyText"/>
      </w:pPr>
      <w:r>
        <w:t xml:space="preserve">Publicly, the most operationally useful “dataset-like” sources are</w:t>
      </w:r>
      <w:r>
        <w:t xml:space="preserve"> </w:t>
      </w:r>
      <w:r>
        <w:rPr>
          <w:b/>
          <w:bCs/>
        </w:rPr>
        <w:t xml:space="preserve">not truly datasets</w:t>
      </w:r>
      <w:r>
        <w:t xml:space="preserve"> </w:t>
      </w:r>
      <w:r>
        <w:t xml:space="preserve">but</w:t>
      </w:r>
      <w:r>
        <w:t xml:space="preserve"> </w:t>
      </w:r>
      <w:r>
        <w:rPr>
          <w:b/>
          <w:bCs/>
        </w:rPr>
        <w:t xml:space="preserve">highly structured PDFs</w:t>
      </w:r>
      <w:r>
        <w:t xml:space="preserve"> </w:t>
      </w:r>
      <w:r>
        <w:t xml:space="preserve">whose format is stable enough for extraction:</w:t>
      </w:r>
    </w:p>
    <w:p>
      <w:pPr>
        <w:pStyle w:val="BodyText"/>
      </w:pPr>
      <w:r>
        <w:t xml:space="preserve">First, the</w:t>
      </w:r>
      <w:r>
        <w:t xml:space="preserve"> </w:t>
      </w:r>
      <w:r>
        <w:rPr>
          <w:b/>
          <w:bCs/>
        </w:rPr>
        <w:t xml:space="preserve">Ayurvedic Pharmacopoeia of India (API)</w:t>
      </w:r>
      <w:r>
        <w:t xml:space="preserve"> </w:t>
      </w:r>
      <w:r>
        <w:t xml:space="preserve">functions as a legal/official standards corpus under India’s regulatory regime. For example, API Part‑I Vol‑I states that the API is a “book of standards” under the Drugs &amp; Cosmetics Act framework, and that pharmacopoeial methods are authoritative in disputes.</w:t>
      </w:r>
      <w:r>
        <w:t xml:space="preserve"> </w:t>
      </w:r>
      <w:hyperlink r:id="rId21">
        <w:r>
          <w:rPr>
            <w:rStyle w:val="Hyperlink"/>
          </w:rPr>
          <w:t xml:space="preserve">[1]</w:t>
        </w:r>
      </w:hyperlink>
    </w:p>
    <w:p>
      <w:pPr>
        <w:pStyle w:val="BodyText"/>
      </w:pPr>
      <w:r>
        <w:t xml:space="preserve">Second, API Part‑I</w:t>
      </w:r>
      <w:r>
        <w:t xml:space="preserve"> </w:t>
      </w:r>
      <w:r>
        <w:rPr>
          <w:b/>
          <w:bCs/>
        </w:rPr>
        <w:t xml:space="preserve">Volume VII</w:t>
      </w:r>
      <w:r>
        <w:t xml:space="preserve"> </w:t>
      </w:r>
      <w:r>
        <w:t xml:space="preserve">is explicitly dedicated to</w:t>
      </w:r>
      <w:r>
        <w:t xml:space="preserve"> </w:t>
      </w:r>
      <w:r>
        <w:rPr>
          <w:b/>
          <w:bCs/>
        </w:rPr>
        <w:t xml:space="preserve">Minerals &amp; Metals</w:t>
      </w:r>
      <w:r>
        <w:t xml:space="preserve">, and includes</w:t>
      </w:r>
      <w:r>
        <w:t xml:space="preserve"> </w:t>
      </w:r>
      <w:r>
        <w:rPr>
          <w:b/>
          <w:bCs/>
        </w:rPr>
        <w:t xml:space="preserve">monographs on twenty‑one raw mineral/metal/ore drugs</w:t>
      </w:r>
      <w:r>
        <w:t xml:space="preserve"> </w:t>
      </w:r>
      <w:r>
        <w:t xml:space="preserve">with standards and testing headings (including “Heavy metals” and references to “Śodhana” processes quoted from classics, and broad scientific classifications like “Silicate, Sulphide, Oxide and Metal”).</w:t>
      </w:r>
      <w:r>
        <w:t xml:space="preserve"> </w:t>
      </w:r>
      <w:hyperlink r:id="rId22">
        <w:r>
          <w:rPr>
            <w:rStyle w:val="Hyperlink"/>
          </w:rPr>
          <w:t xml:space="preserve">[2]</w:t>
        </w:r>
      </w:hyperlink>
    </w:p>
    <w:p>
      <w:pPr>
        <w:pStyle w:val="BodyText"/>
      </w:pPr>
      <w:r>
        <w:t xml:space="preserve">Third, API Part‑II (Formulations) is designed to be algorithmically extractable: it states that each formulation monograph includes the</w:t>
      </w:r>
      <w:r>
        <w:t xml:space="preserve"> </w:t>
      </w:r>
      <w:r>
        <w:rPr>
          <w:b/>
          <w:bCs/>
        </w:rPr>
        <w:t xml:space="preserve">full composition</w:t>
      </w:r>
      <w:r>
        <w:t xml:space="preserve"> </w:t>
      </w:r>
      <w:r>
        <w:t xml:space="preserve">and</w:t>
      </w:r>
      <w:r>
        <w:t xml:space="preserve"> </w:t>
      </w:r>
      <w:r>
        <w:rPr>
          <w:b/>
          <w:bCs/>
        </w:rPr>
        <w:t xml:space="preserve">directions for preparation</w:t>
      </w:r>
      <w:r>
        <w:t xml:space="preserve">, and it also describes typical monograph fields including identity/purity parameters and “tests for heavy metals” and microbial content.</w:t>
      </w:r>
      <w:r>
        <w:t xml:space="preserve"> </w:t>
      </w:r>
      <w:hyperlink r:id="rId23">
        <w:r>
          <w:rPr>
            <w:rStyle w:val="Hyperlink"/>
          </w:rPr>
          <w:t xml:space="preserve">[3]</w:t>
        </w:r>
      </w:hyperlink>
    </w:p>
    <w:p>
      <w:pPr>
        <w:pStyle w:val="BodyText"/>
      </w:pPr>
      <w:r>
        <w:t xml:space="preserve">In addition to the pharmacopoeial/fomulary line, the most visible “infrastructure dataset” coverage in the AYUSH ecosystem remains</w:t>
      </w:r>
      <w:r>
        <w:t xml:space="preserve"> </w:t>
      </w:r>
      <w:r>
        <w:rPr>
          <w:b/>
          <w:bCs/>
        </w:rPr>
        <w:t xml:space="preserve">plant-forward</w:t>
      </w:r>
      <w:r>
        <w:t xml:space="preserve">. For example, the Ministry of AYUSH e‑Charak “Knowledge resources” page highlights medicinal plant lists and points to major plant databases (FRLHT’s database on thousands of botanical and vernacular names). Metals/minerals appear only tangentially (e.g.,</w:t>
      </w:r>
      <w:r>
        <w:t xml:space="preserve"> </w:t>
      </w:r>
      <w:r>
        <w:rPr>
          <w:i/>
          <w:iCs/>
        </w:rPr>
        <w:t xml:space="preserve">Shilajit</w:t>
      </w:r>
      <w:r>
        <w:t xml:space="preserve"> </w:t>
      </w:r>
      <w:r>
        <w:t xml:space="preserve">is listed as “Black bitumen”).</w:t>
      </w:r>
      <w:r>
        <w:t xml:space="preserve"> </w:t>
      </w:r>
      <w:hyperlink r:id="rId24">
        <w:r>
          <w:rPr>
            <w:rStyle w:val="Hyperlink"/>
          </w:rPr>
          <w:t xml:space="preserve">[4]</w:t>
        </w:r>
      </w:hyperlink>
    </w:p>
    <w:bookmarkEnd w:id="25"/>
    <w:bookmarkStart w:id="30" w:name="Xb11f8c1ecea9b7b1ce270ebbd61002bc731f1d6"/>
    <w:p>
      <w:pPr>
        <w:pStyle w:val="Heading2"/>
      </w:pPr>
      <w:r>
        <w:t xml:space="preserve">Canonical and historical strata of material transformation in Ayurveda</w:t>
      </w:r>
    </w:p>
    <w:p>
      <w:pPr>
        <w:pStyle w:val="FirstParagraph"/>
      </w:pPr>
      <w:r>
        <w:t xml:space="preserve">In Ayurveda’s internal layering,</w:t>
      </w:r>
      <w:r>
        <w:t xml:space="preserve"> </w:t>
      </w:r>
      <w:r>
        <w:rPr>
          <w:b/>
          <w:bCs/>
        </w:rPr>
        <w:t xml:space="preserve">rasaśāstra</w:t>
      </w:r>
      <w:r>
        <w:t xml:space="preserve"> </w:t>
      </w:r>
      <w:r>
        <w:t xml:space="preserve">(iatrochemistry/alchemical pharmaceutics) is best treated as a</w:t>
      </w:r>
      <w:r>
        <w:t xml:space="preserve"> </w:t>
      </w:r>
      <w:r>
        <w:rPr>
          <w:b/>
          <w:bCs/>
        </w:rPr>
        <w:t xml:space="preserve">post‑Samhitā specialization</w:t>
      </w:r>
      <w:r>
        <w:t xml:space="preserve"> </w:t>
      </w:r>
      <w:r>
        <w:t xml:space="preserve">that ultimately integrates back into Ayurvedic therapeutics, rather than as a primary “Samhitā-era” foundation.</w:t>
      </w:r>
    </w:p>
    <w:p>
      <w:pPr>
        <w:pStyle w:val="BodyText"/>
      </w:pPr>
      <w:r>
        <w:t xml:space="preserve">A useful internal stratification (for Atlas) is:</w:t>
      </w:r>
    </w:p>
    <w:p>
      <w:pPr>
        <w:pStyle w:val="BodyText"/>
      </w:pPr>
      <w:r>
        <w:rPr>
          <w:b/>
          <w:bCs/>
        </w:rPr>
        <w:t xml:space="preserve">Canonical Ayurveda (Samhitā-era core, broadly plant-centric)</w:t>
      </w:r>
      <w:r>
        <w:br/>
      </w:r>
      <w:r>
        <w:t xml:space="preserve">A modern scholarly review emphasizes that Ayurveda’s pharmacopeia is theoretically universal (“no substance in the universe” lacks medicinal potential if used judiciously), and classifies substances by origin into</w:t>
      </w:r>
      <w:r>
        <w:t xml:space="preserve"> </w:t>
      </w:r>
      <w:r>
        <w:rPr>
          <w:b/>
          <w:bCs/>
        </w:rPr>
        <w:t xml:space="preserve">animal (jāṅgama), plant (audbhida), and mineral/earth-derived (pārthiva/khanija)</w:t>
      </w:r>
      <w:r>
        <w:t xml:space="preserve"> </w:t>
      </w:r>
      <w:r>
        <w:t xml:space="preserve">categories, citing Caraka and Suśruta.</w:t>
      </w:r>
      <w:r>
        <w:t xml:space="preserve"> </w:t>
      </w:r>
      <w:hyperlink r:id="rId26">
        <w:r>
          <w:rPr>
            <w:rStyle w:val="Hyperlink"/>
          </w:rPr>
          <w:t xml:space="preserve">[5]</w:t>
        </w:r>
      </w:hyperlink>
      <w:r>
        <w:br/>
      </w:r>
      <w:r>
        <w:t xml:space="preserve">The same review also describes the “Samhitā period” as emphasizing medicinal plants as more familiar/assimilable, with minerals used more limitedly and often combined with plants, while noting that minerals were intensely processed before use.</w:t>
      </w:r>
      <w:r>
        <w:t xml:space="preserve"> </w:t>
      </w:r>
      <w:hyperlink r:id="rId26">
        <w:r>
          <w:rPr>
            <w:rStyle w:val="Hyperlink"/>
          </w:rPr>
          <w:t xml:space="preserve">[6]</w:t>
        </w:r>
      </w:hyperlink>
    </w:p>
    <w:p>
      <w:pPr>
        <w:pStyle w:val="BodyText"/>
      </w:pPr>
      <w:r>
        <w:rPr>
          <w:b/>
          <w:bCs/>
        </w:rPr>
        <w:t xml:space="preserve">Later tradition (post‑Samhitā, rasāyana + rasaśāstra expansion, strongly mineral/metal-centric)</w:t>
      </w:r>
      <w:r>
        <w:br/>
      </w:r>
      <w:r>
        <w:t xml:space="preserve">A peer‑reviewed overview defines</w:t>
      </w:r>
      <w:r>
        <w:t xml:space="preserve"> </w:t>
      </w:r>
      <w:r>
        <w:rPr>
          <w:b/>
          <w:bCs/>
        </w:rPr>
        <w:t xml:space="preserve">Rasaśāstra</w:t>
      </w:r>
      <w:r>
        <w:t xml:space="preserve"> </w:t>
      </w:r>
      <w:r>
        <w:t xml:space="preserve">literally as the “Science of Mercury,” as a specialized Ayurvedic branch dealing mainly with “rasa dravyas,” and emphasizes its therapeutic importance.</w:t>
      </w:r>
      <w:r>
        <w:t xml:space="preserve"> </w:t>
      </w:r>
      <w:hyperlink r:id="rId27">
        <w:r>
          <w:rPr>
            <w:rStyle w:val="Hyperlink"/>
          </w:rPr>
          <w:t xml:space="preserve">[7]</w:t>
        </w:r>
      </w:hyperlink>
      <w:r>
        <w:br/>
      </w:r>
      <w:r>
        <w:t xml:space="preserve">It characterizes rasa-drug attributes as:</w:t>
      </w:r>
      <w:r>
        <w:t xml:space="preserve"> </w:t>
      </w:r>
      <w:r>
        <w:rPr>
          <w:b/>
          <w:bCs/>
        </w:rPr>
        <w:t xml:space="preserve">rapid/instant effect, very small dose requirements, and broad therapeutic utility</w:t>
      </w:r>
      <w:r>
        <w:t xml:space="preserve"> </w:t>
      </w:r>
      <w:r>
        <w:t xml:space="preserve">(a core “why” behind bhasma/rasa medicines in practice).</w:t>
      </w:r>
      <w:r>
        <w:t xml:space="preserve"> </w:t>
      </w:r>
      <w:hyperlink r:id="rId26">
        <w:r>
          <w:rPr>
            <w:rStyle w:val="Hyperlink"/>
          </w:rPr>
          <w:t xml:space="preserve">[8]</w:t>
        </w:r>
      </w:hyperlink>
      <w:r>
        <w:br/>
      </w:r>
      <w:r>
        <w:t xml:space="preserve">This same source presents the tradition as historically associated with figures like Nāgārjuna (as a post‑Samhitā alchemical inflection point), and explicitly frames rasa practice as not only about alchemical aims but also health/strength (a proto “body transformation” framing).</w:t>
      </w:r>
      <w:r>
        <w:t xml:space="preserve"> </w:t>
      </w:r>
      <w:hyperlink r:id="rId26">
        <w:r>
          <w:rPr>
            <w:rStyle w:val="Hyperlink"/>
          </w:rPr>
          <w:t xml:space="preserve">[6]</w:t>
        </w:r>
      </w:hyperlink>
    </w:p>
    <w:p>
      <w:pPr>
        <w:pStyle w:val="BodyText"/>
      </w:pPr>
      <w:r>
        <w:rPr>
          <w:b/>
          <w:bCs/>
        </w:rPr>
        <w:t xml:space="preserve">Modern overlays (scientific characterization + regulatory framing + market controversies)</w:t>
      </w:r>
      <w:r>
        <w:br/>
      </w:r>
      <w:r>
        <w:t xml:space="preserve">Modern peer‑reviewed studies increasingly interpret bhasmas through lenses like</w:t>
      </w:r>
      <w:r>
        <w:t xml:space="preserve"> </w:t>
      </w:r>
      <w:r>
        <w:rPr>
          <w:b/>
          <w:bCs/>
        </w:rPr>
        <w:t xml:space="preserve">phase transformation</w:t>
      </w:r>
      <w:r>
        <w:t xml:space="preserve"> </w:t>
      </w:r>
      <w:r>
        <w:t xml:space="preserve">(e.g., CaCO₃ → CaO in coral bhasma) and particle size reduction, alongside “classical” qualitative tests.</w:t>
      </w:r>
      <w:r>
        <w:t xml:space="preserve"> </w:t>
      </w:r>
      <w:hyperlink r:id="rId28">
        <w:r>
          <w:rPr>
            <w:rStyle w:val="Hyperlink"/>
          </w:rPr>
          <w:t xml:space="preserve">[9]</w:t>
        </w:r>
      </w:hyperlink>
      <w:r>
        <w:br/>
      </w:r>
      <w:r>
        <w:t xml:space="preserve">At the same time, modern policy/market debates also separate “classical” formulations from “proprietary/patent” products and highlight that toxicity controversies are shaped by regulatory and epistemic translation issues.</w:t>
      </w:r>
      <w:r>
        <w:t xml:space="preserve"> </w:t>
      </w:r>
      <w:hyperlink r:id="rId29">
        <w:r>
          <w:rPr>
            <w:rStyle w:val="Hyperlink"/>
          </w:rPr>
          <w:t xml:space="preserve">[10]</w:t>
        </w:r>
      </w:hyperlink>
    </w:p>
    <w:bookmarkEnd w:id="30"/>
    <w:bookmarkStart w:id="33" w:name="X290ab9a6882285da1f5b78f2fe1a417f0b87dc3"/>
    <w:p>
      <w:pPr>
        <w:pStyle w:val="Heading2"/>
      </w:pPr>
      <w:r>
        <w:t xml:space="preserve">Substance ontology for transformation work</w:t>
      </w:r>
    </w:p>
    <w:bookmarkStart w:id="31" w:name="X712b4292bc2ae3744b6c806536e225e1529f388"/>
    <w:p>
      <w:pPr>
        <w:pStyle w:val="Heading3"/>
      </w:pPr>
      <w:r>
        <w:t xml:space="preserve">Core substance classes attested in rasaśāstra-oriented Ayurveda</w:t>
      </w:r>
    </w:p>
    <w:p>
      <w:pPr>
        <w:pStyle w:val="FirstParagraph"/>
      </w:pPr>
      <w:r>
        <w:t xml:space="preserve">A practical, source-grounded ontology starts with the rasaśāstra classification scheme (as summarized in peer‑reviewed literature). One widely cited table organizes mineral/metal-related dravyas into:</w:t>
      </w:r>
    </w:p>
    <w:p>
      <w:pPr>
        <w:pStyle w:val="Compact"/>
        <w:numPr>
          <w:ilvl w:val="0"/>
          <w:numId w:val="1001"/>
        </w:numPr>
      </w:pPr>
      <w:r>
        <w:rPr>
          <w:b/>
          <w:bCs/>
        </w:rPr>
        <w:t xml:space="preserve">Rasa</w:t>
      </w:r>
      <w:r>
        <w:t xml:space="preserve">: Mercury (Pārada)</w:t>
      </w:r>
    </w:p>
    <w:p>
      <w:pPr>
        <w:pStyle w:val="Compact"/>
        <w:numPr>
          <w:ilvl w:val="0"/>
          <w:numId w:val="1001"/>
        </w:numPr>
      </w:pPr>
      <w:r>
        <w:rPr>
          <w:b/>
          <w:bCs/>
        </w:rPr>
        <w:t xml:space="preserve">Mahārasa</w:t>
      </w:r>
      <w:r>
        <w:t xml:space="preserve">: e.g., Abhraka (mica), Vaikrānta (tourmaline), Mākṣika (pyrite), Vimala (iron pyrite), Śilājit (asphalt/mineral pitch), Sasyaka (blue vitriol), Capala (bismuth), Rasaka (calamine/zinc ore)</w:t>
      </w:r>
    </w:p>
    <w:p>
      <w:pPr>
        <w:pStyle w:val="Compact"/>
        <w:numPr>
          <w:ilvl w:val="0"/>
          <w:numId w:val="1001"/>
        </w:numPr>
      </w:pPr>
      <w:r>
        <w:rPr>
          <w:b/>
          <w:bCs/>
        </w:rPr>
        <w:t xml:space="preserve">Uparasa</w:t>
      </w:r>
      <w:r>
        <w:t xml:space="preserve">: e.g., Gandhaka (sulphur), Gairika (haematite), Kāśisa (green vitriol), Kankśī (alum), Haritāla (orpiment), Manaśilā (realgar), Anjana (stibnite), etc.</w:t>
      </w:r>
    </w:p>
    <w:p>
      <w:pPr>
        <w:pStyle w:val="Compact"/>
        <w:numPr>
          <w:ilvl w:val="0"/>
          <w:numId w:val="1001"/>
        </w:numPr>
      </w:pPr>
      <w:r>
        <w:rPr>
          <w:b/>
          <w:bCs/>
        </w:rPr>
        <w:t xml:space="preserve">Sādhāraṇa rasa</w:t>
      </w:r>
      <w:r>
        <w:t xml:space="preserve">: e.g., Kampillaka (Mallotus glands/hairs), Somala (arsenic), Navasāgara (ammonium chloride), Kapardikā (cowry), Agnijāra (amber), Hingula (cinnabar), etc.</w:t>
      </w:r>
    </w:p>
    <w:p>
      <w:pPr>
        <w:pStyle w:val="Compact"/>
        <w:numPr>
          <w:ilvl w:val="0"/>
          <w:numId w:val="1001"/>
        </w:numPr>
      </w:pPr>
      <w:r>
        <w:rPr>
          <w:b/>
          <w:bCs/>
        </w:rPr>
        <w:t xml:space="preserve">Dhātu</w:t>
      </w:r>
      <w:r>
        <w:t xml:space="preserve"> </w:t>
      </w:r>
      <w:r>
        <w:t xml:space="preserve">(metals proper): suvarṇa (gold), rajata/raupya (silver), tāmra (copper), loha (iron), nāga (lead), vaṅga (tin), yaśada (zinc)</w:t>
      </w:r>
    </w:p>
    <w:p>
      <w:pPr>
        <w:pStyle w:val="Compact"/>
        <w:numPr>
          <w:ilvl w:val="0"/>
          <w:numId w:val="1001"/>
        </w:numPr>
      </w:pPr>
      <w:r>
        <w:rPr>
          <w:b/>
          <w:bCs/>
        </w:rPr>
        <w:t xml:space="preserve">Upadhātu</w:t>
      </w:r>
      <w:r>
        <w:t xml:space="preserve">: e.g., mandūra (iron slag), sindūra (red lead oxide), etc.</w:t>
      </w:r>
    </w:p>
    <w:p>
      <w:pPr>
        <w:pStyle w:val="Compact"/>
        <w:numPr>
          <w:ilvl w:val="0"/>
          <w:numId w:val="1001"/>
        </w:numPr>
      </w:pPr>
      <w:r>
        <w:rPr>
          <w:b/>
          <w:bCs/>
        </w:rPr>
        <w:t xml:space="preserve">Ratna / Uparatna</w:t>
      </w:r>
      <w:r>
        <w:t xml:space="preserve">: gems and semi‑gems (muktā/pearl, pravāla/coral, gomeda/zircon, etc.)</w:t>
      </w:r>
    </w:p>
    <w:p>
      <w:pPr>
        <w:pStyle w:val="Compact"/>
        <w:numPr>
          <w:ilvl w:val="0"/>
          <w:numId w:val="1001"/>
        </w:numPr>
      </w:pPr>
      <w:r>
        <w:rPr>
          <w:b/>
          <w:bCs/>
        </w:rPr>
        <w:t xml:space="preserve">Viṣa / Upaviṣa</w:t>
      </w:r>
      <w:r>
        <w:t xml:space="preserve">: toxic plants/substances used with strict processing frameworks (e.g., vatsanābha/aconite, dhattūra, etc.).</w:t>
      </w:r>
      <w:r>
        <w:t xml:space="preserve"> </w:t>
      </w:r>
      <w:hyperlink r:id="rId26">
        <w:r>
          <w:rPr>
            <w:rStyle w:val="Hyperlink"/>
          </w:rPr>
          <w:t xml:space="preserve">[11]</w:t>
        </w:r>
      </w:hyperlink>
    </w:p>
    <w:p>
      <w:pPr>
        <w:pStyle w:val="FirstParagraph"/>
      </w:pPr>
      <w:r>
        <w:t xml:space="preserve">This schema is extremely valuable for Atlas because it is already “category-stable,” spans both</w:t>
      </w:r>
      <w:r>
        <w:t xml:space="preserve"> </w:t>
      </w:r>
      <w:r>
        <w:rPr>
          <w:b/>
          <w:bCs/>
        </w:rPr>
        <w:t xml:space="preserve">mineral/metal</w:t>
      </w:r>
      <w:r>
        <w:t xml:space="preserve"> </w:t>
      </w:r>
      <w:r>
        <w:t xml:space="preserve">and</w:t>
      </w:r>
      <w:r>
        <w:t xml:space="preserve"> </w:t>
      </w:r>
      <w:r>
        <w:rPr>
          <w:b/>
          <w:bCs/>
        </w:rPr>
        <w:t xml:space="preserve">toxicology governance</w:t>
      </w:r>
      <w:r>
        <w:t xml:space="preserve">, and allows a</w:t>
      </w:r>
      <w:r>
        <w:t xml:space="preserve"> </w:t>
      </w:r>
      <w:r>
        <w:rPr>
          <w:b/>
          <w:bCs/>
        </w:rPr>
        <w:t xml:space="preserve">single resolver model</w:t>
      </w:r>
      <w:r>
        <w:t xml:space="preserve"> </w:t>
      </w:r>
      <w:r>
        <w:t xml:space="preserve">to route a substance into different safety and preparation pipelines.</w:t>
      </w:r>
    </w:p>
    <w:bookmarkEnd w:id="31"/>
    <w:bookmarkStart w:id="32" w:name="X05673df302a47cc77e0e38fc9fa5f6383430ef5"/>
    <w:p>
      <w:pPr>
        <w:pStyle w:val="Heading3"/>
      </w:pPr>
      <w:r>
        <w:t xml:space="preserve">Pharmacopoeial alignment for metals/minerals as “single drugs”</w:t>
      </w:r>
    </w:p>
    <w:p>
      <w:pPr>
        <w:pStyle w:val="FirstParagraph"/>
      </w:pPr>
      <w:r>
        <w:t xml:space="preserve">API Part‑I Vol‑VII makes explicit that this volume covers</w:t>
      </w:r>
      <w:r>
        <w:t xml:space="preserve"> </w:t>
      </w:r>
      <w:r>
        <w:rPr>
          <w:b/>
          <w:bCs/>
        </w:rPr>
        <w:t xml:space="preserve">single drugs of mineral/metal/marine origin</w:t>
      </w:r>
      <w:r>
        <w:t xml:space="preserve"> </w:t>
      </w:r>
      <w:r>
        <w:t xml:space="preserve">and that it contains</w:t>
      </w:r>
      <w:r>
        <w:t xml:space="preserve"> </w:t>
      </w:r>
      <w:r>
        <w:rPr>
          <w:b/>
          <w:bCs/>
        </w:rPr>
        <w:t xml:space="preserve">21 raw-drug monographs</w:t>
      </w:r>
      <w:r>
        <w:t xml:space="preserve">; it also describes that monographs preserve classical Ayurvedic attributes using the doctrine of</w:t>
      </w:r>
      <w:r>
        <w:t xml:space="preserve"> </w:t>
      </w:r>
      <w:r>
        <w:rPr>
          <w:b/>
          <w:bCs/>
        </w:rPr>
        <w:t xml:space="preserve">rasa–guṇa–vīrya–vipāka–karma</w:t>
      </w:r>
      <w:r>
        <w:t xml:space="preserve">, while admitting some are abstract/subjective and not easily quantifiable experimentally.</w:t>
      </w:r>
      <w:r>
        <w:t xml:space="preserve"> </w:t>
      </w:r>
      <w:hyperlink r:id="rId22">
        <w:r>
          <w:rPr>
            <w:rStyle w:val="Hyperlink"/>
          </w:rPr>
          <w:t xml:space="preserve">[12]</w:t>
        </w:r>
      </w:hyperlink>
      <w:r>
        <w:br/>
      </w:r>
      <w:r>
        <w:t xml:space="preserve">It further adds a “broad classification” approach (Silicate/Sulphide/Oxide/Metal) because raw geochemical materials are complex mixtures not always assignable to a single chemical name.</w:t>
      </w:r>
      <w:r>
        <w:t xml:space="preserve"> </w:t>
      </w:r>
      <w:hyperlink r:id="rId22">
        <w:r>
          <w:rPr>
            <w:rStyle w:val="Hyperlink"/>
          </w:rPr>
          <w:t xml:space="preserve">[13]</w:t>
        </w:r>
      </w:hyperlink>
    </w:p>
    <w:p>
      <w:pPr>
        <w:pStyle w:val="BodyText"/>
      </w:pPr>
      <w:r>
        <w:t xml:space="preserve">For Atlas, that implies two parallel substance-typing systems:</w:t>
      </w:r>
    </w:p>
    <w:p>
      <w:pPr>
        <w:pStyle w:val="Compact"/>
        <w:numPr>
          <w:ilvl w:val="0"/>
          <w:numId w:val="1002"/>
        </w:numPr>
      </w:pPr>
      <w:r>
        <w:rPr>
          <w:b/>
          <w:bCs/>
        </w:rPr>
        <w:t xml:space="preserve">Classical typing</w:t>
      </w:r>
      <w:r>
        <w:t xml:space="preserve"> </w:t>
      </w:r>
      <w:r>
        <w:t xml:space="preserve">(rasa/mahārasa/…/dhātu/ratna/viṣa; plus rasa–guṇa–vīrya–vipāka–karma)</w:t>
      </w:r>
    </w:p>
    <w:p>
      <w:pPr>
        <w:pStyle w:val="Compact"/>
        <w:numPr>
          <w:ilvl w:val="0"/>
          <w:numId w:val="1002"/>
        </w:numPr>
      </w:pPr>
      <w:r>
        <w:rPr>
          <w:b/>
          <w:bCs/>
        </w:rPr>
        <w:t xml:space="preserve">Scientific/material typing</w:t>
      </w:r>
      <w:r>
        <w:t xml:space="preserve"> </w:t>
      </w:r>
      <w:r>
        <w:t xml:space="preserve">(oxide/sulphide/silicate/metal; + elemental composition; + phase identity)</w:t>
      </w:r>
    </w:p>
    <w:bookmarkEnd w:id="32"/>
    <w:bookmarkEnd w:id="33"/>
    <w:bookmarkStart w:id="39" w:name="X65e75718c6fd87b17819debf0afbb57638d2420"/>
    <w:p>
      <w:pPr>
        <w:pStyle w:val="Heading2"/>
      </w:pPr>
      <w:r>
        <w:t xml:space="preserve">Process ontology for transformation pipelines</w:t>
      </w:r>
    </w:p>
    <w:bookmarkStart w:id="35" w:name="X15b9a0ee9e0d3799e808d0055d20f2cf583f42f"/>
    <w:p>
      <w:pPr>
        <w:pStyle w:val="Heading3"/>
      </w:pPr>
      <w:r>
        <w:t xml:space="preserve">Canonical process “spine” across bhasma and rasaushadhi</w:t>
      </w:r>
    </w:p>
    <w:p>
      <w:pPr>
        <w:pStyle w:val="FirstParagraph"/>
      </w:pPr>
      <w:r>
        <w:t xml:space="preserve">Across modern pharmacopeial framing and traditional descriptions, metal/mineral therapeutics are governed by a transformation cascade whose named steps recur:</w:t>
      </w:r>
    </w:p>
    <w:p>
      <w:pPr>
        <w:pStyle w:val="Compact"/>
        <w:numPr>
          <w:ilvl w:val="0"/>
          <w:numId w:val="1003"/>
        </w:numPr>
      </w:pPr>
      <w:r>
        <w:rPr>
          <w:b/>
          <w:bCs/>
        </w:rPr>
        <w:t xml:space="preserve">Śodhana</w:t>
      </w:r>
      <w:r>
        <w:t xml:space="preserve"> </w:t>
      </w:r>
      <w:r>
        <w:t xml:space="preserve">(pre-conditioning / purification)</w:t>
      </w:r>
    </w:p>
    <w:p>
      <w:pPr>
        <w:pStyle w:val="Compact"/>
        <w:numPr>
          <w:ilvl w:val="0"/>
          <w:numId w:val="1003"/>
        </w:numPr>
      </w:pPr>
      <w:r>
        <w:rPr>
          <w:b/>
          <w:bCs/>
        </w:rPr>
        <w:t xml:space="preserve">Bhāvanā / mardana / peṣaṇa</w:t>
      </w:r>
      <w:r>
        <w:t xml:space="preserve"> </w:t>
      </w:r>
      <w:r>
        <w:t xml:space="preserve">(wet trituration/levigation; often with plant juices/decoctions)</w:t>
      </w:r>
    </w:p>
    <w:p>
      <w:pPr>
        <w:pStyle w:val="Compact"/>
        <w:numPr>
          <w:ilvl w:val="0"/>
          <w:numId w:val="1003"/>
        </w:numPr>
      </w:pPr>
      <w:r>
        <w:rPr>
          <w:b/>
          <w:bCs/>
        </w:rPr>
        <w:t xml:space="preserve">Māraṇa / bhasmīkaraṇa</w:t>
      </w:r>
      <w:r>
        <w:t xml:space="preserve"> </w:t>
      </w:r>
      <w:r>
        <w:t xml:space="preserve">(incineration/calcination into bhasma form; often repeated)</w:t>
      </w:r>
    </w:p>
    <w:p>
      <w:pPr>
        <w:pStyle w:val="Compact"/>
        <w:numPr>
          <w:ilvl w:val="0"/>
          <w:numId w:val="1003"/>
        </w:numPr>
      </w:pPr>
      <w:r>
        <w:rPr>
          <w:b/>
          <w:bCs/>
        </w:rPr>
        <w:t xml:space="preserve">Puṭa</w:t>
      </w:r>
      <w:r>
        <w:t xml:space="preserve"> </w:t>
      </w:r>
      <w:r>
        <w:t xml:space="preserve">(a heat-cycle unit; the “dose” of heat in one cycle)</w:t>
      </w:r>
    </w:p>
    <w:p>
      <w:pPr>
        <w:pStyle w:val="Compact"/>
        <w:numPr>
          <w:ilvl w:val="0"/>
          <w:numId w:val="1003"/>
        </w:numPr>
      </w:pPr>
      <w:r>
        <w:t xml:space="preserve">Optional or material-specific steps like</w:t>
      </w:r>
      <w:r>
        <w:t xml:space="preserve"> </w:t>
      </w:r>
      <w:r>
        <w:rPr>
          <w:b/>
          <w:bCs/>
        </w:rPr>
        <w:t xml:space="preserve">jāraṇa</w:t>
      </w:r>
      <w:r>
        <w:t xml:space="preserve"> </w:t>
      </w:r>
      <w:r>
        <w:t xml:space="preserve">(roasting/brittling),</w:t>
      </w:r>
      <w:r>
        <w:t xml:space="preserve"> </w:t>
      </w:r>
      <w:r>
        <w:rPr>
          <w:b/>
          <w:bCs/>
        </w:rPr>
        <w:t xml:space="preserve">sampuṭīkaraṇa</w:t>
      </w:r>
      <w:r>
        <w:t xml:space="preserve"> </w:t>
      </w:r>
      <w:r>
        <w:t xml:space="preserve">(sealing), etc.</w:t>
      </w:r>
    </w:p>
    <w:p>
      <w:pPr>
        <w:pStyle w:val="FirstParagraph"/>
      </w:pPr>
      <w:r>
        <w:t xml:space="preserve">Even in modern lab studies that follow classical recipes, the workflow is operationally recognizable: e.g., a peer‑reviewed Praval (coral) bhasma study reports specific</w:t>
      </w:r>
      <w:r>
        <w:t xml:space="preserve"> </w:t>
      </w:r>
      <w:r>
        <w:rPr>
          <w:b/>
          <w:bCs/>
        </w:rPr>
        <w:t xml:space="preserve">classical preliminary tests</w:t>
      </w:r>
      <w:r>
        <w:t xml:space="preserve"> </w:t>
      </w:r>
      <w:r>
        <w:t xml:space="preserve">(nischandratva, rekhāpūrṇatva, varitaratvam, etc.), and shows phase transformation (raw CaCO₃ to CaO) plus particle size reduction with modern instruments.</w:t>
      </w:r>
      <w:r>
        <w:t xml:space="preserve"> </w:t>
      </w:r>
      <w:hyperlink r:id="rId28">
        <w:r>
          <w:rPr>
            <w:rStyle w:val="Hyperlink"/>
          </w:rPr>
          <w:t xml:space="preserve">[9]</w:t>
        </w:r>
      </w:hyperlink>
    </w:p>
    <w:p>
      <w:pPr>
        <w:pStyle w:val="BodyText"/>
      </w:pPr>
      <w:r>
        <w:t xml:space="preserve">A peer‑reviewed Lauha (iron) bhasma standardization paper provides a concrete śodhana-to-māraṇa example pipeline: iron turnings are sequentially quenched multiple times in defined media (e.g., sesame oil, buttermilk, cow urine, sour gruel,</w:t>
      </w:r>
      <w:r>
        <w:t xml:space="preserve"> </w:t>
      </w:r>
      <w:r>
        <w:rPr>
          <w:i/>
          <w:iCs/>
        </w:rPr>
        <w:t xml:space="preserve">Dolichos biflorus</w:t>
      </w:r>
      <w:r>
        <w:t xml:space="preserve"> </w:t>
      </w:r>
      <w:r>
        <w:t xml:space="preserve">decoction, Triphalā decoction), then mixed with sulphur, triturated with</w:t>
      </w:r>
      <w:r>
        <w:t xml:space="preserve"> </w:t>
      </w:r>
      <w:r>
        <w:rPr>
          <w:b/>
          <w:bCs/>
        </w:rPr>
        <w:t xml:space="preserve">Aloe</w:t>
      </w:r>
      <w:r>
        <w:t xml:space="preserve"> </w:t>
      </w:r>
      <w:r>
        <w:t xml:space="preserve">pulp, and incinerated until “desired characters” are achieved—illustrating how</w:t>
      </w:r>
      <w:r>
        <w:t xml:space="preserve"> </w:t>
      </w:r>
      <w:r>
        <w:rPr>
          <w:b/>
          <w:bCs/>
        </w:rPr>
        <w:t xml:space="preserve">plant-derived media</w:t>
      </w:r>
      <w:r>
        <w:t xml:space="preserve"> </w:t>
      </w:r>
      <w:r>
        <w:t xml:space="preserve">are hard-coded into metal transformation.</w:t>
      </w:r>
      <w:r>
        <w:t xml:space="preserve"> </w:t>
      </w:r>
      <w:hyperlink r:id="rId34">
        <w:r>
          <w:rPr>
            <w:rStyle w:val="Hyperlink"/>
          </w:rPr>
          <w:t xml:space="preserve">[14]</w:t>
        </w:r>
      </w:hyperlink>
    </w:p>
    <w:bookmarkEnd w:id="35"/>
    <w:bookmarkStart w:id="36" w:name="X17d4e222de80af7bb15e7eee31dde839a6fbd72"/>
    <w:p>
      <w:pPr>
        <w:pStyle w:val="Heading3"/>
      </w:pPr>
      <w:r>
        <w:t xml:space="preserve">Process classes that matter as reusable “operators”</w:t>
      </w:r>
    </w:p>
    <w:p>
      <w:pPr>
        <w:pStyle w:val="FirstParagraph"/>
      </w:pPr>
      <w:r>
        <w:t xml:space="preserve">From a rasaśāstra perspective, several “dosage-form processes” become first-class operators:</w:t>
      </w:r>
    </w:p>
    <w:p>
      <w:pPr>
        <w:pStyle w:val="BodyText"/>
      </w:pPr>
      <w:r>
        <w:rPr>
          <w:b/>
          <w:bCs/>
        </w:rPr>
        <w:t xml:space="preserve">Kajjalī formation</w:t>
      </w:r>
      <w:r>
        <w:br/>
      </w:r>
      <w:r>
        <w:t xml:space="preserve">Kajjalī is defined as a black powder formed by grinding/pulverizing mercury with sulphur (and sometimes additional metals/minerals) until the mixture is homogenous and collyrium-fine; it is explicitly the starting material for further mercurial processing in many lineages.</w:t>
      </w:r>
      <w:r>
        <w:t xml:space="preserve"> </w:t>
      </w:r>
      <w:hyperlink r:id="rId26">
        <w:r>
          <w:rPr>
            <w:rStyle w:val="Hyperlink"/>
          </w:rPr>
          <w:t xml:space="preserve">[15]</w:t>
        </w:r>
      </w:hyperlink>
    </w:p>
    <w:p>
      <w:pPr>
        <w:pStyle w:val="BodyText"/>
      </w:pPr>
      <w:r>
        <w:rPr>
          <w:b/>
          <w:bCs/>
        </w:rPr>
        <w:t xml:space="preserve">Kupīpakva rasa (sealed-flask mercurials)</w:t>
      </w:r>
      <w:r>
        <w:br/>
      </w:r>
      <w:r>
        <w:t xml:space="preserve">Kupīpakva preparations are defined as mercurial drugs produced by heating kajjalī under controlled conditions in a long-necked glass flask (kupī) or sometimes in crucibles (mūṣā, etc.).</w:t>
      </w:r>
      <w:r>
        <w:t xml:space="preserve"> </w:t>
      </w:r>
      <w:hyperlink r:id="rId26">
        <w:r>
          <w:rPr>
            <w:rStyle w:val="Hyperlink"/>
          </w:rPr>
          <w:t xml:space="preserve">[16]</w:t>
        </w:r>
      </w:hyperlink>
    </w:p>
    <w:p>
      <w:pPr>
        <w:pStyle w:val="BodyText"/>
      </w:pPr>
      <w:r>
        <w:rPr>
          <w:b/>
          <w:bCs/>
        </w:rPr>
        <w:t xml:space="preserve">Parpaṭī (flake form)</w:t>
      </w:r>
      <w:r>
        <w:br/>
      </w:r>
      <w:r>
        <w:t xml:space="preserve">Parpaṭī is described as a thin flat sheet formed by pouring a liquefied mass (often kajjalī-derived) between leaves and pressing evenly to yield the flake.</w:t>
      </w:r>
      <w:r>
        <w:t xml:space="preserve"> </w:t>
      </w:r>
      <w:hyperlink r:id="rId26">
        <w:r>
          <w:rPr>
            <w:rStyle w:val="Hyperlink"/>
          </w:rPr>
          <w:t xml:space="preserve">[16]</w:t>
        </w:r>
      </w:hyperlink>
    </w:p>
    <w:p>
      <w:pPr>
        <w:pStyle w:val="BodyText"/>
      </w:pPr>
      <w:r>
        <w:t xml:space="preserve">These matter for Atlas because they allow a process graph to branch into families:</w:t>
      </w:r>
      <w:r>
        <w:t xml:space="preserve"> </w:t>
      </w:r>
      <w:r>
        <w:rPr>
          <w:b/>
          <w:bCs/>
        </w:rPr>
        <w:t xml:space="preserve">bhasma</w:t>
      </w:r>
      <w:r>
        <w:t xml:space="preserve">,</w:t>
      </w:r>
      <w:r>
        <w:t xml:space="preserve"> </w:t>
      </w:r>
      <w:r>
        <w:rPr>
          <w:b/>
          <w:bCs/>
        </w:rPr>
        <w:t xml:space="preserve">kupīpakva</w:t>
      </w:r>
      <w:r>
        <w:t xml:space="preserve">,</w:t>
      </w:r>
      <w:r>
        <w:t xml:space="preserve"> </w:t>
      </w:r>
      <w:r>
        <w:rPr>
          <w:b/>
          <w:bCs/>
        </w:rPr>
        <w:t xml:space="preserve">parpaṭī</w:t>
      </w:r>
      <w:r>
        <w:t xml:space="preserve">, (and in broader rasa literature, additional families like pottalī, piṣṭi, satvāpātana, etc.—not all of which are in the cited excerpts, but commonly used in curricula).</w:t>
      </w:r>
    </w:p>
    <w:bookmarkEnd w:id="36"/>
    <w:bookmarkStart w:id="38" w:name="X3637c389b235bdd11efa9916cce1046867ae36f"/>
    <w:p>
      <w:pPr>
        <w:pStyle w:val="Heading3"/>
      </w:pPr>
      <w:r>
        <w:t xml:space="preserve">Quality-control and “stop conditions” for bhasma transformation</w:t>
      </w:r>
    </w:p>
    <w:p>
      <w:pPr>
        <w:pStyle w:val="FirstParagraph"/>
      </w:pPr>
      <w:r>
        <w:t xml:space="preserve">Classical bhasma workflows emphasize “completion criteria,” often represented as parīkṣā tests. Modern peer-reviewed work operationalizes these in two ways:</w:t>
      </w:r>
    </w:p>
    <w:p>
      <w:pPr>
        <w:pStyle w:val="Compact"/>
        <w:numPr>
          <w:ilvl w:val="0"/>
          <w:numId w:val="1004"/>
        </w:numPr>
      </w:pPr>
      <w:r>
        <w:t xml:space="preserve">As explicit test lists used before/alongside modern instrumentation (e.g., Praval bhasma uses nischandratva, rekhāpūrṇatvam, varitaratvam, nisvādutvam, and “amla pariksha”).</w:t>
      </w:r>
      <w:r>
        <w:t xml:space="preserve"> </w:t>
      </w:r>
      <w:hyperlink r:id="rId28">
        <w:r>
          <w:rPr>
            <w:rStyle w:val="Hyperlink"/>
          </w:rPr>
          <w:t xml:space="preserve">[9]</w:t>
        </w:r>
      </w:hyperlink>
    </w:p>
    <w:p>
      <w:pPr>
        <w:pStyle w:val="Compact"/>
        <w:numPr>
          <w:ilvl w:val="0"/>
          <w:numId w:val="1004"/>
        </w:numPr>
      </w:pPr>
      <w:r>
        <w:t xml:space="preserve">As interpretive mappings of stability/irreversibility (e.g., a Journal of Ayurveda and Integrative Medicine study treats the rasashastra notions of</w:t>
      </w:r>
      <w:r>
        <w:t xml:space="preserve"> </w:t>
      </w:r>
      <w:r>
        <w:rPr>
          <w:b/>
          <w:bCs/>
        </w:rPr>
        <w:t xml:space="preserve">niruttha</w:t>
      </w:r>
      <w:r>
        <w:t xml:space="preserve"> </w:t>
      </w:r>
      <w:r>
        <w:t xml:space="preserve">and</w:t>
      </w:r>
      <w:r>
        <w:t xml:space="preserve"> </w:t>
      </w:r>
      <w:r>
        <w:rPr>
          <w:b/>
          <w:bCs/>
        </w:rPr>
        <w:t xml:space="preserve">apunarbhava</w:t>
      </w:r>
      <w:r>
        <w:t xml:space="preserve"> </w:t>
      </w:r>
      <w:r>
        <w:t xml:space="preserve">as describing stability/irreversibility, while also characterizing Au at nanoscale and reporting “absence of Hg” after production from an Au–Hg–lemon juice amalgamation plus sulphur and repeated incinerations).</w:t>
      </w:r>
      <w:r>
        <w:t xml:space="preserve"> </w:t>
      </w:r>
      <w:hyperlink r:id="rId37">
        <w:r>
          <w:rPr>
            <w:rStyle w:val="Hyperlink"/>
          </w:rPr>
          <w:t xml:space="preserve">[17]</w:t>
        </w:r>
      </w:hyperlink>
    </w:p>
    <w:p>
      <w:pPr>
        <w:pStyle w:val="FirstParagraph"/>
      </w:pPr>
      <w:r>
        <w:t xml:space="preserve">For Atlas resolver logic, these tests function like</w:t>
      </w:r>
      <w:r>
        <w:t xml:space="preserve"> </w:t>
      </w:r>
      <w:r>
        <w:rPr>
          <w:b/>
          <w:bCs/>
        </w:rPr>
        <w:t xml:space="preserve">assertions</w:t>
      </w:r>
      <w:r>
        <w:t xml:space="preserve"> </w:t>
      </w:r>
      <w:r>
        <w:t xml:space="preserve">and</w:t>
      </w:r>
      <w:r>
        <w:t xml:space="preserve"> </w:t>
      </w:r>
      <w:r>
        <w:rPr>
          <w:b/>
          <w:bCs/>
        </w:rPr>
        <w:t xml:space="preserve">stop rules</w:t>
      </w:r>
      <w:r>
        <w:t xml:space="preserve"> </w:t>
      </w:r>
      <w:r>
        <w:t xml:space="preserve">(“do not accept as ‘complete bhasma’ until tests pass”).</w:t>
      </w:r>
    </w:p>
    <w:bookmarkEnd w:id="38"/>
    <w:bookmarkEnd w:id="39"/>
    <w:bookmarkStart w:id="42" w:name="X2a6722d95ed50ea77263914bf79a283282d0862"/>
    <w:p>
      <w:pPr>
        <w:pStyle w:val="Heading2"/>
      </w:pPr>
      <w:r>
        <w:t xml:space="preserve">Body and dhātu implications in claim language</w:t>
      </w:r>
    </w:p>
    <w:bookmarkStart w:id="40" w:name="how-rasaśāstra-claims-attach-to-the-body"/>
    <w:p>
      <w:pPr>
        <w:pStyle w:val="Heading3"/>
      </w:pPr>
      <w:r>
        <w:t xml:space="preserve">How rasaśāstra claims attach to the body</w:t>
      </w:r>
    </w:p>
    <w:p>
      <w:pPr>
        <w:pStyle w:val="FirstParagraph"/>
      </w:pPr>
      <w:r>
        <w:t xml:space="preserve">A central conceptual point: rasaśāstra substances are treated not only as “materials,” but as agents whose</w:t>
      </w:r>
      <w:r>
        <w:t xml:space="preserve"> </w:t>
      </w:r>
      <w:r>
        <w:rPr>
          <w:b/>
          <w:bCs/>
        </w:rPr>
        <w:t xml:space="preserve">pharmacodynamic identity</w:t>
      </w:r>
      <w:r>
        <w:t xml:space="preserve"> </w:t>
      </w:r>
      <w:r>
        <w:t xml:space="preserve">is expressed using Ayurvedic predicates such as:</w:t>
      </w:r>
    </w:p>
    <w:p>
      <w:pPr>
        <w:pStyle w:val="Compact"/>
        <w:numPr>
          <w:ilvl w:val="0"/>
          <w:numId w:val="1005"/>
        </w:numPr>
      </w:pPr>
      <w:r>
        <w:rPr>
          <w:b/>
          <w:bCs/>
        </w:rPr>
        <w:t xml:space="preserve">Doṣa effects</w:t>
      </w:r>
      <w:r>
        <w:t xml:space="preserve"> </w:t>
      </w:r>
      <w:r>
        <w:t xml:space="preserve">(vāta/pitta/kapha pacification or aggravation)</w:t>
      </w:r>
    </w:p>
    <w:p>
      <w:pPr>
        <w:pStyle w:val="Compact"/>
        <w:numPr>
          <w:ilvl w:val="0"/>
          <w:numId w:val="1005"/>
        </w:numPr>
      </w:pPr>
      <w:r>
        <w:rPr>
          <w:b/>
          <w:bCs/>
        </w:rPr>
        <w:t xml:space="preserve">Rasāyana</w:t>
      </w:r>
      <w:r>
        <w:t xml:space="preserve"> </w:t>
      </w:r>
      <w:r>
        <w:t xml:space="preserve">framing (rejuvenative / life-promoting)</w:t>
      </w:r>
    </w:p>
    <w:p>
      <w:pPr>
        <w:pStyle w:val="Compact"/>
        <w:numPr>
          <w:ilvl w:val="0"/>
          <w:numId w:val="1005"/>
        </w:numPr>
      </w:pPr>
      <w:r>
        <w:rPr>
          <w:b/>
          <w:bCs/>
        </w:rPr>
        <w:t xml:space="preserve">Organ/tissue targets</w:t>
      </w:r>
      <w:r>
        <w:t xml:space="preserve"> </w:t>
      </w:r>
      <w:r>
        <w:t xml:space="preserve">(often expressed in classical disease categories; sometimes mapped to organs in modern interpretations)</w:t>
      </w:r>
    </w:p>
    <w:p>
      <w:pPr>
        <w:pStyle w:val="FirstParagraph"/>
      </w:pPr>
      <w:r>
        <w:t xml:space="preserve">One peer‑reviewed overview explicitly notes that one common classification perspective is: rasa-drug classes named</w:t>
      </w:r>
      <w:r>
        <w:t xml:space="preserve"> </w:t>
      </w:r>
      <w:r>
        <w:rPr>
          <w:b/>
          <w:bCs/>
        </w:rPr>
        <w:t xml:space="preserve">rasa, dhātu, ratna, viṣa</w:t>
      </w:r>
      <w:r>
        <w:t xml:space="preserve">, and that the</w:t>
      </w:r>
      <w:r>
        <w:t xml:space="preserve"> </w:t>
      </w:r>
      <w:r>
        <w:rPr>
          <w:b/>
          <w:bCs/>
        </w:rPr>
        <w:t xml:space="preserve">rasa</w:t>
      </w:r>
      <w:r>
        <w:t xml:space="preserve"> </w:t>
      </w:r>
      <w:r>
        <w:t xml:space="preserve">class is associated with</w:t>
      </w:r>
      <w:r>
        <w:t xml:space="preserve"> </w:t>
      </w:r>
      <w:r>
        <w:rPr>
          <w:b/>
          <w:bCs/>
        </w:rPr>
        <w:t xml:space="preserve">rasāyana</w:t>
      </w:r>
      <w:r>
        <w:t xml:space="preserve"> </w:t>
      </w:r>
      <w:r>
        <w:t xml:space="preserve">effects (the authors gloss this as “adaptogenic effect,” which should be tracked as a modern interpretive gloss).</w:t>
      </w:r>
      <w:r>
        <w:t xml:space="preserve"> </w:t>
      </w:r>
      <w:hyperlink r:id="rId26">
        <w:r>
          <w:rPr>
            <w:rStyle w:val="Hyperlink"/>
          </w:rPr>
          <w:t xml:space="preserve">[6]</w:t>
        </w:r>
      </w:hyperlink>
    </w:p>
    <w:bookmarkEnd w:id="40"/>
    <w:bookmarkStart w:id="41" w:name="Xaf9a5811eb44071ed79649336aa787bc56054bc"/>
    <w:p>
      <w:pPr>
        <w:pStyle w:val="Heading3"/>
      </w:pPr>
      <w:r>
        <w:t xml:space="preserve">Example: Lauha bhasma as a “dhātu (metal) → dhātu (tissue)” bridge</w:t>
      </w:r>
    </w:p>
    <w:p>
      <w:pPr>
        <w:pStyle w:val="FirstParagraph"/>
      </w:pPr>
      <w:r>
        <w:t xml:space="preserve">A recent peer‑reviewed Lauha bhasma standardization paper provides a dense cluster of clinically-relevant classical predicates that Atlas should be able to extract and tag:</w:t>
      </w:r>
    </w:p>
    <w:p>
      <w:pPr>
        <w:pStyle w:val="Compact"/>
        <w:numPr>
          <w:ilvl w:val="0"/>
          <w:numId w:val="1006"/>
        </w:numPr>
      </w:pPr>
      <w:r>
        <w:t xml:space="preserve">It places Lauha in</w:t>
      </w:r>
      <w:r>
        <w:t xml:space="preserve"> </w:t>
      </w:r>
      <w:r>
        <w:rPr>
          <w:b/>
          <w:bCs/>
        </w:rPr>
        <w:t xml:space="preserve">dhātu varga</w:t>
      </w:r>
      <w:r>
        <w:t xml:space="preserve"> </w:t>
      </w:r>
      <w:r>
        <w:t xml:space="preserve">(metal group), including subdivisions of Lauha types used medicinally.</w:t>
      </w:r>
      <w:r>
        <w:t xml:space="preserve"> </w:t>
      </w:r>
      <w:hyperlink r:id="rId34">
        <w:r>
          <w:rPr>
            <w:rStyle w:val="Hyperlink"/>
          </w:rPr>
          <w:t xml:space="preserve">[18]</w:t>
        </w:r>
      </w:hyperlink>
    </w:p>
    <w:p>
      <w:pPr>
        <w:pStyle w:val="Compact"/>
        <w:numPr>
          <w:ilvl w:val="0"/>
          <w:numId w:val="1006"/>
        </w:numPr>
      </w:pPr>
      <w:r>
        <w:t xml:space="preserve">It lists classical attribute claims (tastes; potency; “chakshushya” eye-tonic; “lekhana” scraping; “vayasya” anti-aging; kapha–pitta pacifying).</w:t>
      </w:r>
      <w:r>
        <w:t xml:space="preserve"> </w:t>
      </w:r>
      <w:hyperlink r:id="rId34">
        <w:r>
          <w:rPr>
            <w:rStyle w:val="Hyperlink"/>
          </w:rPr>
          <w:t xml:space="preserve">[18]</w:t>
        </w:r>
      </w:hyperlink>
    </w:p>
    <w:p>
      <w:pPr>
        <w:pStyle w:val="Compact"/>
        <w:numPr>
          <w:ilvl w:val="0"/>
          <w:numId w:val="1006"/>
        </w:numPr>
      </w:pPr>
      <w:r>
        <w:t xml:space="preserve">It lists classical indication clusters (e.g., pandu/anemia; shotha/inflammation; arsha/hemorrhoids; etc.).</w:t>
      </w:r>
      <w:r>
        <w:t xml:space="preserve"> </w:t>
      </w:r>
      <w:hyperlink r:id="rId34">
        <w:r>
          <w:rPr>
            <w:rStyle w:val="Hyperlink"/>
          </w:rPr>
          <w:t xml:space="preserve">[18]</w:t>
        </w:r>
      </w:hyperlink>
    </w:p>
    <w:p>
      <w:pPr>
        <w:pStyle w:val="Compact"/>
        <w:numPr>
          <w:ilvl w:val="0"/>
          <w:numId w:val="1006"/>
        </w:numPr>
      </w:pPr>
      <w:r>
        <w:t xml:space="preserve">It adds an explicit</w:t>
      </w:r>
      <w:r>
        <w:t xml:space="preserve"> </w:t>
      </w:r>
      <w:r>
        <w:rPr>
          <w:b/>
          <w:bCs/>
        </w:rPr>
        <w:t xml:space="preserve">preparation-dependency safety claim</w:t>
      </w:r>
      <w:r>
        <w:t xml:space="preserve">: if iron is not properly purified/incinerated as in classical texts, it can cause severe or life-threatening conditions, including anemia, skin disorders, cardiac disorders, renal calculus, and even death.</w:t>
      </w:r>
      <w:r>
        <w:t xml:space="preserve"> </w:t>
      </w:r>
      <w:hyperlink r:id="rId34">
        <w:r>
          <w:rPr>
            <w:rStyle w:val="Hyperlink"/>
          </w:rPr>
          <w:t xml:space="preserve">[19]</w:t>
        </w:r>
      </w:hyperlink>
    </w:p>
    <w:p>
      <w:pPr>
        <w:pStyle w:val="FirstParagraph"/>
      </w:pPr>
      <w:r>
        <w:t xml:space="preserve">From an Atlas design standpoint, the most important part is not whether each therapeutic claim is “true,” but that classical claims are</w:t>
      </w:r>
      <w:r>
        <w:t xml:space="preserve"> </w:t>
      </w:r>
      <w:r>
        <w:rPr>
          <w:b/>
          <w:bCs/>
        </w:rPr>
        <w:t xml:space="preserve">conditional</w:t>
      </w:r>
      <w:r>
        <w:t xml:space="preserve">: they frequently depend on correct śodhana/māraṇa and appropriate prescribing.</w:t>
      </w:r>
    </w:p>
    <w:bookmarkEnd w:id="41"/>
    <w:bookmarkEnd w:id="42"/>
    <w:bookmarkStart w:id="47" w:name="cosmological-and-correspondential-layer"/>
    <w:p>
      <w:pPr>
        <w:pStyle w:val="Heading2"/>
      </w:pPr>
      <w:r>
        <w:t xml:space="preserve">Cosmological and correspondential layer</w:t>
      </w:r>
    </w:p>
    <w:p>
      <w:pPr>
        <w:pStyle w:val="FirstParagraph"/>
      </w:pPr>
      <w:r>
        <w:t xml:space="preserve">This layer includes two different kinds of “non‑biomedical” correspondences that must not be conflated:</w:t>
      </w:r>
    </w:p>
    <w:bookmarkStart w:id="44" w:name="X3979cf282f9fb06ff757547f569e968174e8c6a"/>
    <w:p>
      <w:pPr>
        <w:pStyle w:val="Heading3"/>
      </w:pPr>
      <w:r>
        <w:t xml:space="preserve">Alchemical–soteriological frames inside rasa traditions</w:t>
      </w:r>
    </w:p>
    <w:p>
      <w:pPr>
        <w:pStyle w:val="FirstParagraph"/>
      </w:pPr>
      <w:r>
        <w:t xml:space="preserve">Even within medical literature, mercury and metal processing traditions often carry a “perfected substance” imaginary and claims of extraordinary potency. A scholarly historical overview of mercury in Sanskrit medical literature notes that, by the sixteenth century, processed mercury became widely used and was considered extremely potent and safe within the tradition’s own interpretive frame.</w:t>
      </w:r>
      <w:r>
        <w:t xml:space="preserve"> </w:t>
      </w:r>
      <w:hyperlink r:id="rId43">
        <w:r>
          <w:rPr>
            <w:rStyle w:val="Hyperlink"/>
          </w:rPr>
          <w:t xml:space="preserve">[20]</w:t>
        </w:r>
      </w:hyperlink>
      <w:r>
        <w:br/>
      </w:r>
      <w:r>
        <w:t xml:space="preserve">This belongs to “later tradition / commentarial expansion” rather than to early Samhitā-era Ayurveda, and it needs strong provenance tagging because claims here can be ontologically different (therapeutic vs alchemical vs spiritual).</w:t>
      </w:r>
    </w:p>
    <w:bookmarkEnd w:id="44"/>
    <w:bookmarkStart w:id="46" w:name="Xf48f7d30a121237c9d25c7725704207f9e86646"/>
    <w:p>
      <w:pPr>
        <w:pStyle w:val="Heading3"/>
      </w:pPr>
      <w:r>
        <w:t xml:space="preserve">Graha/material correspondences where explicitly attested</w:t>
      </w:r>
    </w:p>
    <w:p>
      <w:pPr>
        <w:pStyle w:val="FirstParagraph"/>
      </w:pPr>
      <w:r>
        <w:t xml:space="preserve">Planetary correspondences often come through</w:t>
      </w:r>
      <w:r>
        <w:t xml:space="preserve"> </w:t>
      </w:r>
      <w:r>
        <w:rPr>
          <w:b/>
          <w:bCs/>
        </w:rPr>
        <w:t xml:space="preserve">Jyotiṣa</w:t>
      </w:r>
      <w:r>
        <w:t xml:space="preserve"> </w:t>
      </w:r>
      <w:r>
        <w:t xml:space="preserve">(astrology) and ritual remedy traditions rather than core Ayurveda. However, they are still often “adjacent” in real-world practice, and your prompt asks for them “where attested.”</w:t>
      </w:r>
    </w:p>
    <w:p>
      <w:pPr>
        <w:pStyle w:val="BodyText"/>
      </w:pPr>
      <w:r>
        <w:t xml:space="preserve">A clear attestation appears in a Brihat Parāśara Horā Śāstra translation: in a chapter on remedial measures for the malevolence of grahas, it specifies that idols of the nine grahas should be made of particular substances (e.g., Sūrya in copper, Candra in rock crystal, Budha and Guru in gold, Śukra in silver, Śani in iron, etc.).</w:t>
      </w:r>
      <w:r>
        <w:t xml:space="preserve"> </w:t>
      </w:r>
      <w:hyperlink r:id="rId45">
        <w:r>
          <w:rPr>
            <w:rStyle w:val="Hyperlink"/>
          </w:rPr>
          <w:t xml:space="preserve">[21]</w:t>
        </w:r>
      </w:hyperlink>
      <w:r>
        <w:br/>
      </w:r>
      <w:r>
        <w:t xml:space="preserve">For Atlas, this should be treated as a</w:t>
      </w:r>
      <w:r>
        <w:t xml:space="preserve"> </w:t>
      </w:r>
      <w:r>
        <w:rPr>
          <w:b/>
          <w:bCs/>
        </w:rPr>
        <w:t xml:space="preserve">correspondence sublayer</w:t>
      </w:r>
      <w:r>
        <w:t xml:space="preserve"> </w:t>
      </w:r>
      <w:r>
        <w:t xml:space="preserve">(“graha → material medium”) rather than as a medical pharmacology claim.</w:t>
      </w:r>
    </w:p>
    <w:bookmarkEnd w:id="46"/>
    <w:bookmarkEnd w:id="47"/>
    <w:bookmarkStart w:id="53" w:name="X36381e3212ee7bb37dfd50f8c8fde215037ad84"/>
    <w:p>
      <w:pPr>
        <w:pStyle w:val="Heading2"/>
      </w:pPr>
      <w:r>
        <w:t xml:space="preserve">Safety, standardization, and modern interpretive overlays</w:t>
      </w:r>
    </w:p>
    <w:bookmarkStart w:id="48" w:name="regulatorystandardization-dependencies"/>
    <w:p>
      <w:pPr>
        <w:pStyle w:val="Heading3"/>
      </w:pPr>
      <w:r>
        <w:t xml:space="preserve">Regulatory/standardization dependencies</w:t>
      </w:r>
    </w:p>
    <w:p>
      <w:pPr>
        <w:pStyle w:val="FirstParagraph"/>
      </w:pPr>
      <w:r>
        <w:t xml:space="preserve">The API explicitly frames itself as a legal standards corpus, and includes safety-relevant requirements such as compliance with</w:t>
      </w:r>
      <w:r>
        <w:t xml:space="preserve"> </w:t>
      </w:r>
      <w:r>
        <w:rPr>
          <w:b/>
          <w:bCs/>
        </w:rPr>
        <w:t xml:space="preserve">heavy metal limits</w:t>
      </w:r>
      <w:r>
        <w:t xml:space="preserve"> </w:t>
      </w:r>
      <w:r>
        <w:t xml:space="preserve">(and where absent, compliance with WHO quality control limits), plus broader purity/authentication expectations.</w:t>
      </w:r>
      <w:r>
        <w:t xml:space="preserve"> </w:t>
      </w:r>
      <w:hyperlink r:id="rId21">
        <w:r>
          <w:rPr>
            <w:rStyle w:val="Hyperlink"/>
          </w:rPr>
          <w:t xml:space="preserve">[1]</w:t>
        </w:r>
      </w:hyperlink>
      <w:r>
        <w:br/>
      </w:r>
      <w:r>
        <w:t xml:space="preserve">API Part‑I Vol‑VII also bakes “Heavy metals” and “Śodhana” into the monograph’s official standards headings for mineral/metal raw drugs.</w:t>
      </w:r>
      <w:r>
        <w:t xml:space="preserve"> </w:t>
      </w:r>
      <w:hyperlink r:id="rId22">
        <w:r>
          <w:rPr>
            <w:rStyle w:val="Hyperlink"/>
          </w:rPr>
          <w:t xml:space="preserve">[13]</w:t>
        </w:r>
      </w:hyperlink>
      <w:r>
        <w:br/>
      </w:r>
      <w:r>
        <w:t xml:space="preserve">API Part‑II adds that formulation monographs include composition, preparation directions, and additional requirements such as heavy metal and microbial tests.</w:t>
      </w:r>
      <w:r>
        <w:t xml:space="preserve"> </w:t>
      </w:r>
      <w:hyperlink r:id="rId23">
        <w:r>
          <w:rPr>
            <w:rStyle w:val="Hyperlink"/>
          </w:rPr>
          <w:t xml:space="preserve">[22]</w:t>
        </w:r>
      </w:hyperlink>
    </w:p>
    <w:p>
      <w:pPr>
        <w:pStyle w:val="BodyText"/>
      </w:pPr>
      <w:r>
        <w:t xml:space="preserve">For Atlas, this is the strongest foundation for operationalization because it provides a normative “what must be true” envelope around preparations.</w:t>
      </w:r>
    </w:p>
    <w:bookmarkEnd w:id="48"/>
    <w:bookmarkStart w:id="51" w:name="X096b5db835e5549886026062aa7253fa2593bb4"/>
    <w:p>
      <w:pPr>
        <w:pStyle w:val="Heading3"/>
      </w:pPr>
      <w:r>
        <w:t xml:space="preserve">Modern toxicity findings and public health risk signals</w:t>
      </w:r>
    </w:p>
    <w:p>
      <w:pPr>
        <w:pStyle w:val="FirstParagraph"/>
      </w:pPr>
      <w:r>
        <w:t xml:space="preserve">High-quality biomedical sources document that some marketed Ayurvedic products can contain toxic metals at concerning levels, especially when sold outside traditional clinical supervision contexts.</w:t>
      </w:r>
    </w:p>
    <w:p>
      <w:pPr>
        <w:pStyle w:val="BodyText"/>
      </w:pPr>
      <w:r>
        <w:t xml:space="preserve">A landmark JAMA study of Ayurvedic medicines sold via the Internet found that among analyzed products, the prevalence of detectable lead/mercury/arsenic was</w:t>
      </w:r>
      <w:r>
        <w:t xml:space="preserve"> </w:t>
      </w:r>
      <w:r>
        <w:rPr>
          <w:b/>
          <w:bCs/>
        </w:rPr>
        <w:t xml:space="preserve">20.7%</w:t>
      </w:r>
      <w:r>
        <w:t xml:space="preserve">, and that rasaśāstra products had higher prevalence than non‑rasa products; it also notes that more than 80 cases of lead poisoning associated with Ayurvedic medicines had been reported since 1978.</w:t>
      </w:r>
      <w:r>
        <w:t xml:space="preserve"> </w:t>
      </w:r>
      <w:hyperlink r:id="rId49">
        <w:r>
          <w:rPr>
            <w:rStyle w:val="Hyperlink"/>
          </w:rPr>
          <w:t xml:space="preserve">[23]</w:t>
        </w:r>
      </w:hyperlink>
    </w:p>
    <w:p>
      <w:pPr>
        <w:pStyle w:val="BodyText"/>
      </w:pPr>
      <w:r>
        <w:t xml:space="preserve">The U.S. FDA (content current Dec 2, 2025) warns consumers that using unapproved Ayurvedic products with harmful heavy metals may cause heavy metal poisoning (with symptoms including kidney injury, neurologic symptoms, and GI symptoms), and states that there are no FDA‑approved Ayurvedic products (in the U.S. drug-approval sense).</w:t>
      </w:r>
      <w:r>
        <w:t xml:space="preserve"> </w:t>
      </w:r>
      <w:hyperlink r:id="rId50">
        <w:r>
          <w:rPr>
            <w:rStyle w:val="Hyperlink"/>
          </w:rPr>
          <w:t xml:space="preserve">[24]</w:t>
        </w:r>
      </w:hyperlink>
    </w:p>
    <w:p>
      <w:pPr>
        <w:pStyle w:val="BodyText"/>
      </w:pPr>
      <w:r>
        <w:t xml:space="preserve">A scholarly analysis of toxicity controversies over bhasmas (Asian Medicine, free access) emphasizes that debate is shaped by differences in epistemologies and by regulatory/manufacturing regimes; it explicitly distinguishes “classical” formulations from “proprietary/patent” products and argues that overgeneralizing from proprietary products to Ayurveda as a whole can be flawed.</w:t>
      </w:r>
      <w:r>
        <w:t xml:space="preserve"> </w:t>
      </w:r>
      <w:hyperlink r:id="rId29">
        <w:r>
          <w:rPr>
            <w:rStyle w:val="Hyperlink"/>
          </w:rPr>
          <w:t xml:space="preserve">[10]</w:t>
        </w:r>
      </w:hyperlink>
    </w:p>
    <w:bookmarkEnd w:id="51"/>
    <w:bookmarkStart w:id="52" w:name="Xcb9a4ecf423f940194e9fc11c3272272f1eca8c"/>
    <w:p>
      <w:pPr>
        <w:pStyle w:val="Heading3"/>
      </w:pPr>
      <w:r>
        <w:t xml:space="preserve">“Nanomedicine” as a modern overlay (handle carefully)</w:t>
      </w:r>
    </w:p>
    <w:p>
      <w:pPr>
        <w:pStyle w:val="FirstParagraph"/>
      </w:pPr>
      <w:r>
        <w:t xml:space="preserve">Several peer‑reviewed papers argue that bhasma processing can yield nano-/micro-structured materials and interpret classical tests through that lens. For instance, a Journal of Ayurveda and Integrative Medicine study characterizes swarnabhasma as nanoscale gold and interprets parts of rasashastra stability language (niruttha/apunarbhava) through chemical stability/irreversibility, while also reporting absence of mercury after preparation using Au–Hg amalgamation plus lemon juice and sulphur.</w:t>
      </w:r>
      <w:r>
        <w:t xml:space="preserve"> </w:t>
      </w:r>
      <w:hyperlink r:id="rId37">
        <w:r>
          <w:rPr>
            <w:rStyle w:val="Hyperlink"/>
          </w:rPr>
          <w:t xml:space="preserve">[17]</w:t>
        </w:r>
      </w:hyperlink>
      <w:r>
        <w:br/>
      </w:r>
      <w:r>
        <w:t xml:space="preserve">Similarly, Praval bhasma characterization uses both classical tests and modern phase/particle measurements.</w:t>
      </w:r>
      <w:r>
        <w:t xml:space="preserve"> </w:t>
      </w:r>
      <w:hyperlink r:id="rId28">
        <w:r>
          <w:rPr>
            <w:rStyle w:val="Hyperlink"/>
          </w:rPr>
          <w:t xml:space="preserve">[9]</w:t>
        </w:r>
      </w:hyperlink>
    </w:p>
    <w:p>
      <w:pPr>
        <w:pStyle w:val="BodyText"/>
      </w:pPr>
      <w:r>
        <w:t xml:space="preserve">For Atlas: treat “nano” language as</w:t>
      </w:r>
      <w:r>
        <w:t xml:space="preserve"> </w:t>
      </w:r>
      <w:r>
        <w:rPr>
          <w:b/>
          <w:bCs/>
        </w:rPr>
        <w:t xml:space="preserve">modern interpretive overlay</w:t>
      </w:r>
      <w:r>
        <w:t xml:space="preserve">, not as canonical doctrine, unless directly attested in classical sources (which it generally is not).</w:t>
      </w:r>
    </w:p>
    <w:bookmarkEnd w:id="52"/>
    <w:bookmarkEnd w:id="53"/>
    <w:bookmarkStart w:id="54" w:name="atlas-implications-and-deliverables"/>
    <w:p>
      <w:pPr>
        <w:pStyle w:val="Heading2"/>
      </w:pPr>
      <w:r>
        <w:t xml:space="preserve">Atlas implications and deliverables</w:t>
      </w:r>
    </w:p>
    <w:p>
      <w:pPr>
        <w:pStyle w:val="FirstParagraph"/>
      </w:pPr>
      <w:r>
        <w:rPr>
          <w:b/>
          <w:bCs/>
        </w:rPr>
        <w:t xml:space="preserve">Subdomain map</w:t>
      </w:r>
      <w:r>
        <w:br/>
      </w:r>
      <w:r>
        <w:t xml:space="preserve">A workable internal map for Atlas (as “sublayers” attached to Ayurveda S5) is:</w:t>
      </w:r>
    </w:p>
    <w:p>
      <w:pPr>
        <w:pStyle w:val="Compact"/>
        <w:numPr>
          <w:ilvl w:val="0"/>
          <w:numId w:val="1007"/>
        </w:numPr>
      </w:pPr>
      <w:r>
        <w:rPr>
          <w:b/>
          <w:bCs/>
        </w:rPr>
        <w:t xml:space="preserve">Material ontology sublayer</w:t>
      </w:r>
      <w:r>
        <w:t xml:space="preserve">: rasa/mahārasa/uparasa/sādhāraṇa rasa/dhātu/upadhātu/ratna/viṣa + pharmacopoeial mineral-metal monographs.</w:t>
      </w:r>
      <w:r>
        <w:t xml:space="preserve"> </w:t>
      </w:r>
      <w:hyperlink r:id="rId26">
        <w:r>
          <w:rPr>
            <w:rStyle w:val="Hyperlink"/>
          </w:rPr>
          <w:t xml:space="preserve">[11]</w:t>
        </w:r>
      </w:hyperlink>
    </w:p>
    <w:p>
      <w:pPr>
        <w:pStyle w:val="Compact"/>
        <w:numPr>
          <w:ilvl w:val="0"/>
          <w:numId w:val="1007"/>
        </w:numPr>
      </w:pPr>
      <w:r>
        <w:rPr>
          <w:b/>
          <w:bCs/>
        </w:rPr>
        <w:t xml:space="preserve">Transformation process sublayer</w:t>
      </w:r>
      <w:r>
        <w:t xml:space="preserve">: śodhana → bhāvanā → māraṇa/bhasmīkaraṇa → puṭa cycles, plus process families like kajjalī, kupīpakva, parpaṭī.</w:t>
      </w:r>
      <w:r>
        <w:t xml:space="preserve"> </w:t>
      </w:r>
      <w:hyperlink r:id="rId34">
        <w:r>
          <w:rPr>
            <w:rStyle w:val="Hyperlink"/>
          </w:rPr>
          <w:t xml:space="preserve">[25]</w:t>
        </w:r>
      </w:hyperlink>
    </w:p>
    <w:p>
      <w:pPr>
        <w:pStyle w:val="Compact"/>
        <w:numPr>
          <w:ilvl w:val="0"/>
          <w:numId w:val="1007"/>
        </w:numPr>
      </w:pPr>
      <w:r>
        <w:rPr>
          <w:b/>
          <w:bCs/>
        </w:rPr>
        <w:t xml:space="preserve">Quality/stop-condition sublayer</w:t>
      </w:r>
      <w:r>
        <w:t xml:space="preserve">: bhasma parīkṣā tests as requirements and assertions.</w:t>
      </w:r>
      <w:r>
        <w:t xml:space="preserve"> </w:t>
      </w:r>
      <w:hyperlink r:id="rId28">
        <w:r>
          <w:rPr>
            <w:rStyle w:val="Hyperlink"/>
          </w:rPr>
          <w:t xml:space="preserve">[26]</w:t>
        </w:r>
      </w:hyperlink>
    </w:p>
    <w:p>
      <w:pPr>
        <w:pStyle w:val="Compact"/>
        <w:numPr>
          <w:ilvl w:val="0"/>
          <w:numId w:val="1007"/>
        </w:numPr>
      </w:pPr>
      <w:r>
        <w:rPr>
          <w:b/>
          <w:bCs/>
        </w:rPr>
        <w:t xml:space="preserve">Body-claim sublayer</w:t>
      </w:r>
      <w:r>
        <w:t xml:space="preserve">: doṣa predicates, rasāyana predicates, disease/indication targets, dose/anupāna, preparation-dependency warnings.</w:t>
      </w:r>
      <w:r>
        <w:t xml:space="preserve"> </w:t>
      </w:r>
      <w:hyperlink r:id="rId34">
        <w:r>
          <w:rPr>
            <w:rStyle w:val="Hyperlink"/>
          </w:rPr>
          <w:t xml:space="preserve">[27]</w:t>
        </w:r>
      </w:hyperlink>
    </w:p>
    <w:p>
      <w:pPr>
        <w:pStyle w:val="Compact"/>
        <w:numPr>
          <w:ilvl w:val="0"/>
          <w:numId w:val="1007"/>
        </w:numPr>
      </w:pPr>
      <w:r>
        <w:rPr>
          <w:b/>
          <w:bCs/>
        </w:rPr>
        <w:t xml:space="preserve">Correspondence sublayer</w:t>
      </w:r>
      <w:r>
        <w:t xml:space="preserve"> </w:t>
      </w:r>
      <w:r>
        <w:t xml:space="preserve">(research-first): graha/material correspondences + ritual remedy metadata.</w:t>
      </w:r>
      <w:r>
        <w:t xml:space="preserve"> </w:t>
      </w:r>
      <w:hyperlink r:id="rId45">
        <w:r>
          <w:rPr>
            <w:rStyle w:val="Hyperlink"/>
          </w:rPr>
          <w:t xml:space="preserve">[21]</w:t>
        </w:r>
      </w:hyperlink>
    </w:p>
    <w:p>
      <w:pPr>
        <w:pStyle w:val="Compact"/>
        <w:numPr>
          <w:ilvl w:val="0"/>
          <w:numId w:val="1007"/>
        </w:numPr>
      </w:pPr>
      <w:r>
        <w:rPr>
          <w:b/>
          <w:bCs/>
        </w:rPr>
        <w:t xml:space="preserve">Safety &amp; governance sublayer</w:t>
      </w:r>
      <w:r>
        <w:t xml:space="preserve">: API heavy metal limits, regulatory requirements, adverse event signals, and modern public health warnings.</w:t>
      </w:r>
      <w:r>
        <w:t xml:space="preserve"> </w:t>
      </w:r>
      <w:hyperlink r:id="rId21">
        <w:r>
          <w:rPr>
            <w:rStyle w:val="Hyperlink"/>
          </w:rPr>
          <w:t xml:space="preserve">[28]</w:t>
        </w:r>
      </w:hyperlink>
    </w:p>
    <w:p>
      <w:pPr>
        <w:pStyle w:val="FirstParagraph"/>
      </w:pPr>
      <w:r>
        <w:rPr>
          <w:b/>
          <w:bCs/>
        </w:rPr>
        <w:t xml:space="preserve">Key entities</w:t>
      </w:r>
      <w:r>
        <w:br/>
      </w:r>
      <w:r>
        <w:t xml:space="preserve">The minimum entity set that covers the prompt’s extraction targets:</w:t>
      </w:r>
    </w:p>
    <w:p>
      <w:pPr>
        <w:pStyle w:val="Compact"/>
        <w:numPr>
          <w:ilvl w:val="0"/>
          <w:numId w:val="1008"/>
        </w:numPr>
      </w:pPr>
      <w:r>
        <w:rPr>
          <w:b/>
          <w:bCs/>
        </w:rPr>
        <w:t xml:space="preserve">Substance</w:t>
      </w:r>
      <w:r>
        <w:t xml:space="preserve">: raw mineral/metal/ore “single drugs” (API Part‑I Vol‑VII) and their classical class membership (mahārasa/dhātu/ratna/viṣa).</w:t>
      </w:r>
      <w:r>
        <w:t xml:space="preserve"> </w:t>
      </w:r>
      <w:hyperlink r:id="rId22">
        <w:r>
          <w:rPr>
            <w:rStyle w:val="Hyperlink"/>
          </w:rPr>
          <w:t xml:space="preserve">[29]</w:t>
        </w:r>
      </w:hyperlink>
    </w:p>
    <w:p>
      <w:pPr>
        <w:pStyle w:val="Compact"/>
        <w:numPr>
          <w:ilvl w:val="0"/>
          <w:numId w:val="1008"/>
        </w:numPr>
      </w:pPr>
      <w:r>
        <w:rPr>
          <w:b/>
          <w:bCs/>
        </w:rPr>
        <w:t xml:space="preserve">Prepared substance</w:t>
      </w:r>
      <w:r>
        <w:t xml:space="preserve">: bhasma, kajjalī, kupīpakva rasa, parpaṭī (and, if/when expanded, piṣṭi/pottalī/satva etc).</w:t>
      </w:r>
      <w:r>
        <w:t xml:space="preserve"> </w:t>
      </w:r>
      <w:hyperlink r:id="rId26">
        <w:r>
          <w:rPr>
            <w:rStyle w:val="Hyperlink"/>
          </w:rPr>
          <w:t xml:space="preserve">[30]</w:t>
        </w:r>
      </w:hyperlink>
    </w:p>
    <w:p>
      <w:pPr>
        <w:pStyle w:val="Compact"/>
        <w:numPr>
          <w:ilvl w:val="0"/>
          <w:numId w:val="1008"/>
        </w:numPr>
      </w:pPr>
      <w:r>
        <w:rPr>
          <w:b/>
          <w:bCs/>
        </w:rPr>
        <w:t xml:space="preserve">Process step</w:t>
      </w:r>
      <w:r>
        <w:t xml:space="preserve">: śodhana (with medium), bhāvanā (with plant juice/decoction), māraṇa, puṭa count/intensity, sealing apparatus, etc.</w:t>
      </w:r>
      <w:r>
        <w:t xml:space="preserve"> </w:t>
      </w:r>
      <w:hyperlink r:id="rId34">
        <w:r>
          <w:rPr>
            <w:rStyle w:val="Hyperlink"/>
          </w:rPr>
          <w:t xml:space="preserve">[31]</w:t>
        </w:r>
      </w:hyperlink>
    </w:p>
    <w:p>
      <w:pPr>
        <w:pStyle w:val="Compact"/>
        <w:numPr>
          <w:ilvl w:val="0"/>
          <w:numId w:val="1008"/>
        </w:numPr>
      </w:pPr>
      <w:r>
        <w:rPr>
          <w:b/>
          <w:bCs/>
        </w:rPr>
        <w:t xml:space="preserve">Quality test</w:t>
      </w:r>
      <w:r>
        <w:t xml:space="preserve">: named parīkṣā + result + operator interpretation.</w:t>
      </w:r>
      <w:r>
        <w:t xml:space="preserve"> </w:t>
      </w:r>
      <w:hyperlink r:id="rId28">
        <w:r>
          <w:rPr>
            <w:rStyle w:val="Hyperlink"/>
          </w:rPr>
          <w:t xml:space="preserve">[26]</w:t>
        </w:r>
      </w:hyperlink>
    </w:p>
    <w:p>
      <w:pPr>
        <w:pStyle w:val="Compact"/>
        <w:numPr>
          <w:ilvl w:val="0"/>
          <w:numId w:val="1008"/>
        </w:numPr>
      </w:pPr>
      <w:r>
        <w:rPr>
          <w:b/>
          <w:bCs/>
        </w:rPr>
        <w:t xml:space="preserve">Claim</w:t>
      </w:r>
      <w:r>
        <w:t xml:space="preserve">: (a) classical predicate claim, (b) conditionality (depends-on preparation), (c) modern measurement claim (phase/particle/toxicity), (d) regulatory threshold claim.</w:t>
      </w:r>
      <w:r>
        <w:t xml:space="preserve"> </w:t>
      </w:r>
      <w:hyperlink r:id="rId34">
        <w:r>
          <w:rPr>
            <w:rStyle w:val="Hyperlink"/>
          </w:rPr>
          <w:t xml:space="preserve">[32]</w:t>
        </w:r>
      </w:hyperlink>
    </w:p>
    <w:p>
      <w:pPr>
        <w:pStyle w:val="Compact"/>
        <w:numPr>
          <w:ilvl w:val="0"/>
          <w:numId w:val="1008"/>
        </w:numPr>
      </w:pPr>
      <w:r>
        <w:rPr>
          <w:b/>
          <w:bCs/>
        </w:rPr>
        <w:t xml:space="preserve">Correspondence</w:t>
      </w:r>
      <w:r>
        <w:t xml:space="preserve">: graha → material medium (plus ritual context).</w:t>
      </w:r>
      <w:r>
        <w:t xml:space="preserve"> </w:t>
      </w:r>
      <w:hyperlink r:id="rId45">
        <w:r>
          <w:rPr>
            <w:rStyle w:val="Hyperlink"/>
          </w:rPr>
          <w:t xml:space="preserve">[21]</w:t>
        </w:r>
      </w:hyperlink>
    </w:p>
    <w:p>
      <w:pPr>
        <w:pStyle w:val="FirstParagraph"/>
      </w:pPr>
      <w:r>
        <w:rPr>
          <w:b/>
          <w:bCs/>
        </w:rPr>
        <w:t xml:space="preserve">Key process classes</w:t>
      </w:r>
      <w:r>
        <w:br/>
      </w:r>
      <w:r>
        <w:t xml:space="preserve">To keep the extraction system consistent, define “process classes” (operators) that can be reused across substances:</w:t>
      </w:r>
    </w:p>
    <w:p>
      <w:pPr>
        <w:pStyle w:val="Compact"/>
        <w:numPr>
          <w:ilvl w:val="0"/>
          <w:numId w:val="1009"/>
        </w:numPr>
      </w:pPr>
      <w:r>
        <w:rPr>
          <w:b/>
          <w:bCs/>
        </w:rPr>
        <w:t xml:space="preserve">Śodhana operators</w:t>
      </w:r>
      <w:r>
        <w:t xml:space="preserve">: repeated quenching in defined media; detox/preconditioning. A modern example shows a multi-media sequential quench pipeline that is structurally extractable.</w:t>
      </w:r>
      <w:r>
        <w:t xml:space="preserve"> </w:t>
      </w:r>
      <w:hyperlink r:id="rId34">
        <w:r>
          <w:rPr>
            <w:rStyle w:val="Hyperlink"/>
          </w:rPr>
          <w:t xml:space="preserve">[18]</w:t>
        </w:r>
      </w:hyperlink>
    </w:p>
    <w:p>
      <w:pPr>
        <w:pStyle w:val="Compact"/>
        <w:numPr>
          <w:ilvl w:val="0"/>
          <w:numId w:val="1009"/>
        </w:numPr>
      </w:pPr>
      <w:r>
        <w:rPr>
          <w:b/>
          <w:bCs/>
        </w:rPr>
        <w:t xml:space="preserve">Bhāvanā operators</w:t>
      </w:r>
      <w:r>
        <w:t xml:space="preserve">: wet trituration with plant materials (e.g., Aloe pulp used in Lauha bhasma processing).</w:t>
      </w:r>
      <w:r>
        <w:t xml:space="preserve"> </w:t>
      </w:r>
      <w:hyperlink r:id="rId34">
        <w:r>
          <w:rPr>
            <w:rStyle w:val="Hyperlink"/>
          </w:rPr>
          <w:t xml:space="preserve">[18]</w:t>
        </w:r>
      </w:hyperlink>
    </w:p>
    <w:p>
      <w:pPr>
        <w:pStyle w:val="Compact"/>
        <w:numPr>
          <w:ilvl w:val="0"/>
          <w:numId w:val="1009"/>
        </w:numPr>
      </w:pPr>
      <w:r>
        <w:rPr>
          <w:b/>
          <w:bCs/>
        </w:rPr>
        <w:t xml:space="preserve">Māraṇa / puṭa operators</w:t>
      </w:r>
      <w:r>
        <w:t xml:space="preserve">: incineration cycles + puṭa counting; “stop when tests satisfied.”</w:t>
      </w:r>
      <w:r>
        <w:t xml:space="preserve"> </w:t>
      </w:r>
      <w:hyperlink r:id="rId37">
        <w:r>
          <w:rPr>
            <w:rStyle w:val="Hyperlink"/>
          </w:rPr>
          <w:t xml:space="preserve">[33]</w:t>
        </w:r>
      </w:hyperlink>
    </w:p>
    <w:p>
      <w:pPr>
        <w:pStyle w:val="Compact"/>
        <w:numPr>
          <w:ilvl w:val="0"/>
          <w:numId w:val="1009"/>
        </w:numPr>
      </w:pPr>
      <w:r>
        <w:rPr>
          <w:b/>
          <w:bCs/>
        </w:rPr>
        <w:t xml:space="preserve">Kajjalī operator</w:t>
      </w:r>
      <w:r>
        <w:t xml:space="preserve">: Hg+S grinding to collyrium-fine black powder (precondition for kupīpakva etc).</w:t>
      </w:r>
      <w:r>
        <w:t xml:space="preserve"> </w:t>
      </w:r>
      <w:hyperlink r:id="rId26">
        <w:r>
          <w:rPr>
            <w:rStyle w:val="Hyperlink"/>
          </w:rPr>
          <w:t xml:space="preserve">[15]</w:t>
        </w:r>
      </w:hyperlink>
    </w:p>
    <w:p>
      <w:pPr>
        <w:pStyle w:val="Compact"/>
        <w:numPr>
          <w:ilvl w:val="0"/>
          <w:numId w:val="1009"/>
        </w:numPr>
      </w:pPr>
      <w:r>
        <w:rPr>
          <w:b/>
          <w:bCs/>
        </w:rPr>
        <w:t xml:space="preserve">Kupīpakva operator</w:t>
      </w:r>
      <w:r>
        <w:t xml:space="preserve">: sealed-flask heating of kajjalī.</w:t>
      </w:r>
      <w:r>
        <w:t xml:space="preserve"> </w:t>
      </w:r>
      <w:hyperlink r:id="rId26">
        <w:r>
          <w:rPr>
            <w:rStyle w:val="Hyperlink"/>
          </w:rPr>
          <w:t xml:space="preserve">[16]</w:t>
        </w:r>
      </w:hyperlink>
    </w:p>
    <w:p>
      <w:pPr>
        <w:pStyle w:val="Compact"/>
        <w:numPr>
          <w:ilvl w:val="0"/>
          <w:numId w:val="1009"/>
        </w:numPr>
      </w:pPr>
      <w:r>
        <w:rPr>
          <w:b/>
          <w:bCs/>
        </w:rPr>
        <w:t xml:space="preserve">Parpaṭī operator</w:t>
      </w:r>
      <w:r>
        <w:t xml:space="preserve">: flake-sheet pouring/pressing workflow.</w:t>
      </w:r>
      <w:r>
        <w:t xml:space="preserve"> </w:t>
      </w:r>
      <w:hyperlink r:id="rId26">
        <w:r>
          <w:rPr>
            <w:rStyle w:val="Hyperlink"/>
          </w:rPr>
          <w:t xml:space="preserve">[16]</w:t>
        </w:r>
      </w:hyperlink>
    </w:p>
    <w:p>
      <w:pPr>
        <w:pStyle w:val="FirstParagraph"/>
      </w:pPr>
      <w:r>
        <w:rPr>
          <w:b/>
          <w:bCs/>
        </w:rPr>
        <w:t xml:space="preserve">Candidate schema categories</w:t>
      </w:r>
      <w:r>
        <w:br/>
      </w:r>
      <w:r>
        <w:t xml:space="preserve">Below is a schema sketch that directly supports S5 plant/body/ecology, claim extraction, and resolver logic—while keeping strata separated: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Schema category</w:t>
            </w:r>
          </w:p>
        </w:tc>
        <w:tc>
          <w:tcPr/>
          <w:p>
            <w:pPr>
              <w:pStyle w:val="Compact"/>
            </w:pPr>
            <w:r>
              <w:t xml:space="preserve">What it stores</w:t>
            </w:r>
          </w:p>
        </w:tc>
        <w:tc>
          <w:tcPr/>
          <w:p>
            <w:pPr>
              <w:pStyle w:val="Compact"/>
            </w:pPr>
            <w:r>
              <w:t xml:space="preserve">Why it matters for Atlas</w:t>
            </w:r>
          </w:p>
        </w:tc>
      </w:tr>
      <w:tr>
        <w:tc>
          <w:tcPr/>
          <w:p>
            <w:pPr>
              <w:pStyle w:val="Compact"/>
            </w:pPr>
            <w:r>
              <w:rPr>
                <w:rStyle w:val="VerbatimChar"/>
              </w:rPr>
              <w:t xml:space="preserve">Substance</w:t>
            </w:r>
          </w:p>
        </w:tc>
        <w:tc>
          <w:tcPr/>
          <w:p>
            <w:pPr>
              <w:pStyle w:val="Compact"/>
            </w:pPr>
            <w:r>
              <w:t xml:space="preserve">Canonical ID, synonyms, source strata (Samhitā / rasa text / pharmacopeia), classical class (dhātu/mahārasa/etc), material type (oxide/sulphide/metal), provenance</w:t>
            </w:r>
          </w:p>
        </w:tc>
        <w:tc>
          <w:tcPr/>
          <w:p>
            <w:pPr>
              <w:pStyle w:val="Compact"/>
            </w:pPr>
            <w:r>
              <w:t xml:space="preserve">Enables stable entity resolution across texts and labs.</w:t>
            </w:r>
            <w:r>
              <w:t xml:space="preserve"> </w:t>
            </w:r>
            <w:hyperlink r:id="rId22">
              <w:r>
                <w:rPr>
                  <w:rStyle w:val="Hyperlink"/>
                </w:rPr>
                <w:t xml:space="preserve">[29]</w:t>
              </w:r>
            </w:hyperlink>
          </w:p>
        </w:tc>
      </w:tr>
      <w:tr>
        <w:tc>
          <w:tcPr/>
          <w:p>
            <w:pPr>
              <w:pStyle w:val="Compact"/>
            </w:pPr>
            <w:r>
              <w:rPr>
                <w:rStyle w:val="VerbatimChar"/>
              </w:rPr>
              <w:t xml:space="preserve">Preparation</w:t>
            </w:r>
          </w:p>
        </w:tc>
        <w:tc>
          <w:tcPr/>
          <w:p>
            <w:pPr>
              <w:pStyle w:val="Compact"/>
            </w:pPr>
            <w:r>
              <w:t xml:space="preserve">Links raw</w:t>
            </w:r>
            <w:r>
              <w:t xml:space="preserve"> </w:t>
            </w:r>
            <w:r>
              <w:rPr>
                <w:rStyle w:val="VerbatimChar"/>
              </w:rPr>
              <w:t xml:space="preserve">Substance</w:t>
            </w:r>
            <w:r>
              <w:t xml:space="preserve"> </w:t>
            </w:r>
            <w:r>
              <w:t xml:space="preserve">→ prepared form (</w:t>
            </w:r>
            <w:r>
              <w:rPr>
                <w:rStyle w:val="VerbatimChar"/>
              </w:rPr>
              <w:t xml:space="preserve">Bhasma</w:t>
            </w:r>
            <w:r>
              <w:t xml:space="preserve">,</w:t>
            </w:r>
            <w:r>
              <w:t xml:space="preserve"> </w:t>
            </w:r>
            <w:r>
              <w:rPr>
                <w:rStyle w:val="VerbatimChar"/>
              </w:rPr>
              <w:t xml:space="preserve">Kajjali</w:t>
            </w:r>
            <w:r>
              <w:t xml:space="preserve">,</w:t>
            </w:r>
            <w:r>
              <w:t xml:space="preserve"> </w:t>
            </w:r>
            <w:r>
              <w:rPr>
                <w:rStyle w:val="VerbatimChar"/>
              </w:rPr>
              <w:t xml:space="preserve">Kupipakva</w:t>
            </w:r>
            <w:r>
              <w:t xml:space="preserve">, etc), with ordered steps</w:t>
            </w:r>
          </w:p>
        </w:tc>
        <w:tc>
          <w:tcPr/>
          <w:p>
            <w:pPr>
              <w:pStyle w:val="Compact"/>
            </w:pPr>
            <w:r>
              <w:t xml:space="preserve">Treats “transformation” as a first-class object.</w:t>
            </w:r>
            <w:r>
              <w:t xml:space="preserve"> </w:t>
            </w:r>
            <w:hyperlink r:id="rId26">
              <w:r>
                <w:rPr>
                  <w:rStyle w:val="Hyperlink"/>
                </w:rPr>
                <w:t xml:space="preserve">[34]</w:t>
              </w:r>
            </w:hyperlink>
          </w:p>
        </w:tc>
      </w:tr>
      <w:tr>
        <w:tc>
          <w:tcPr/>
          <w:p>
            <w:pPr>
              <w:pStyle w:val="Compact"/>
            </w:pPr>
            <w:r>
              <w:rPr>
                <w:rStyle w:val="VerbatimChar"/>
              </w:rPr>
              <w:t xml:space="preserve">ProcessStep</w:t>
            </w:r>
          </w:p>
        </w:tc>
        <w:tc>
          <w:tcPr/>
          <w:p>
            <w:pPr>
              <w:pStyle w:val="Compact"/>
            </w:pPr>
            <w:r>
              <w:t xml:space="preserve">Step type (śodhana/bhāvanā/māraṇa), media used (including plant media), apparatus, heat profile / puṭa count</w:t>
            </w:r>
          </w:p>
        </w:tc>
        <w:tc>
          <w:tcPr/>
          <w:p>
            <w:pPr>
              <w:pStyle w:val="Compact"/>
            </w:pPr>
            <w:r>
              <w:t xml:space="preserve">Makes plant–metal entanglement explicit for S5 ecology.</w:t>
            </w:r>
            <w:r>
              <w:t xml:space="preserve"> </w:t>
            </w:r>
            <w:hyperlink r:id="rId34">
              <w:r>
                <w:rPr>
                  <w:rStyle w:val="Hyperlink"/>
                </w:rPr>
                <w:t xml:space="preserve">[35]</w:t>
              </w:r>
            </w:hyperlink>
          </w:p>
        </w:tc>
      </w:tr>
      <w:tr>
        <w:tc>
          <w:tcPr/>
          <w:p>
            <w:pPr>
              <w:pStyle w:val="Compact"/>
            </w:pPr>
            <w:r>
              <w:rPr>
                <w:rStyle w:val="VerbatimChar"/>
              </w:rPr>
              <w:t xml:space="preserve">QualityCriterion</w:t>
            </w:r>
          </w:p>
        </w:tc>
        <w:tc>
          <w:tcPr/>
          <w:p>
            <w:pPr>
              <w:pStyle w:val="Compact"/>
            </w:pPr>
            <w:r>
              <w:t xml:space="preserve">Classical parīkṣā tests + modern measures + acceptable ranges; “stop conditions”</w:t>
            </w:r>
          </w:p>
        </w:tc>
        <w:tc>
          <w:tcPr/>
          <w:p>
            <w:pPr>
              <w:pStyle w:val="Compact"/>
            </w:pPr>
            <w:r>
              <w:t xml:space="preserve">Lets resolver logic validate or flag a preparation.</w:t>
            </w:r>
            <w:r>
              <w:t xml:space="preserve"> </w:t>
            </w:r>
            <w:hyperlink r:id="rId28">
              <w:r>
                <w:rPr>
                  <w:rStyle w:val="Hyperlink"/>
                </w:rPr>
                <w:t xml:space="preserve">[36]</w:t>
              </w:r>
            </w:hyperlink>
          </w:p>
        </w:tc>
      </w:tr>
      <w:tr>
        <w:tc>
          <w:tcPr/>
          <w:p>
            <w:pPr>
              <w:pStyle w:val="Compact"/>
            </w:pPr>
            <w:r>
              <w:rPr>
                <w:rStyle w:val="VerbatimChar"/>
              </w:rPr>
              <w:t xml:space="preserve">Claim</w:t>
            </w:r>
          </w:p>
        </w:tc>
        <w:tc>
          <w:tcPr/>
          <w:p>
            <w:pPr>
              <w:pStyle w:val="Compact"/>
            </w:pPr>
            <w:r>
              <w:t xml:space="preserve">Claim text, predicate type (doṣa/dhātu/rasāyana/indication), conditionality (“if properly prepared…”), evidence tier (classical citation vs pharmacopeial vs lab vs clinical)</w:t>
            </w:r>
          </w:p>
        </w:tc>
        <w:tc>
          <w:tcPr/>
          <w:p>
            <w:pPr>
              <w:pStyle w:val="Compact"/>
            </w:pPr>
            <w:r>
              <w:t xml:space="preserve">Separates knowledge layers without discarding claims.</w:t>
            </w:r>
            <w:r>
              <w:t xml:space="preserve"> </w:t>
            </w:r>
            <w:hyperlink r:id="rId34">
              <w:r>
                <w:rPr>
                  <w:rStyle w:val="Hyperlink"/>
                </w:rPr>
                <w:t xml:space="preserve">[37]</w:t>
              </w:r>
            </w:hyperlink>
          </w:p>
        </w:tc>
      </w:tr>
      <w:tr>
        <w:tc>
          <w:tcPr/>
          <w:p>
            <w:pPr>
              <w:pStyle w:val="Compact"/>
            </w:pPr>
            <w:r>
              <w:rPr>
                <w:rStyle w:val="VerbatimChar"/>
              </w:rPr>
              <w:t xml:space="preserve">SafetySignal</w:t>
            </w:r>
          </w:p>
        </w:tc>
        <w:tc>
          <w:tcPr/>
          <w:p>
            <w:pPr>
              <w:pStyle w:val="Compact"/>
            </w:pPr>
            <w:r>
              <w:t xml:space="preserve">Heavy metal limits references, adverse event reports/warnings, jurisdiction</w:t>
            </w:r>
          </w:p>
        </w:tc>
        <w:tc>
          <w:tcPr/>
          <w:p>
            <w:pPr>
              <w:pStyle w:val="Compact"/>
            </w:pPr>
            <w:r>
              <w:t xml:space="preserve">Enables safe operational boundaries and user-facing caution.</w:t>
            </w:r>
            <w:r>
              <w:t xml:space="preserve"> </w:t>
            </w:r>
            <w:hyperlink r:id="rId21">
              <w:r>
                <w:rPr>
                  <w:rStyle w:val="Hyperlink"/>
                </w:rPr>
                <w:t xml:space="preserve">[38]</w:t>
              </w:r>
            </w:hyperlink>
          </w:p>
        </w:tc>
      </w:tr>
      <w:tr>
        <w:tc>
          <w:tcPr/>
          <w:p>
            <w:pPr>
              <w:pStyle w:val="Compact"/>
            </w:pPr>
            <w:r>
              <w:rPr>
                <w:rStyle w:val="VerbatimChar"/>
              </w:rPr>
              <w:t xml:space="preserve">Correspondence</w:t>
            </w:r>
          </w:p>
        </w:tc>
        <w:tc>
          <w:tcPr/>
          <w:p>
            <w:pPr>
              <w:pStyle w:val="Compact"/>
            </w:pPr>
            <w:r>
              <w:t xml:space="preserve">graha → material mappings, ritual context, non-clinical classification</w:t>
            </w:r>
          </w:p>
        </w:tc>
        <w:tc>
          <w:tcPr/>
          <w:p>
            <w:pPr>
              <w:pStyle w:val="Compact"/>
            </w:pPr>
            <w:r>
              <w:t xml:space="preserve">Keeps cosmological layer available but isolated.</w:t>
            </w:r>
            <w:r>
              <w:t xml:space="preserve"> </w:t>
            </w:r>
            <w:hyperlink r:id="rId45">
              <w:r>
                <w:rPr>
                  <w:rStyle w:val="Hyperlink"/>
                </w:rPr>
                <w:t xml:space="preserve">[21]</w:t>
              </w:r>
            </w:hyperlink>
          </w:p>
        </w:tc>
      </w:tr>
    </w:tbl>
    <w:p>
      <w:pPr>
        <w:pStyle w:val="BodyText"/>
      </w:pPr>
      <w:r>
        <w:rPr>
          <w:b/>
          <w:bCs/>
        </w:rPr>
        <w:t xml:space="preserve">Which parts are plant-centric vs mineral/metal-centric vs bodily-process-centric vs cosmological/correspondential</w:t>
      </w:r>
    </w:p>
    <w:p>
      <w:pPr>
        <w:pStyle w:val="BodyText"/>
      </w:pPr>
      <w:r>
        <w:t xml:space="preserve">Plant-centric (S5-ready) components include: plant decoctions/juices used as śodhana/bhāvanā media (e.g., Triphalā decoction, Aloe pulp), and the broader ecology of plant sourcing (well-covered in AYUSH plant portals).</w:t>
      </w:r>
      <w:r>
        <w:t xml:space="preserve"> </w:t>
      </w:r>
      <w:hyperlink r:id="rId34">
        <w:r>
          <w:rPr>
            <w:rStyle w:val="Hyperlink"/>
          </w:rPr>
          <w:t xml:space="preserve">[39]</w:t>
        </w:r>
      </w:hyperlink>
      <w:r>
        <w:br/>
      </w:r>
      <w:r>
        <w:t xml:space="preserve">Mineral/metal-centric components include: rasa/mahārasa/dhātu class systems and API mineral-metal monographs.</w:t>
      </w:r>
      <w:r>
        <w:t xml:space="preserve"> </w:t>
      </w:r>
      <w:hyperlink r:id="rId26">
        <w:r>
          <w:rPr>
            <w:rStyle w:val="Hyperlink"/>
          </w:rPr>
          <w:t xml:space="preserve">[11]</w:t>
        </w:r>
      </w:hyperlink>
      <w:r>
        <w:br/>
      </w:r>
      <w:r>
        <w:t xml:space="preserve">Bodily-process-centric components include: doṣa pacification predicates, rasāyana predicates, and indication/dose/anupāna logic (pharmacopeia and rasashastra-focused clinical claims).</w:t>
      </w:r>
      <w:r>
        <w:t xml:space="preserve"> </w:t>
      </w:r>
      <w:hyperlink r:id="rId34">
        <w:r>
          <w:rPr>
            <w:rStyle w:val="Hyperlink"/>
          </w:rPr>
          <w:t xml:space="preserve">[27]</w:t>
        </w:r>
      </w:hyperlink>
      <w:r>
        <w:br/>
      </w:r>
      <w:r>
        <w:t xml:space="preserve">Cosmological/correspondential components include: graha/material prescriptions and broader alchemical-soteriological narratives—valuable for research mapping but high-risk if operationalized as medicine.</w:t>
      </w:r>
      <w:r>
        <w:t xml:space="preserve"> </w:t>
      </w:r>
      <w:hyperlink r:id="rId45">
        <w:r>
          <w:rPr>
            <w:rStyle w:val="Hyperlink"/>
          </w:rPr>
          <w:t xml:space="preserve">[40]</w:t>
        </w:r>
      </w:hyperlink>
    </w:p>
    <w:p>
      <w:pPr>
        <w:pStyle w:val="BodyText"/>
      </w:pPr>
      <w:r>
        <w:rPr>
          <w:b/>
          <w:bCs/>
        </w:rPr>
        <w:t xml:space="preserve">Missing dataset recommendations</w:t>
      </w:r>
      <w:r>
        <w:br/>
      </w:r>
      <w:r>
        <w:t xml:space="preserve">Given the gap between “PDF standards” and “operational data,” the highest ROI datasets to build or acquire are:</w:t>
      </w:r>
    </w:p>
    <w:p>
      <w:pPr>
        <w:pStyle w:val="Compact"/>
        <w:numPr>
          <w:ilvl w:val="0"/>
          <w:numId w:val="1010"/>
        </w:numPr>
      </w:pPr>
      <w:r>
        <w:t xml:space="preserve">A structured extraction of</w:t>
      </w:r>
      <w:r>
        <w:t xml:space="preserve"> </w:t>
      </w:r>
      <w:r>
        <w:rPr>
          <w:b/>
          <w:bCs/>
        </w:rPr>
        <w:t xml:space="preserve">API Part‑I Vol‑VII (Minerals &amp; Metals)</w:t>
      </w:r>
      <w:r>
        <w:t xml:space="preserve"> </w:t>
      </w:r>
      <w:r>
        <w:t xml:space="preserve">into a normalized mineral/metal ontology, preserving both classical attributes and scientific typing.</w:t>
      </w:r>
      <w:r>
        <w:t xml:space="preserve"> </w:t>
      </w:r>
      <w:hyperlink r:id="rId22">
        <w:r>
          <w:rPr>
            <w:rStyle w:val="Hyperlink"/>
          </w:rPr>
          <w:t xml:space="preserve">[41]</w:t>
        </w:r>
      </w:hyperlink>
    </w:p>
    <w:p>
      <w:pPr>
        <w:pStyle w:val="Compact"/>
        <w:numPr>
          <w:ilvl w:val="0"/>
          <w:numId w:val="1010"/>
        </w:numPr>
      </w:pPr>
      <w:r>
        <w:t xml:space="preserve">A structured extraction of</w:t>
      </w:r>
      <w:r>
        <w:t xml:space="preserve"> </w:t>
      </w:r>
      <w:r>
        <w:rPr>
          <w:b/>
          <w:bCs/>
        </w:rPr>
        <w:t xml:space="preserve">API Part‑II formulation monographs</w:t>
      </w:r>
      <w:r>
        <w:t xml:space="preserve"> </w:t>
      </w:r>
      <w:r>
        <w:t xml:space="preserve">into: formulation graphs, step graphs, identity/purity tests, and heavy metal/microbial thresholds.</w:t>
      </w:r>
      <w:r>
        <w:t xml:space="preserve"> </w:t>
      </w:r>
      <w:hyperlink r:id="rId23">
        <w:r>
          <w:rPr>
            <w:rStyle w:val="Hyperlink"/>
          </w:rPr>
          <w:t xml:space="preserve">[3]</w:t>
        </w:r>
      </w:hyperlink>
    </w:p>
    <w:p>
      <w:pPr>
        <w:pStyle w:val="Compact"/>
        <w:numPr>
          <w:ilvl w:val="0"/>
          <w:numId w:val="1010"/>
        </w:numPr>
      </w:pPr>
      <w:r>
        <w:t xml:space="preserve">A “process media” dataset that links</w:t>
      </w:r>
      <w:r>
        <w:t xml:space="preserve"> </w:t>
      </w:r>
      <w:r>
        <w:rPr>
          <w:b/>
          <w:bCs/>
        </w:rPr>
        <w:t xml:space="preserve">plants → processing roles</w:t>
      </w:r>
      <w:r>
        <w:t xml:space="preserve"> </w:t>
      </w:r>
      <w:r>
        <w:t xml:space="preserve">(śodhana media, bhāvanā liquids, anupāna vehicles). This is essential for S5 plant/body/ecology linking and is strongly attested in industrial/peer-reviewed reconstructions of classical processes.</w:t>
      </w:r>
      <w:r>
        <w:t xml:space="preserve"> </w:t>
      </w:r>
      <w:hyperlink r:id="rId34">
        <w:r>
          <w:rPr>
            <w:rStyle w:val="Hyperlink"/>
          </w:rPr>
          <w:t xml:space="preserve">[18]</w:t>
        </w:r>
      </w:hyperlink>
    </w:p>
    <w:p>
      <w:pPr>
        <w:pStyle w:val="Compact"/>
        <w:numPr>
          <w:ilvl w:val="0"/>
          <w:numId w:val="1010"/>
        </w:numPr>
      </w:pPr>
      <w:r>
        <w:t xml:space="preserve">A safety-signal dataset that merges: API heavy metal requirements, U.S. FDA warnings, and peer-reviewed prevalence findings (e.g., JAMA).</w:t>
      </w:r>
      <w:r>
        <w:t xml:space="preserve"> </w:t>
      </w:r>
      <w:hyperlink r:id="rId21">
        <w:r>
          <w:rPr>
            <w:rStyle w:val="Hyperlink"/>
          </w:rPr>
          <w:t xml:space="preserve">[38]</w:t>
        </w:r>
      </w:hyperlink>
    </w:p>
    <w:p>
      <w:pPr>
        <w:pStyle w:val="Compact"/>
        <w:numPr>
          <w:ilvl w:val="0"/>
          <w:numId w:val="1010"/>
        </w:numPr>
      </w:pPr>
      <w:r>
        <w:t xml:space="preserve">A provenance-tagged corpus of</w:t>
      </w:r>
      <w:r>
        <w:t xml:space="preserve"> </w:t>
      </w:r>
      <w:r>
        <w:rPr>
          <w:b/>
          <w:bCs/>
        </w:rPr>
        <w:t xml:space="preserve">rasaśāstra primary texts</w:t>
      </w:r>
      <w:r>
        <w:t xml:space="preserve"> </w:t>
      </w:r>
      <w:r>
        <w:t xml:space="preserve">(Rasaratna Samuccaya, Rasatarangini, etc.) suitable for extraction of process variants and “commentarial” expansions—kept separate from pharmacopeial standards and from modern lab interpretations. (The need for provenance separation is underscored by modern debates on toxicity and product categories).</w:t>
      </w:r>
      <w:r>
        <w:t xml:space="preserve"> </w:t>
      </w:r>
      <w:hyperlink r:id="rId29">
        <w:r>
          <w:rPr>
            <w:rStyle w:val="Hyperlink"/>
          </w:rPr>
          <w:t xml:space="preserve">[10]</w:t>
        </w:r>
      </w:hyperlink>
    </w:p>
    <w:p>
      <w:pPr>
        <w:pStyle w:val="FirstParagraph"/>
      </w:pPr>
      <w:r>
        <w:rPr>
          <w:b/>
          <w:bCs/>
        </w:rPr>
        <w:t xml:space="preserve">What should remain research-only vs operational</w:t>
      </w:r>
    </w:p>
    <w:p>
      <w:pPr>
        <w:pStyle w:val="BodyText"/>
      </w:pPr>
      <w:r>
        <w:t xml:space="preserve">Research-only (do not drive resolvers or clinical UX directly)</w:t>
      </w:r>
      <w:r>
        <w:br/>
      </w:r>
      <w:r>
        <w:t xml:space="preserve">Cosmological correspondences (graha→metal), mythic/alchemical claims (e.g., metaphysical effects or transmutation aims), and modern “nanomedicine” interpretations when presented as explanatory overlays rather than validated safety/efficacy claims—should be stored but sandboxed.</w:t>
      </w:r>
      <w:r>
        <w:t xml:space="preserve"> </w:t>
      </w:r>
      <w:hyperlink r:id="rId45">
        <w:r>
          <w:rPr>
            <w:rStyle w:val="Hyperlink"/>
          </w:rPr>
          <w:t xml:space="preserve">[42]</w:t>
        </w:r>
      </w:hyperlink>
    </w:p>
    <w:p>
      <w:pPr>
        <w:pStyle w:val="BodyText"/>
      </w:pPr>
      <w:r>
        <w:t xml:space="preserve">Operational (safe to encode as logic, with provenance)</w:t>
      </w:r>
      <w:r>
        <w:br/>
      </w:r>
      <w:r>
        <w:t xml:space="preserve">Pharmacopeial structure (composition, preparation directions, identity/purity tests, heavy metal limits), and “conditional safety” logic that explicitly ties claims to proper preparation and professional prescribing. Public-health warnings and adverse event risk signals should be operational for guardrails and user caution.</w:t>
      </w:r>
      <w:r>
        <w:t xml:space="preserve"> </w:t>
      </w:r>
      <w:hyperlink r:id="rId23">
        <w:r>
          <w:rPr>
            <w:rStyle w:val="Hyperlink"/>
          </w:rPr>
          <w:t xml:space="preserve">[43]</w:t>
        </w:r>
      </w:hyperlink>
    </w:p>
    <w:bookmarkEnd w:id="54"/>
    <w:bookmarkEnd w:id="55"/>
    <w:bookmarkEnd w:id="56"/>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1">
        <w:r>
          <w:rPr>
            <w:rStyle w:val="Hyperlink"/>
          </w:rPr>
          <w:t xml:space="preserve">[28]</w:t>
        </w:r>
      </w:hyperlink>
      <w:r>
        <w:t xml:space="preserve"> </w:t>
      </w:r>
      <w:hyperlink r:id="rId21">
        <w:r>
          <w:rPr>
            <w:rStyle w:val="Hyperlink"/>
          </w:rPr>
          <w:t xml:space="preserve">[38]</w:t>
        </w:r>
      </w:hyperlink>
      <w:r>
        <w:t xml:space="preserve"> </w:t>
      </w:r>
      <w:r>
        <w:t xml:space="preserve">https://ayurveda.hu/api/API-Vol-1.pdf</w:t>
      </w:r>
    </w:p>
    <w:p>
      <w:pPr>
        <w:pStyle w:val="BodyText"/>
      </w:pPr>
      <w:hyperlink r:id="rId21">
        <w:r>
          <w:rPr>
            <w:rStyle w:val="Hyperlink"/>
          </w:rPr>
          <w:t xml:space="preserve">https://ayurveda.hu/api/API-Vol-1.pdf</w:t>
        </w:r>
      </w:hyperlink>
    </w:p>
    <w:p>
      <w:pPr>
        <w:pStyle w:val="BodyText"/>
      </w:pPr>
      <w:hyperlink r:id="rId22">
        <w:r>
          <w:rPr>
            <w:rStyle w:val="Hyperlink"/>
          </w:rPr>
          <w:t xml:space="preserve">[2]</w:t>
        </w:r>
      </w:hyperlink>
      <w:r>
        <w:t xml:space="preserve"> </w:t>
      </w:r>
      <w:hyperlink r:id="rId22">
        <w:r>
          <w:rPr>
            <w:rStyle w:val="Hyperlink"/>
          </w:rPr>
          <w:t xml:space="preserve">[12]</w:t>
        </w:r>
      </w:hyperlink>
      <w:r>
        <w:t xml:space="preserve"> </w:t>
      </w:r>
      <w:hyperlink r:id="rId22">
        <w:r>
          <w:rPr>
            <w:rStyle w:val="Hyperlink"/>
          </w:rPr>
          <w:t xml:space="preserve">[13]</w:t>
        </w:r>
      </w:hyperlink>
      <w:r>
        <w:t xml:space="preserve"> </w:t>
      </w:r>
      <w:hyperlink r:id="rId22">
        <w:r>
          <w:rPr>
            <w:rStyle w:val="Hyperlink"/>
          </w:rPr>
          <w:t xml:space="preserve">[29]</w:t>
        </w:r>
      </w:hyperlink>
      <w:r>
        <w:t xml:space="preserve"> </w:t>
      </w:r>
      <w:hyperlink r:id="rId22">
        <w:r>
          <w:rPr>
            <w:rStyle w:val="Hyperlink"/>
          </w:rPr>
          <w:t xml:space="preserve">[41]</w:t>
        </w:r>
      </w:hyperlink>
      <w:r>
        <w:t xml:space="preserve"> </w:t>
      </w:r>
      <w:r>
        <w:t xml:space="preserve">https://www.naturalingredient.org/wp/wp-content/uploads/API-Vol-7.pdf</w:t>
      </w:r>
    </w:p>
    <w:p>
      <w:pPr>
        <w:pStyle w:val="BodyText"/>
      </w:pPr>
      <w:hyperlink r:id="rId22">
        <w:r>
          <w:rPr>
            <w:rStyle w:val="Hyperlink"/>
          </w:rPr>
          <w:t xml:space="preserve">https://www.naturalingredient.org/wp/wp-content/uploads/API-Vol-7.pdf</w:t>
        </w:r>
      </w:hyperlink>
    </w:p>
    <w:p>
      <w:pPr>
        <w:pStyle w:val="BodyText"/>
      </w:pPr>
      <w:hyperlink r:id="rId23">
        <w:r>
          <w:rPr>
            <w:rStyle w:val="Hyperlink"/>
          </w:rPr>
          <w:t xml:space="preserve">[3]</w:t>
        </w:r>
      </w:hyperlink>
      <w:r>
        <w:t xml:space="preserve"> </w:t>
      </w:r>
      <w:hyperlink r:id="rId23">
        <w:r>
          <w:rPr>
            <w:rStyle w:val="Hyperlink"/>
          </w:rPr>
          <w:t xml:space="preserve">[22]</w:t>
        </w:r>
      </w:hyperlink>
      <w:r>
        <w:t xml:space="preserve"> </w:t>
      </w:r>
      <w:hyperlink r:id="rId23">
        <w:r>
          <w:rPr>
            <w:rStyle w:val="Hyperlink"/>
          </w:rPr>
          <w:t xml:space="preserve">[43]</w:t>
        </w:r>
      </w:hyperlink>
      <w:r>
        <w:t xml:space="preserve"> </w:t>
      </w:r>
      <w:r>
        <w:t xml:space="preserve">https://dravyagunatvpm.wordpress.com/wp-content/uploads/2009/02/api-2-general1.pdf</w:t>
      </w:r>
    </w:p>
    <w:p>
      <w:pPr>
        <w:pStyle w:val="BodyText"/>
      </w:pPr>
      <w:hyperlink r:id="rId23">
        <w:r>
          <w:rPr>
            <w:rStyle w:val="Hyperlink"/>
          </w:rPr>
          <w:t xml:space="preserve">https://dravyagunatvpm.wordpress.com/wp-content/uploads/2009/02/api-2-general1.pdf</w:t>
        </w:r>
      </w:hyperlink>
    </w:p>
    <w:p>
      <w:pPr>
        <w:pStyle w:val="BodyText"/>
      </w:pPr>
      <w:hyperlink r:id="rId24">
        <w:r>
          <w:rPr>
            <w:rStyle w:val="Hyperlink"/>
          </w:rPr>
          <w:t xml:space="preserve">[4]</w:t>
        </w:r>
      </w:hyperlink>
      <w:r>
        <w:t xml:space="preserve"> </w:t>
      </w:r>
      <w:r>
        <w:t xml:space="preserve">https://echarak.ayush.gov.in/knowledge_resources</w:t>
      </w:r>
    </w:p>
    <w:p>
      <w:pPr>
        <w:pStyle w:val="BodyText"/>
      </w:pPr>
      <w:hyperlink r:id="rId24">
        <w:r>
          <w:rPr>
            <w:rStyle w:val="Hyperlink"/>
          </w:rPr>
          <w:t xml:space="preserve">https://echarak.ayush.gov.in/knowledge_resources</w:t>
        </w:r>
      </w:hyperlink>
    </w:p>
    <w:p>
      <w:pPr>
        <w:pStyle w:val="BodyText"/>
      </w:pPr>
      <w:hyperlink r:id="rId26">
        <w:r>
          <w:rPr>
            <w:rStyle w:val="Hyperlink"/>
          </w:rPr>
          <w:t xml:space="preserve">[5]</w:t>
        </w:r>
      </w:hyperlink>
      <w:r>
        <w:t xml:space="preserve"> </w:t>
      </w:r>
      <w:hyperlink r:id="rId26">
        <w:r>
          <w:rPr>
            <w:rStyle w:val="Hyperlink"/>
          </w:rPr>
          <w:t xml:space="preserve">[6]</w:t>
        </w:r>
      </w:hyperlink>
      <w:r>
        <w:t xml:space="preserve"> </w:t>
      </w:r>
      <w:hyperlink r:id="rId26">
        <w:r>
          <w:rPr>
            <w:rStyle w:val="Hyperlink"/>
          </w:rPr>
          <w:t xml:space="preserve">[8]</w:t>
        </w:r>
      </w:hyperlink>
      <w:r>
        <w:t xml:space="preserve"> </w:t>
      </w:r>
      <w:hyperlink r:id="rId26">
        <w:r>
          <w:rPr>
            <w:rStyle w:val="Hyperlink"/>
          </w:rPr>
          <w:t xml:space="preserve">[11]</w:t>
        </w:r>
      </w:hyperlink>
      <w:r>
        <w:t xml:space="preserve"> </w:t>
      </w:r>
      <w:hyperlink r:id="rId26">
        <w:r>
          <w:rPr>
            <w:rStyle w:val="Hyperlink"/>
          </w:rPr>
          <w:t xml:space="preserve">[15]</w:t>
        </w:r>
      </w:hyperlink>
      <w:r>
        <w:t xml:space="preserve"> </w:t>
      </w:r>
      <w:hyperlink r:id="rId26">
        <w:r>
          <w:rPr>
            <w:rStyle w:val="Hyperlink"/>
          </w:rPr>
          <w:t xml:space="preserve">[16]</w:t>
        </w:r>
      </w:hyperlink>
      <w:r>
        <w:t xml:space="preserve"> </w:t>
      </w:r>
      <w:hyperlink r:id="rId26">
        <w:r>
          <w:rPr>
            <w:rStyle w:val="Hyperlink"/>
          </w:rPr>
          <w:t xml:space="preserve">[30]</w:t>
        </w:r>
      </w:hyperlink>
      <w:r>
        <w:t xml:space="preserve"> </w:t>
      </w:r>
      <w:hyperlink r:id="rId26">
        <w:r>
          <w:rPr>
            <w:rStyle w:val="Hyperlink"/>
          </w:rPr>
          <w:t xml:space="preserve">[34]</w:t>
        </w:r>
      </w:hyperlink>
      <w:r>
        <w:t xml:space="preserve"> </w:t>
      </w:r>
      <w:r>
        <w:t xml:space="preserve">https://www.jeevanrekhaayurved.com/public/assets/images/books/pdf/INTRODUCTION%20TO%20RASASHAASTRA.pdf</w:t>
      </w:r>
    </w:p>
    <w:p>
      <w:pPr>
        <w:pStyle w:val="BodyText"/>
      </w:pPr>
      <w:hyperlink r:id="rId26">
        <w:r>
          <w:rPr>
            <w:rStyle w:val="Hyperlink"/>
          </w:rPr>
          <w:t xml:space="preserve">https://www.jeevanrekhaayurved.com/public/assets/images/books/pdf/INTRODUCTION%20TO%20RASASHAASTRA.pdf</w:t>
        </w:r>
      </w:hyperlink>
    </w:p>
    <w:p>
      <w:pPr>
        <w:pStyle w:val="BodyText"/>
      </w:pPr>
      <w:hyperlink r:id="rId27">
        <w:r>
          <w:rPr>
            <w:rStyle w:val="Hyperlink"/>
          </w:rPr>
          <w:t xml:space="preserve">[7]</w:t>
        </w:r>
      </w:hyperlink>
      <w:r>
        <w:t xml:space="preserve"> </w:t>
      </w:r>
      <w:r>
        <w:t xml:space="preserve">https://www.ajol.info/index.php/ajtcam/article/view/67955</w:t>
      </w:r>
    </w:p>
    <w:p>
      <w:pPr>
        <w:pStyle w:val="BodyText"/>
      </w:pPr>
      <w:hyperlink r:id="rId27">
        <w:r>
          <w:rPr>
            <w:rStyle w:val="Hyperlink"/>
          </w:rPr>
          <w:t xml:space="preserve">https://www.ajol.info/index.php/ajtcam/article/view/67955</w:t>
        </w:r>
      </w:hyperlink>
    </w:p>
    <w:p>
      <w:pPr>
        <w:pStyle w:val="BodyText"/>
      </w:pPr>
      <w:hyperlink r:id="rId28">
        <w:r>
          <w:rPr>
            <w:rStyle w:val="Hyperlink"/>
          </w:rPr>
          <w:t xml:space="preserve">[9]</w:t>
        </w:r>
      </w:hyperlink>
      <w:r>
        <w:t xml:space="preserve"> </w:t>
      </w:r>
      <w:hyperlink r:id="rId28">
        <w:r>
          <w:rPr>
            <w:rStyle w:val="Hyperlink"/>
          </w:rPr>
          <w:t xml:space="preserve">[26]</w:t>
        </w:r>
      </w:hyperlink>
      <w:r>
        <w:t xml:space="preserve"> </w:t>
      </w:r>
      <w:hyperlink r:id="rId28">
        <w:r>
          <w:rPr>
            <w:rStyle w:val="Hyperlink"/>
          </w:rPr>
          <w:t xml:space="preserve">[36]</w:t>
        </w:r>
      </w:hyperlink>
      <w:r>
        <w:t xml:space="preserve"> </w:t>
      </w:r>
      <w:r>
        <w:t xml:space="preserve">https://www.sciencedirect.com/science/article/pii/S2095496414600054</w:t>
      </w:r>
    </w:p>
    <w:p>
      <w:pPr>
        <w:pStyle w:val="BodyText"/>
      </w:pPr>
      <w:hyperlink r:id="rId28">
        <w:r>
          <w:rPr>
            <w:rStyle w:val="Hyperlink"/>
          </w:rPr>
          <w:t xml:space="preserve">https://www.sciencedirect.com/science/article/pii/S2095496414600054</w:t>
        </w:r>
      </w:hyperlink>
    </w:p>
    <w:p>
      <w:pPr>
        <w:pStyle w:val="BodyText"/>
      </w:pPr>
      <w:hyperlink r:id="rId29">
        <w:r>
          <w:rPr>
            <w:rStyle w:val="Hyperlink"/>
          </w:rPr>
          <w:t xml:space="preserve">[10]</w:t>
        </w:r>
      </w:hyperlink>
      <w:r>
        <w:t xml:space="preserve"> </w:t>
      </w:r>
      <w:r>
        <w:t xml:space="preserve">https://brill.com/view/journals/asme/8/1/article-p153_7.xml</w:t>
      </w:r>
    </w:p>
    <w:p>
      <w:pPr>
        <w:pStyle w:val="BodyText"/>
      </w:pPr>
      <w:hyperlink r:id="rId29">
        <w:r>
          <w:rPr>
            <w:rStyle w:val="Hyperlink"/>
          </w:rPr>
          <w:t xml:space="preserve">https://brill.com/view/journals/asme/8/1/article-p153_7.xml</w:t>
        </w:r>
      </w:hyperlink>
    </w:p>
    <w:p>
      <w:pPr>
        <w:pStyle w:val="BodyText"/>
      </w:pPr>
      <w:hyperlink r:id="rId34">
        <w:r>
          <w:rPr>
            <w:rStyle w:val="Hyperlink"/>
          </w:rPr>
          <w:t xml:space="preserve">[14]</w:t>
        </w:r>
      </w:hyperlink>
      <w:r>
        <w:t xml:space="preserve"> </w:t>
      </w:r>
      <w:hyperlink r:id="rId34">
        <w:r>
          <w:rPr>
            <w:rStyle w:val="Hyperlink"/>
          </w:rPr>
          <w:t xml:space="preserve">[18]</w:t>
        </w:r>
      </w:hyperlink>
      <w:r>
        <w:t xml:space="preserve"> </w:t>
      </w:r>
      <w:hyperlink r:id="rId34">
        <w:r>
          <w:rPr>
            <w:rStyle w:val="Hyperlink"/>
          </w:rPr>
          <w:t xml:space="preserve">[19]</w:t>
        </w:r>
      </w:hyperlink>
      <w:r>
        <w:t xml:space="preserve"> </w:t>
      </w:r>
      <w:hyperlink r:id="rId34">
        <w:r>
          <w:rPr>
            <w:rStyle w:val="Hyperlink"/>
          </w:rPr>
          <w:t xml:space="preserve">[25]</w:t>
        </w:r>
      </w:hyperlink>
      <w:r>
        <w:t xml:space="preserve"> </w:t>
      </w:r>
      <w:hyperlink r:id="rId34">
        <w:r>
          <w:rPr>
            <w:rStyle w:val="Hyperlink"/>
          </w:rPr>
          <w:t xml:space="preserve">[27]</w:t>
        </w:r>
      </w:hyperlink>
      <w:r>
        <w:t xml:space="preserve"> </w:t>
      </w:r>
      <w:hyperlink r:id="rId34">
        <w:r>
          <w:rPr>
            <w:rStyle w:val="Hyperlink"/>
          </w:rPr>
          <w:t xml:space="preserve">[31]</w:t>
        </w:r>
      </w:hyperlink>
      <w:r>
        <w:t xml:space="preserve"> </w:t>
      </w:r>
      <w:hyperlink r:id="rId34">
        <w:r>
          <w:rPr>
            <w:rStyle w:val="Hyperlink"/>
          </w:rPr>
          <w:t xml:space="preserve">[32]</w:t>
        </w:r>
      </w:hyperlink>
      <w:r>
        <w:t xml:space="preserve"> </w:t>
      </w:r>
      <w:hyperlink r:id="rId34">
        <w:r>
          <w:rPr>
            <w:rStyle w:val="Hyperlink"/>
          </w:rPr>
          <w:t xml:space="preserve">[35]</w:t>
        </w:r>
      </w:hyperlink>
      <w:r>
        <w:t xml:space="preserve"> </w:t>
      </w:r>
      <w:hyperlink r:id="rId34">
        <w:r>
          <w:rPr>
            <w:rStyle w:val="Hyperlink"/>
          </w:rPr>
          <w:t xml:space="preserve">[37]</w:t>
        </w:r>
      </w:hyperlink>
      <w:r>
        <w:t xml:space="preserve"> </w:t>
      </w:r>
      <w:hyperlink r:id="rId34">
        <w:r>
          <w:rPr>
            <w:rStyle w:val="Hyperlink"/>
          </w:rPr>
          <w:t xml:space="preserve">[39]</w:t>
        </w:r>
      </w:hyperlink>
      <w:r>
        <w:t xml:space="preserve"> </w:t>
      </w:r>
      <w:r>
        <w:t xml:space="preserve">https://www.ijpsonline.com/articles/pharmaceutical-standardization-of-traditionally-prepared-emlauha-bhasmaem-incinerated-iron-characterised-as-alpha-haemat.pdf</w:t>
      </w:r>
    </w:p>
    <w:p>
      <w:pPr>
        <w:pStyle w:val="BodyText"/>
      </w:pPr>
      <w:hyperlink r:id="rId34">
        <w:r>
          <w:rPr>
            <w:rStyle w:val="Hyperlink"/>
          </w:rPr>
          <w:t xml:space="preserve">https://www.ijpsonline.com/articles/pharmaceutical-standardization-of-traditionally-prepared-emlauha-bhasmaem-incinerated-iron-characterised-as-alpha-haemat.pdf</w:t>
        </w:r>
      </w:hyperlink>
    </w:p>
    <w:p>
      <w:pPr>
        <w:pStyle w:val="BodyText"/>
      </w:pPr>
      <w:hyperlink r:id="rId37">
        <w:r>
          <w:rPr>
            <w:rStyle w:val="Hyperlink"/>
          </w:rPr>
          <w:t xml:space="preserve">[17]</w:t>
        </w:r>
      </w:hyperlink>
      <w:r>
        <w:t xml:space="preserve"> </w:t>
      </w:r>
      <w:hyperlink r:id="rId37">
        <w:r>
          <w:rPr>
            <w:rStyle w:val="Hyperlink"/>
          </w:rPr>
          <w:t xml:space="preserve">[33]</w:t>
        </w:r>
      </w:hyperlink>
      <w:r>
        <w:t xml:space="preserve"> </w:t>
      </w:r>
      <w:r>
        <w:t xml:space="preserve">https://www.sciencedirect.com/science/article/pii/S097594762100125X</w:t>
      </w:r>
    </w:p>
    <w:p>
      <w:pPr>
        <w:pStyle w:val="BodyText"/>
      </w:pPr>
      <w:hyperlink r:id="rId37">
        <w:r>
          <w:rPr>
            <w:rStyle w:val="Hyperlink"/>
          </w:rPr>
          <w:t xml:space="preserve">https://www.sciencedirect.com/science/article/pii/S097594762100125X</w:t>
        </w:r>
      </w:hyperlink>
    </w:p>
    <w:p>
      <w:pPr>
        <w:pStyle w:val="BodyText"/>
      </w:pPr>
      <w:hyperlink r:id="rId43">
        <w:r>
          <w:rPr>
            <w:rStyle w:val="Hyperlink"/>
          </w:rPr>
          <w:t xml:space="preserve">[20]</w:t>
        </w:r>
      </w:hyperlink>
      <w:r>
        <w:t xml:space="preserve"> </w:t>
      </w:r>
      <w:r>
        <w:t xml:space="preserve">https://www.zora.uzh.ch/entities/publication/f2c6bb59-6fb9-4d79-bd7c-fc21f14e3ff7</w:t>
      </w:r>
    </w:p>
    <w:p>
      <w:pPr>
        <w:pStyle w:val="BodyText"/>
      </w:pPr>
      <w:hyperlink r:id="rId43">
        <w:r>
          <w:rPr>
            <w:rStyle w:val="Hyperlink"/>
          </w:rPr>
          <w:t xml:space="preserve">https://www.zora.uzh.ch/entities/publication/f2c6bb59-6fb9-4d79-bd7c-fc21f14e3ff7</w:t>
        </w:r>
      </w:hyperlink>
    </w:p>
    <w:p>
      <w:pPr>
        <w:pStyle w:val="BodyText"/>
      </w:pPr>
      <w:hyperlink r:id="rId45">
        <w:r>
          <w:rPr>
            <w:rStyle w:val="Hyperlink"/>
          </w:rPr>
          <w:t xml:space="preserve">[21]</w:t>
        </w:r>
      </w:hyperlink>
      <w:r>
        <w:t xml:space="preserve"> </w:t>
      </w:r>
      <w:hyperlink r:id="rId45">
        <w:r>
          <w:rPr>
            <w:rStyle w:val="Hyperlink"/>
          </w:rPr>
          <w:t xml:space="preserve">[40]</w:t>
        </w:r>
      </w:hyperlink>
      <w:r>
        <w:t xml:space="preserve"> </w:t>
      </w:r>
      <w:hyperlink r:id="rId45">
        <w:r>
          <w:rPr>
            <w:rStyle w:val="Hyperlink"/>
          </w:rPr>
          <w:t xml:space="preserve">[42]</w:t>
        </w:r>
      </w:hyperlink>
      <w:r>
        <w:t xml:space="preserve"> </w:t>
      </w:r>
      <w:r>
        <w:t xml:space="preserve">https://vedpuran.net/wp-content/uploads/2021/04/brihat_parashara_hora_shastra_english_v.pdf</w:t>
      </w:r>
    </w:p>
    <w:p>
      <w:pPr>
        <w:pStyle w:val="BodyText"/>
      </w:pPr>
      <w:hyperlink r:id="rId45">
        <w:r>
          <w:rPr>
            <w:rStyle w:val="Hyperlink"/>
          </w:rPr>
          <w:t xml:space="preserve">https://vedpuran.net/wp-content/uploads/2021/04/brihat_parashara_hora_shastra_english_v.pdf</w:t>
        </w:r>
      </w:hyperlink>
    </w:p>
    <w:p>
      <w:pPr>
        <w:pStyle w:val="BodyText"/>
      </w:pPr>
      <w:hyperlink r:id="rId49">
        <w:r>
          <w:rPr>
            <w:rStyle w:val="Hyperlink"/>
          </w:rPr>
          <w:t xml:space="preserve">[23]</w:t>
        </w:r>
      </w:hyperlink>
      <w:r>
        <w:t xml:space="preserve"> </w:t>
      </w:r>
      <w:r>
        <w:t xml:space="preserve">https://jamanetwork.com/journals/jama/fullarticle/182460</w:t>
      </w:r>
    </w:p>
    <w:p>
      <w:pPr>
        <w:pStyle w:val="BodyText"/>
      </w:pPr>
      <w:hyperlink r:id="rId49">
        <w:r>
          <w:rPr>
            <w:rStyle w:val="Hyperlink"/>
          </w:rPr>
          <w:t xml:space="preserve">https://jamanetwork.com/journals/jama/fullarticle/182460</w:t>
        </w:r>
      </w:hyperlink>
    </w:p>
    <w:p>
      <w:pPr>
        <w:pStyle w:val="BodyText"/>
      </w:pPr>
      <w:hyperlink r:id="rId50">
        <w:r>
          <w:rPr>
            <w:rStyle w:val="Hyperlink"/>
          </w:rPr>
          <w:t xml:space="preserve">[24]</w:t>
        </w:r>
      </w:hyperlink>
      <w:r>
        <w:t xml:space="preserve"> </w:t>
      </w:r>
      <w:r>
        <w:t xml:space="preserve">https://www.fda.gov/drugs/fraudulent-products/fda-warns-about-heavy-metal-poisoning-associated-certain-unapproved-ayurvedic-drug-products</w:t>
      </w:r>
    </w:p>
    <w:p>
      <w:pPr>
        <w:pStyle w:val="BodyText"/>
      </w:pPr>
      <w:hyperlink r:id="rId50">
        <w:r>
          <w:rPr>
            <w:rStyle w:val="Hyperlink"/>
          </w:rPr>
          <w:t xml:space="preserve">https://www.fda.gov/drugs/fraudulent-products/fda-warns-about-heavy-metal-poisoning-associated-certain-unapproved-ayurvedic-drug-products</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ayurveda.hu/api/API-Vol-1.pdf" TargetMode="External" /><Relationship Type="http://schemas.openxmlformats.org/officeDocument/2006/relationships/hyperlink" Id="rId29" Target="https://brill.com/view/journals/asme/8/1/article-p153_7.xml" TargetMode="External" /><Relationship Type="http://schemas.openxmlformats.org/officeDocument/2006/relationships/hyperlink" Id="rId23" Target="https://dravyagunatvpm.wordpress.com/wp-content/uploads/2009/02/api-2-general1.pdf" TargetMode="External" /><Relationship Type="http://schemas.openxmlformats.org/officeDocument/2006/relationships/hyperlink" Id="rId24" Target="https://echarak.ayush.gov.in/knowledge_resources" TargetMode="External" /><Relationship Type="http://schemas.openxmlformats.org/officeDocument/2006/relationships/hyperlink" Id="rId49" Target="https://jamanetwork.com/journals/jama/fullarticle/182460" TargetMode="External" /><Relationship Type="http://schemas.openxmlformats.org/officeDocument/2006/relationships/hyperlink" Id="rId45" Target="https://vedpuran.net/wp-content/uploads/2021/04/brihat_parashara_hora_shastra_english_v.pdf" TargetMode="External" /><Relationship Type="http://schemas.openxmlformats.org/officeDocument/2006/relationships/hyperlink" Id="rId27" Target="https://www.ajol.info/index.php/ajtcam/article/view/67955" TargetMode="External" /><Relationship Type="http://schemas.openxmlformats.org/officeDocument/2006/relationships/hyperlink" Id="rId50" Target="https://www.fda.gov/drugs/fraudulent-products/fda-warns-about-heavy-metal-poisoning-associated-certain-unapproved-ayurvedic-drug-products" TargetMode="External" /><Relationship Type="http://schemas.openxmlformats.org/officeDocument/2006/relationships/hyperlink" Id="rId34" Target="https://www.ijpsonline.com/articles/pharmaceutical-standardization-of-traditionally-prepared-emlauha-bhasmaem-incinerated-iron-characterised-as-alpha-haemat.pdf" TargetMode="External" /><Relationship Type="http://schemas.openxmlformats.org/officeDocument/2006/relationships/hyperlink" Id="rId26" Target="https://www.jeevanrekhaayurved.com/public/assets/images/books/pdf/INTRODUCTION%20TO%20RASASHAASTRA.pdf" TargetMode="External" /><Relationship Type="http://schemas.openxmlformats.org/officeDocument/2006/relationships/hyperlink" Id="rId22" Target="https://www.naturalingredient.org/wp/wp-content/uploads/API-Vol-7.pdf" TargetMode="External" /><Relationship Type="http://schemas.openxmlformats.org/officeDocument/2006/relationships/hyperlink" Id="rId37" Target="https://www.sciencedirect.com/science/article/pii/S097594762100125X" TargetMode="External" /><Relationship Type="http://schemas.openxmlformats.org/officeDocument/2006/relationships/hyperlink" Id="rId28" Target="https://www.sciencedirect.com/science/article/pii/S2095496414600054" TargetMode="External" /><Relationship Type="http://schemas.openxmlformats.org/officeDocument/2006/relationships/hyperlink" Id="rId43" Target="https://www.zora.uzh.ch/entities/publication/f2c6bb59-6fb9-4d79-bd7c-fc21f14e3ff7" TargetMode="External" /></Relationships>
</file>

<file path=word/_rels/footnotes.xml.rels><?xml version="1.0" encoding="UTF-8"?><Relationships xmlns="http://schemas.openxmlformats.org/package/2006/relationships"><Relationship Type="http://schemas.openxmlformats.org/officeDocument/2006/relationships/hyperlink" Id="rId21" Target="https://ayurveda.hu/api/API-Vol-1.pdf" TargetMode="External" /><Relationship Type="http://schemas.openxmlformats.org/officeDocument/2006/relationships/hyperlink" Id="rId29" Target="https://brill.com/view/journals/asme/8/1/article-p153_7.xml" TargetMode="External" /><Relationship Type="http://schemas.openxmlformats.org/officeDocument/2006/relationships/hyperlink" Id="rId23" Target="https://dravyagunatvpm.wordpress.com/wp-content/uploads/2009/02/api-2-general1.pdf" TargetMode="External" /><Relationship Type="http://schemas.openxmlformats.org/officeDocument/2006/relationships/hyperlink" Id="rId24" Target="https://echarak.ayush.gov.in/knowledge_resources" TargetMode="External" /><Relationship Type="http://schemas.openxmlformats.org/officeDocument/2006/relationships/hyperlink" Id="rId49" Target="https://jamanetwork.com/journals/jama/fullarticle/182460" TargetMode="External" /><Relationship Type="http://schemas.openxmlformats.org/officeDocument/2006/relationships/hyperlink" Id="rId45" Target="https://vedpuran.net/wp-content/uploads/2021/04/brihat_parashara_hora_shastra_english_v.pdf" TargetMode="External" /><Relationship Type="http://schemas.openxmlformats.org/officeDocument/2006/relationships/hyperlink" Id="rId27" Target="https://www.ajol.info/index.php/ajtcam/article/view/67955" TargetMode="External" /><Relationship Type="http://schemas.openxmlformats.org/officeDocument/2006/relationships/hyperlink" Id="rId50" Target="https://www.fda.gov/drugs/fraudulent-products/fda-warns-about-heavy-metal-poisoning-associated-certain-unapproved-ayurvedic-drug-products" TargetMode="External" /><Relationship Type="http://schemas.openxmlformats.org/officeDocument/2006/relationships/hyperlink" Id="rId34" Target="https://www.ijpsonline.com/articles/pharmaceutical-standardization-of-traditionally-prepared-emlauha-bhasmaem-incinerated-iron-characterised-as-alpha-haemat.pdf" TargetMode="External" /><Relationship Type="http://schemas.openxmlformats.org/officeDocument/2006/relationships/hyperlink" Id="rId26" Target="https://www.jeevanrekhaayurved.com/public/assets/images/books/pdf/INTRODUCTION%20TO%20RASASHAASTRA.pdf" TargetMode="External" /><Relationship Type="http://schemas.openxmlformats.org/officeDocument/2006/relationships/hyperlink" Id="rId22" Target="https://www.naturalingredient.org/wp/wp-content/uploads/API-Vol-7.pdf" TargetMode="External" /><Relationship Type="http://schemas.openxmlformats.org/officeDocument/2006/relationships/hyperlink" Id="rId37" Target="https://www.sciencedirect.com/science/article/pii/S097594762100125X" TargetMode="External" /><Relationship Type="http://schemas.openxmlformats.org/officeDocument/2006/relationships/hyperlink" Id="rId28" Target="https://www.sciencedirect.com/science/article/pii/S2095496414600054" TargetMode="External" /><Relationship Type="http://schemas.openxmlformats.org/officeDocument/2006/relationships/hyperlink" Id="rId43" Target="https://www.zora.uzh.ch/entities/publication/f2c6bb59-6fb9-4d79-bd7c-fc21f14e3ff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2026-04-09T12:49:11Z</dcterms:created>
  <dcterms:modified xsi:type="dcterms:W3CDTF">2026-04-09T12:49:11Z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