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41cc65fbc878ce4e96e1e74bc51474158740cc3"/>
    <w:p>
      <w:pPr>
        <w:pStyle w:val="Heading1"/>
      </w:pPr>
      <w:r>
        <w:t xml:space="preserve">Electromagnetic and Crystallographic Properties of Noble Metal Alloys in the Au–Ag–Cu System</w:t>
      </w:r>
    </w:p>
    <w:bookmarkStart w:id="25" w:name="Xa799ec40dee5f30e65936f6a4571436fcabfb74"/>
    <w:p>
      <w:pPr>
        <w:pStyle w:val="Heading2"/>
      </w:pPr>
      <w:r>
        <w:t xml:space="preserve">System overview and why Au–Ag–Cu behaves “nonlinearly” even though all three are fcc</w:t>
      </w:r>
    </w:p>
    <w:p>
      <w:pPr>
        <w:pStyle w:val="FirstParagraph"/>
      </w:pPr>
      <w:r>
        <w:t xml:space="preserve">Gold (Au), silver (Ag), and copper (Cu) are “coinage metals” that crystallize in the face‑centered cubic (fcc) structure under ordinary conditions; many Au–Ag–Cu alloys therefore form substitutional solid solutions at sufficiently high temperature, and fcc is commonly observed by X‑ray diffraction (XRD) even for nanoscale Au–Ag–Cu alloys.</w:t>
      </w:r>
      <w:r>
        <w:t xml:space="preserve"> </w:t>
      </w:r>
      <w:hyperlink r:id="rId21">
        <w:r>
          <w:rPr>
            <w:rStyle w:val="Hyperlink"/>
          </w:rPr>
          <w:t xml:space="preserve">[1]</w:t>
        </w:r>
      </w:hyperlink>
    </w:p>
    <w:p>
      <w:pPr>
        <w:pStyle w:val="BodyText"/>
      </w:pPr>
      <w:r>
        <w:t xml:space="preserve">Despite the shared fcc lattice,</w:t>
      </w:r>
      <w:r>
        <w:t xml:space="preserve"> </w:t>
      </w:r>
      <w:r>
        <w:rPr>
          <w:b/>
          <w:bCs/>
        </w:rPr>
        <w:t xml:space="preserve">the thermodynamic “pair interactions” differ strongly by binary pair</w:t>
      </w:r>
      <w:r>
        <w:t xml:space="preserve">, which is why the ternary system cannot be treated as a simple linear mixture:</w:t>
      </w:r>
    </w:p>
    <w:p>
      <w:pPr>
        <w:pStyle w:val="Compact"/>
        <w:numPr>
          <w:ilvl w:val="0"/>
          <w:numId w:val="1001"/>
        </w:numPr>
      </w:pPr>
      <w:r>
        <w:rPr>
          <w:b/>
          <w:bCs/>
        </w:rPr>
        <w:t xml:space="preserve">Ag–Au</w:t>
      </w:r>
      <w:r>
        <w:t xml:space="preserve"> </w:t>
      </w:r>
      <w:r>
        <w:t xml:space="preserve">is widely treated as a continuous solid‑solution system (isomorphous) over composition.</w:t>
      </w:r>
      <w:r>
        <w:t xml:space="preserve"> </w:t>
      </w:r>
      <w:hyperlink r:id="rId22">
        <w:r>
          <w:rPr>
            <w:rStyle w:val="Hyperlink"/>
          </w:rPr>
          <w:t xml:space="preserve">[2]</w:t>
        </w:r>
      </w:hyperlink>
    </w:p>
    <w:p>
      <w:pPr>
        <w:pStyle w:val="Compact"/>
        <w:numPr>
          <w:ilvl w:val="0"/>
          <w:numId w:val="1001"/>
        </w:numPr>
      </w:pPr>
      <w:r>
        <w:rPr>
          <w:b/>
          <w:bCs/>
        </w:rPr>
        <w:t xml:space="preserve">Cu–Ag</w:t>
      </w:r>
      <w:r>
        <w:t xml:space="preserve"> </w:t>
      </w:r>
      <w:r>
        <w:t xml:space="preserve">is a classic immiscible pair in the solid state (broad miscibility gap), with a well‑known eutectic in the liquid/solid equilibrium and limited solid solubility at typical temperatures.</w:t>
      </w:r>
      <w:r>
        <w:t xml:space="preserve"> </w:t>
      </w:r>
      <w:hyperlink r:id="rId23">
        <w:r>
          <w:rPr>
            <w:rStyle w:val="Hyperlink"/>
          </w:rPr>
          <w:t xml:space="preserve">[3]</w:t>
        </w:r>
      </w:hyperlink>
    </w:p>
    <w:p>
      <w:pPr>
        <w:pStyle w:val="Compact"/>
        <w:numPr>
          <w:ilvl w:val="0"/>
          <w:numId w:val="1001"/>
        </w:numPr>
      </w:pPr>
      <w:r>
        <w:rPr>
          <w:b/>
          <w:bCs/>
        </w:rPr>
        <w:t xml:space="preserve">Cu–Au</w:t>
      </w:r>
      <w:r>
        <w:t xml:space="preserve"> </w:t>
      </w:r>
      <w:r>
        <w:t xml:space="preserve">is the “ordering” pair: below an order–disorder temperature, ordered superstructures form (e.g., Cu_3Au, CuAu, CuAu_3), and ordering strongly affects transport and microstructure.</w:t>
      </w:r>
      <w:r>
        <w:t xml:space="preserve"> </w:t>
      </w:r>
      <w:hyperlink r:id="rId22">
        <w:r>
          <w:rPr>
            <w:rStyle w:val="Hyperlink"/>
          </w:rPr>
          <w:t xml:space="preserve">[4]</w:t>
        </w:r>
      </w:hyperlink>
    </w:p>
    <w:p>
      <w:pPr>
        <w:pStyle w:val="FirstParagraph"/>
      </w:pPr>
      <w:r>
        <w:t xml:space="preserve">A practical way to visualize Au–Ag–Cu behavior (especially for jewelry/contact alloys) is that</w:t>
      </w:r>
      <w:r>
        <w:t xml:space="preserve"> </w:t>
      </w:r>
      <w:r>
        <w:rPr>
          <w:b/>
          <w:bCs/>
        </w:rPr>
        <w:t xml:space="preserve">Ag tends to keep things more “solution‑like,” Cu tends to drive ordering/strengthening (and color), and the Cu–Ag immiscibility tends to drive phase separation unless Au and temperature help stabilize fcc solid solution</w:t>
      </w:r>
      <w:r>
        <w:t xml:space="preserve">. The ternary phase diagram evaluation literature explicitly frames Ag–Au–Cu as a foundational ternary for understanding gold dental alloys, because the ternary inherits (i) the Ag–Cu miscibility-gap solvus and (ii) low‑temperature equilibria arising from Au–Cu ordered phases.</w:t>
      </w:r>
      <w:r>
        <w:t xml:space="preserve"> </w:t>
      </w:r>
      <w:hyperlink r:id="rId24">
        <w:r>
          <w:rPr>
            <w:rStyle w:val="Hyperlink"/>
          </w:rPr>
          <w:t xml:space="preserve">[5]</w:t>
        </w:r>
      </w:hyperlink>
    </w:p>
    <w:bookmarkEnd w:id="25"/>
    <w:bookmarkStart w:id="35" w:name="X957c8e501d5d8970b05b2f1faa238c0b18a80e8"/>
    <w:p>
      <w:pPr>
        <w:pStyle w:val="Heading2"/>
      </w:pPr>
      <w:r>
        <w:t xml:space="preserve">Electromagnetic properties across Au–Ag–Cu compositions</w:t>
      </w:r>
    </w:p>
    <w:bookmarkStart w:id="28" w:name="magnetic-susceptibility-in-bulk-alloys"/>
    <w:p>
      <w:pPr>
        <w:pStyle w:val="Heading3"/>
      </w:pPr>
      <w:r>
        <w:t xml:space="preserve">Magnetic susceptibility in bulk alloys</w:t>
      </w:r>
    </w:p>
    <w:p>
      <w:pPr>
        <w:pStyle w:val="FirstParagraph"/>
      </w:pPr>
      <w:r>
        <w:rPr>
          <w:b/>
          <w:bCs/>
        </w:rPr>
        <w:t xml:space="preserve">Bulk Au, Ag, and Cu are weakly diamagnetic at room temperature</w:t>
      </w:r>
      <w:r>
        <w:t xml:space="preserve"> </w:t>
      </w:r>
      <w:r>
        <w:t xml:space="preserve">(small, negative magnetic susceptibility). Tables of elemental susceptibilities consistently classify Ag and Cu as diamagnetic with small negative χ values at ~20 °C.</w:t>
      </w:r>
      <w:r>
        <w:t xml:space="preserve"> </w:t>
      </w:r>
      <w:hyperlink r:id="rId26">
        <w:r>
          <w:rPr>
            <w:rStyle w:val="Hyperlink"/>
          </w:rPr>
          <w:t xml:space="preserve">[6]</w:t>
        </w:r>
      </w:hyperlink>
    </w:p>
    <w:p>
      <w:pPr>
        <w:pStyle w:val="BodyText"/>
      </w:pPr>
      <w:r>
        <w:t xml:space="preserve">For</w:t>
      </w:r>
      <w:r>
        <w:t xml:space="preserve"> </w:t>
      </w:r>
      <w:r>
        <w:rPr>
          <w:b/>
          <w:bCs/>
        </w:rPr>
        <w:t xml:space="preserve">composition dependence</w:t>
      </w:r>
      <w:r>
        <w:t xml:space="preserve">, the most directly relevant classic experimental evidence is that</w:t>
      </w:r>
      <w:r>
        <w:t xml:space="preserve"> </w:t>
      </w:r>
      <w:r>
        <w:rPr>
          <w:b/>
          <w:bCs/>
        </w:rPr>
        <w:t xml:space="preserve">Ag–Au alloys have been measured for total mass magnetic susceptibility over roughly 6–300 K</w:t>
      </w:r>
      <w:r>
        <w:t xml:space="preserve">, and</w:t>
      </w:r>
      <w:r>
        <w:t xml:space="preserve"> </w:t>
      </w:r>
      <w:r>
        <w:rPr>
          <w:b/>
          <w:bCs/>
        </w:rPr>
        <w:t xml:space="preserve">α‑phase Cu–Au alloys have been measured at ~292 K</w:t>
      </w:r>
      <w:r>
        <w:t xml:space="preserve">, with the analysis separating conduction‑electron (Pauli) paramagnetism and other contributions.</w:t>
      </w:r>
      <w:r>
        <w:t xml:space="preserve"> </w:t>
      </w:r>
      <w:hyperlink r:id="rId27">
        <w:r>
          <w:rPr>
            <w:rStyle w:val="Hyperlink"/>
          </w:rPr>
          <w:t xml:space="preserve">[7]</w:t>
        </w:r>
      </w:hyperlink>
      <w:r>
        <w:t xml:space="preserve"> </w:t>
      </w:r>
      <w:r>
        <w:t xml:space="preserve">This is important because it establishes that:</w:t>
      </w:r>
    </w:p>
    <w:p>
      <w:pPr>
        <w:pStyle w:val="Compact"/>
        <w:numPr>
          <w:ilvl w:val="0"/>
          <w:numId w:val="1002"/>
        </w:numPr>
      </w:pPr>
      <w:r>
        <w:t xml:space="preserve">susceptibility is not purely a linear mixture rule; it depends on the electronic density of states and how alloying shifts/broadens bands (especially d‑bands in coinage metals), which can introduce curvature relative to interpolation, even if the net χ remains small and non‑ferromagnetic.</w:t>
      </w:r>
      <w:r>
        <w:t xml:space="preserve"> </w:t>
      </w:r>
      <w:hyperlink r:id="rId27">
        <w:r>
          <w:rPr>
            <w:rStyle w:val="Hyperlink"/>
          </w:rPr>
          <w:t xml:space="preserve">[8]</w:t>
        </w:r>
      </w:hyperlink>
    </w:p>
    <w:p>
      <w:pPr>
        <w:pStyle w:val="Compact"/>
        <w:numPr>
          <w:ilvl w:val="0"/>
          <w:numId w:val="1002"/>
        </w:numPr>
      </w:pPr>
      <w:r>
        <w:t xml:space="preserve">in Cu–Au,</w:t>
      </w:r>
      <w:r>
        <w:t xml:space="preserve"> </w:t>
      </w:r>
      <w:r>
        <w:rPr>
          <w:b/>
          <w:bCs/>
        </w:rPr>
        <w:t xml:space="preserve">ordering phenomena</w:t>
      </w:r>
      <w:r>
        <w:t xml:space="preserve"> </w:t>
      </w:r>
      <w:r>
        <w:t xml:space="preserve">(long‑range ordered superstructures) are expected to couple to electronic structure and therefore to magnetic/transport observables as temperature crosses ordering regimes—one reason that Cu–Au behaves qualitatively differently from “simple” isomorphous pairs.</w:t>
      </w:r>
      <w:r>
        <w:t xml:space="preserve"> </w:t>
      </w:r>
      <w:hyperlink r:id="rId22">
        <w:r>
          <w:rPr>
            <w:rStyle w:val="Hyperlink"/>
          </w:rPr>
          <w:t xml:space="preserve">[4]</w:t>
        </w:r>
      </w:hyperlink>
    </w:p>
    <w:p>
      <w:pPr>
        <w:pStyle w:val="FirstParagraph"/>
      </w:pPr>
      <w:r>
        <w:rPr>
          <w:b/>
          <w:bCs/>
        </w:rPr>
        <w:t xml:space="preserve">Bottom line for bulk alloys:</w:t>
      </w:r>
      <w:r>
        <w:t xml:space="preserve"> </w:t>
      </w:r>
      <w:r>
        <w:t xml:space="preserve">across most of the ternary composition space used in metallurgy (jewelry/dental/electrical contact alloys), Au–Ag–Cu alloys remain</w:t>
      </w:r>
      <w:r>
        <w:t xml:space="preserve"> </w:t>
      </w:r>
      <w:r>
        <w:rPr>
          <w:b/>
          <w:bCs/>
        </w:rPr>
        <w:t xml:space="preserve">very weakly magnetic</w:t>
      </w:r>
      <w:r>
        <w:t xml:space="preserve">, typically diamagnetic overall, with composition/heat‑treatment effects appearing as subtle variations rather than emergent ferromagnetism. The available composition‑resolved susceptibility literature is much richer on</w:t>
      </w:r>
      <w:r>
        <w:t xml:space="preserve"> </w:t>
      </w:r>
      <w:r>
        <w:rPr>
          <w:b/>
          <w:bCs/>
        </w:rPr>
        <w:t xml:space="preserve">binary lines (Ag–Au, Cu–Au)</w:t>
      </w:r>
      <w:r>
        <w:t xml:space="preserve"> </w:t>
      </w:r>
      <w:r>
        <w:t xml:space="preserve">than on full ternary “maps.”</w:t>
      </w:r>
      <w:r>
        <w:t xml:space="preserve"> </w:t>
      </w:r>
      <w:hyperlink r:id="rId27">
        <w:r>
          <w:rPr>
            <w:rStyle w:val="Hyperlink"/>
          </w:rPr>
          <w:t xml:space="preserve">[7]</w:t>
        </w:r>
      </w:hyperlink>
    </w:p>
    <w:bookmarkEnd w:id="28"/>
    <w:bookmarkStart w:id="30" w:name="Xa0969e23abde1c11167eb4cfa4ddeec45478317"/>
    <w:p>
      <w:pPr>
        <w:pStyle w:val="Heading3"/>
      </w:pPr>
      <w:r>
        <w:t xml:space="preserve">When magnetism looks “anomalous”: nanostructures and interfaces</w:t>
      </w:r>
    </w:p>
    <w:p>
      <w:pPr>
        <w:pStyle w:val="FirstParagraph"/>
      </w:pPr>
      <w:r>
        <w:t xml:space="preserve">If your scope includes</w:t>
      </w:r>
      <w:r>
        <w:t xml:space="preserve"> </w:t>
      </w:r>
      <w:r>
        <w:rPr>
          <w:b/>
          <w:bCs/>
        </w:rPr>
        <w:t xml:space="preserve">nanostructured Au/Ag/Cu</w:t>
      </w:r>
      <w:r>
        <w:t xml:space="preserve"> </w:t>
      </w:r>
      <w:r>
        <w:t xml:space="preserve">(films, nanoparticles, nanohybrids), multiple reviews emphasize that</w:t>
      </w:r>
      <w:r>
        <w:t xml:space="preserve"> </w:t>
      </w:r>
      <w:r>
        <w:rPr>
          <w:b/>
          <w:bCs/>
        </w:rPr>
        <w:t xml:space="preserve">coinage metals can exhibit apparent shifts from diamagnetism toward paramagnetism or even ferromagnetism in composites</w:t>
      </w:r>
      <w:r>
        <w:t xml:space="preserve">, typically attributed to interfacial effects, hybridization, defects, and spin–orbit related phenomena rather than bulk ferromagnetism of the clean alloy itself.</w:t>
      </w:r>
      <w:r>
        <w:t xml:space="preserve"> </w:t>
      </w:r>
      <w:hyperlink r:id="rId29">
        <w:r>
          <w:rPr>
            <w:rStyle w:val="Hyperlink"/>
          </w:rPr>
          <w:t xml:space="preserve">[9]</w:t>
        </w:r>
      </w:hyperlink>
    </w:p>
    <w:p>
      <w:pPr>
        <w:pStyle w:val="BodyText"/>
      </w:pPr>
      <w:r>
        <w:t xml:space="preserve">This matters for “unexpected electromagnetic behavior”: many reported “magnetic” oddities in Au/Ag/Cu are</w:t>
      </w:r>
      <w:r>
        <w:t xml:space="preserve"> </w:t>
      </w:r>
      <w:r>
        <w:rPr>
          <w:b/>
          <w:bCs/>
        </w:rPr>
        <w:t xml:space="preserve">not</w:t>
      </w:r>
      <w:r>
        <w:t xml:space="preserve"> </w:t>
      </w:r>
      <w:r>
        <w:t xml:space="preserve">equilibrium bulk Au–Ag–Cu metallurgy, but</w:t>
      </w:r>
      <w:r>
        <w:t xml:space="preserve"> </w:t>
      </w:r>
      <w:r>
        <w:rPr>
          <w:b/>
          <w:bCs/>
        </w:rPr>
        <w:t xml:space="preserve">surface/interface‑dominated nanophysics</w:t>
      </w:r>
      <w:r>
        <w:t xml:space="preserve">.</w:t>
      </w:r>
    </w:p>
    <w:bookmarkEnd w:id="30"/>
    <w:bookmarkStart w:id="33" w:name="Xee867b8e8ddb03fee2da7a8c18a721dc67b9369"/>
    <w:p>
      <w:pPr>
        <w:pStyle w:val="Heading3"/>
      </w:pPr>
      <w:r>
        <w:t xml:space="preserve">Hall effect and related galvanomagnetic behavior</w:t>
      </w:r>
    </w:p>
    <w:p>
      <w:pPr>
        <w:pStyle w:val="FirstParagraph"/>
      </w:pPr>
      <w:r>
        <w:t xml:space="preserve">Hall measurements on pure coinage metals show a characteristic</w:t>
      </w:r>
      <w:r>
        <w:t xml:space="preserve"> </w:t>
      </w:r>
      <w:r>
        <w:rPr>
          <w:b/>
          <w:bCs/>
        </w:rPr>
        <w:t xml:space="preserve">temperature dependence</w:t>
      </w:r>
      <w:r>
        <w:t xml:space="preserve">, including a well‑documented feature: in high‑purity Cu, Ag, and Au, the Hall coefficient |R| shows an</w:t>
      </w:r>
      <w:r>
        <w:t xml:space="preserve"> </w:t>
      </w:r>
      <w:r>
        <w:rPr>
          <w:b/>
          <w:bCs/>
        </w:rPr>
        <w:t xml:space="preserve">apparent maximum centered near ~40 K</w:t>
      </w:r>
      <w:r>
        <w:t xml:space="preserve">, and a minimum around ~200 K, with interpretation involving scattering mechanisms and (plausibly) a phonon‑drag–related contribution.</w:t>
      </w:r>
      <w:r>
        <w:t xml:space="preserve"> </w:t>
      </w:r>
      <w:hyperlink r:id="rId31">
        <w:r>
          <w:rPr>
            <w:rStyle w:val="Hyperlink"/>
          </w:rPr>
          <w:t xml:space="preserve">[10]</w:t>
        </w:r>
      </w:hyperlink>
    </w:p>
    <w:p>
      <w:pPr>
        <w:pStyle w:val="BodyText"/>
      </w:pPr>
      <w:r>
        <w:t xml:space="preserve">For alloys, Hall behavior is sensitive to (i) Fermi surface details and (ii) relaxation‑time anisotropy; even very dilute substitutions can measurably change Hall response.</w:t>
      </w:r>
      <w:r>
        <w:t xml:space="preserve"> </w:t>
      </w:r>
      <w:hyperlink r:id="rId31">
        <w:r>
          <w:rPr>
            <w:rStyle w:val="Hyperlink"/>
          </w:rPr>
          <w:t xml:space="preserve">[11]</w:t>
        </w:r>
      </w:hyperlink>
      <w:r>
        <w:t xml:space="preserve"> </w:t>
      </w:r>
      <w:r>
        <w:t xml:space="preserve">In Au–Ag–Cu specifically, modern engineering literature tends to report Hall and magnetoresistance less frequently than hardness/contact resistance, but</w:t>
      </w:r>
      <w:r>
        <w:t xml:space="preserve"> </w:t>
      </w:r>
      <w:r>
        <w:rPr>
          <w:b/>
          <w:bCs/>
        </w:rPr>
        <w:t xml:space="preserve">Cu–Ag magnetoresistance is explicitly microstructure‑dependent</w:t>
      </w:r>
      <w:r>
        <w:t xml:space="preserve"> </w:t>
      </w:r>
      <w:r>
        <w:t xml:space="preserve">in high fields (a useful proxy that microstructure can couple strongly to electronic transport).</w:t>
      </w:r>
      <w:r>
        <w:t xml:space="preserve"> </w:t>
      </w:r>
      <w:hyperlink r:id="rId32">
        <w:r>
          <w:rPr>
            <w:rStyle w:val="Hyperlink"/>
          </w:rPr>
          <w:t xml:space="preserve">[12]</w:t>
        </w:r>
      </w:hyperlink>
    </w:p>
    <w:bookmarkEnd w:id="33"/>
    <w:bookmarkStart w:id="34" w:name="Xc62c4414f8a2919b0e91bc42bf73bd1252c61d4"/>
    <w:p>
      <w:pPr>
        <w:pStyle w:val="Heading3"/>
      </w:pPr>
      <w:r>
        <w:t xml:space="preserve">Piezoelectricity: why you should expect “none” in bulk Au–Ag–Cu</w:t>
      </w:r>
    </w:p>
    <w:p>
      <w:pPr>
        <w:pStyle w:val="FirstParagraph"/>
      </w:pPr>
      <w:r>
        <w:t xml:space="preserve">Classic piezoelectricity requires</w:t>
      </w:r>
      <w:r>
        <w:t xml:space="preserve"> </w:t>
      </w:r>
      <w:r>
        <w:rPr>
          <w:b/>
          <w:bCs/>
        </w:rPr>
        <w:t xml:space="preserve">non‑centrosymmetric crystal symmetry</w:t>
      </w:r>
      <w:r>
        <w:t xml:space="preserve">. Bulk fcc metals are centrosymmetric, and mobile electrons screen static internal electric fields. As a result,</w:t>
      </w:r>
      <w:r>
        <w:t xml:space="preserve"> </w:t>
      </w:r>
      <w:r>
        <w:rPr>
          <w:b/>
          <w:bCs/>
        </w:rPr>
        <w:t xml:space="preserve">bulk Au–Ag–Cu alloys are not expected to show conventional piezoelectric coefficients</w:t>
      </w:r>
      <w:r>
        <w:t xml:space="preserve">, and the mainstream metallurgy literature for these alloys focuses instead on ordering, phase separation, and electronic/thermal transport. The practical “piezoelectric” reports in coinage metals usually arise from special nanostructures, surfaces, or composite architectures rather than bulk fcc metallurgy.</w:t>
      </w:r>
      <w:r>
        <w:t xml:space="preserve"> </w:t>
      </w:r>
      <w:hyperlink r:id="rId29">
        <w:r>
          <w:rPr>
            <w:rStyle w:val="Hyperlink"/>
          </w:rPr>
          <w:t xml:space="preserve">[13]</w:t>
        </w:r>
      </w:hyperlink>
    </w:p>
    <w:bookmarkEnd w:id="34"/>
    <w:bookmarkEnd w:id="35"/>
    <w:bookmarkStart w:id="46" w:name="X2c18add33f44671e0653e305b23167b40473fec"/>
    <w:p>
      <w:pPr>
        <w:pStyle w:val="Heading2"/>
      </w:pPr>
      <w:r>
        <w:t xml:space="preserve">Electrical and thermal conductivity at key binary and ternary compositions</w:t>
      </w:r>
    </w:p>
    <w:bookmarkStart w:id="37" w:name="pure-metal-baselines"/>
    <w:p>
      <w:pPr>
        <w:pStyle w:val="Heading3"/>
      </w:pPr>
      <w:r>
        <w:t xml:space="preserve">Pure-metal baselines</w:t>
      </w:r>
    </w:p>
    <w:p>
      <w:pPr>
        <w:pStyle w:val="FirstParagraph"/>
      </w:pPr>
      <w:r>
        <w:t xml:space="preserve">Room‑temperature transport in coinage metals is dominated by electronic conduction. Representative thermal conductivity values for pure Ag, Cu, and Au are commonly tabulated with Ag highest, then Cu, then Au.</w:t>
      </w:r>
      <w:r>
        <w:t xml:space="preserve"> </w:t>
      </w:r>
      <w:hyperlink r:id="rId36">
        <w:r>
          <w:rPr>
            <w:rStyle w:val="Hyperlink"/>
          </w:rPr>
          <w:t xml:space="preserve">[14]</w:t>
        </w:r>
      </w:hyperlink>
    </w:p>
    <w:p>
      <w:pPr>
        <w:pStyle w:val="BodyText"/>
      </w:pPr>
      <w:r>
        <w:rPr>
          <w:b/>
          <w:bCs/>
        </w:rPr>
        <w:t xml:space="preserve">Key implication:</w:t>
      </w:r>
      <w:r>
        <w:t xml:space="preserve"> </w:t>
      </w:r>
      <w:r>
        <w:t xml:space="preserve">any alloying (chemical disorder, second phases, and especially fine phase boundaries) increases electron scattering and typically</w:t>
      </w:r>
      <w:r>
        <w:t xml:space="preserve"> </w:t>
      </w:r>
      <w:r>
        <w:rPr>
          <w:b/>
          <w:bCs/>
        </w:rPr>
        <w:t xml:space="preserve">reduces both electrical and thermal conductivity</w:t>
      </w:r>
      <w:r>
        <w:t xml:space="preserve">.</w:t>
      </w:r>
    </w:p>
    <w:bookmarkEnd w:id="37"/>
    <w:bookmarkStart w:id="39" w:name="Xe05bf3686434956d81e19d2d9ea489f81dc7588"/>
    <w:p>
      <w:pPr>
        <w:pStyle w:val="Heading3"/>
      </w:pPr>
      <w:r>
        <w:t xml:space="preserve">Au–Ag (isomorphous solid solution): strong, well-documented nonlinearity in resistivity</w:t>
      </w:r>
    </w:p>
    <w:p>
      <w:pPr>
        <w:pStyle w:val="FirstParagraph"/>
      </w:pPr>
      <w:r>
        <w:t xml:space="preserve">The NIST/J. Phys. Chem. Ref. Data critical evaluation provides recommended electrical resistivity values for</w:t>
      </w:r>
      <w:r>
        <w:t xml:space="preserve"> </w:t>
      </w:r>
      <w:r>
        <w:rPr>
          <w:b/>
          <w:bCs/>
        </w:rPr>
        <w:t xml:space="preserve">25 Au–Ag compositions</w:t>
      </w:r>
      <w:r>
        <w:t xml:space="preserve">, across wide temperature ranges.</w:t>
      </w:r>
      <w:r>
        <w:t xml:space="preserve"> </w:t>
      </w:r>
      <w:hyperlink r:id="rId22">
        <w:r>
          <w:rPr>
            <w:rStyle w:val="Hyperlink"/>
          </w:rPr>
          <w:t xml:space="preserve">[15]</w:t>
        </w:r>
      </w:hyperlink>
      <w:r>
        <w:t xml:space="preserve"> </w:t>
      </w:r>
      <w:r>
        <w:t xml:space="preserve">Two results from that dataset matter most for your “nonlinear regions” question:</w:t>
      </w:r>
    </w:p>
    <w:p>
      <w:pPr>
        <w:pStyle w:val="BodyText"/>
      </w:pPr>
      <w:r>
        <w:t xml:space="preserve">1)</w:t>
      </w:r>
      <w:r>
        <w:t xml:space="preserve"> </w:t>
      </w:r>
      <w:r>
        <w:rPr>
          <w:b/>
          <w:bCs/>
        </w:rPr>
        <w:t xml:space="preserve">Resistivity rises dramatically away from pure metals</w:t>
      </w:r>
      <w:r>
        <w:t xml:space="preserve">, far above linear interpolation, consistent with strong alloy‑scattering behavior (Nordheim/Mott‑type).</w:t>
      </w:r>
      <w:r>
        <w:t xml:space="preserve"> </w:t>
      </w:r>
      <w:hyperlink r:id="rId38">
        <w:r>
          <w:rPr>
            <w:rStyle w:val="Hyperlink"/>
          </w:rPr>
          <w:t xml:space="preserve">[16]</w:t>
        </w:r>
      </w:hyperlink>
      <w:r>
        <w:br/>
      </w:r>
      <w:r>
        <w:t xml:space="preserve">2)</w:t>
      </w:r>
      <w:r>
        <w:t xml:space="preserve"> </w:t>
      </w:r>
      <w:r>
        <w:rPr>
          <w:b/>
          <w:bCs/>
        </w:rPr>
        <w:t xml:space="preserve">Short‑range order (SRO) and thermal history can measurably change resistivity</w:t>
      </w:r>
      <w:r>
        <w:t xml:space="preserve">, and NIST notes that resistivity changes upon annealing/SRO formation can be on the order of a few percent (reported up to ~2% in the Au–Ag discussion).</w:t>
      </w:r>
      <w:r>
        <w:t xml:space="preserve"> </w:t>
      </w:r>
      <w:hyperlink r:id="rId22">
        <w:r>
          <w:rPr>
            <w:rStyle w:val="Hyperlink"/>
          </w:rPr>
          <w:t xml:space="preserve">[17]</w:t>
        </w:r>
      </w:hyperlink>
    </w:p>
    <w:p>
      <w:pPr>
        <w:pStyle w:val="BodyText"/>
      </w:pPr>
      <w:r>
        <w:t xml:space="preserve">From the NIST Au–Ag tables at ~300 K (units in the table are 10⁻⁸ Ω·m): pure Au is ~2.27, while mid‑range alloys shown (e.g., Au 65%–Ag 35%) are ~11.14—about a ~5× resistivity increase versus pure Au.</w:t>
      </w:r>
      <w:r>
        <w:t xml:space="preserve"> </w:t>
      </w:r>
      <w:hyperlink r:id="rId22">
        <w:r>
          <w:rPr>
            <w:rStyle w:val="Hyperlink"/>
          </w:rPr>
          <w:t xml:space="preserve">[18]</w:t>
        </w:r>
      </w:hyperlink>
    </w:p>
    <w:p>
      <w:pPr>
        <w:pStyle w:val="BodyText"/>
      </w:pPr>
      <w:r>
        <w:t xml:space="preserve">That magnitude of increase is the clearest “divergence from linear interpolation” in the Au–Ag pair:</w:t>
      </w:r>
      <w:r>
        <w:t xml:space="preserve"> </w:t>
      </w:r>
      <w:r>
        <w:rPr>
          <w:b/>
          <w:bCs/>
        </w:rPr>
        <w:t xml:space="preserve">electrical conductivity collapses at intermediate compositions</w:t>
      </w:r>
      <w:r>
        <w:t xml:space="preserve"> </w:t>
      </w:r>
      <w:r>
        <w:t xml:space="preserve">even though both endpoints are excellent conductors.</w:t>
      </w:r>
    </w:p>
    <w:bookmarkEnd w:id="39"/>
    <w:bookmarkStart w:id="40" w:name="X4145c1ba2208306002bb4633385ffd4636ac0d7"/>
    <w:p>
      <w:pPr>
        <w:pStyle w:val="Heading3"/>
      </w:pPr>
      <w:r>
        <w:t xml:space="preserve">Cu–Au (ordering system): transport depends on ordering state, not just composition</w:t>
      </w:r>
    </w:p>
    <w:p>
      <w:pPr>
        <w:pStyle w:val="FirstParagraph"/>
      </w:pPr>
      <w:r>
        <w:t xml:space="preserve">For Cu–Au, NIST summarizes that the system forms continuous solid solutions over composition, but</w:t>
      </w:r>
      <w:r>
        <w:t xml:space="preserve"> </w:t>
      </w:r>
      <w:r>
        <w:rPr>
          <w:b/>
          <w:bCs/>
        </w:rPr>
        <w:t xml:space="preserve">ordered structures appear below ~663 K</w:t>
      </w:r>
      <w:r>
        <w:t xml:space="preserve"> </w:t>
      </w:r>
      <w:r>
        <w:t xml:space="preserve">for broad Au composition windows, corresponding to intermetallic ordering (Cu_3Au, CuAu, CuAu_3).</w:t>
      </w:r>
      <w:r>
        <w:t xml:space="preserve"> </w:t>
      </w:r>
      <w:hyperlink r:id="rId22">
        <w:r>
          <w:rPr>
            <w:rStyle w:val="Hyperlink"/>
          </w:rPr>
          <w:t xml:space="preserve">[19]</w:t>
        </w:r>
      </w:hyperlink>
    </w:p>
    <w:p>
      <w:pPr>
        <w:pStyle w:val="BodyText"/>
      </w:pPr>
      <w:r>
        <w:t xml:space="preserve">The same NIST source highlights a key transport nonlinearity:</w:t>
      </w:r>
      <w:r>
        <w:t xml:space="preserve"> </w:t>
      </w:r>
      <w:r>
        <w:rPr>
          <w:b/>
          <w:bCs/>
        </w:rPr>
        <w:t xml:space="preserve">for Cu_3Au and CuAu, the ordered state has much lower resistivity than the disordered state</w:t>
      </w:r>
      <w:r>
        <w:t xml:space="preserve">, while for CuAu_3 some data indicate resistivity increases as ordering proceeds below the transition point (with residual resistivity slightly lower in the highly ordered state).</w:t>
      </w:r>
      <w:r>
        <w:t xml:space="preserve"> </w:t>
      </w:r>
      <w:hyperlink r:id="rId22">
        <w:r>
          <w:rPr>
            <w:rStyle w:val="Hyperlink"/>
          </w:rPr>
          <w:t xml:space="preserve">[19]</w:t>
        </w:r>
      </w:hyperlink>
    </w:p>
    <w:p>
      <w:pPr>
        <w:pStyle w:val="BodyText"/>
      </w:pPr>
      <w:r>
        <w:t xml:space="preserve">Even restricting to the “recommended” (primarily disordered) resistivity values at ~300 K, Cu–Au still shows large curvature: for example, in the Cu‑rich range shown, resistivity rises from ~4.38×10⁻⁸ Ω·m at Cu85Au15 to ~9.36×10⁻⁸ Ω·m at Cu60Au40 (300 K).</w:t>
      </w:r>
      <w:r>
        <w:t xml:space="preserve"> </w:t>
      </w:r>
      <w:hyperlink r:id="rId22">
        <w:r>
          <w:rPr>
            <w:rStyle w:val="Hyperlink"/>
          </w:rPr>
          <w:t xml:space="preserve">[20]</w:t>
        </w:r>
      </w:hyperlink>
    </w:p>
    <w:p>
      <w:pPr>
        <w:pStyle w:val="BodyText"/>
      </w:pPr>
      <w:r>
        <w:t xml:space="preserve">This is another strong example where</w:t>
      </w:r>
      <w:r>
        <w:t xml:space="preserve"> </w:t>
      </w:r>
      <w:r>
        <w:rPr>
          <w:b/>
          <w:bCs/>
        </w:rPr>
        <w:t xml:space="preserve">linear mixture rules fail</w:t>
      </w:r>
      <w:r>
        <w:t xml:space="preserve">, and where</w:t>
      </w:r>
      <w:r>
        <w:t xml:space="preserve"> </w:t>
      </w:r>
      <w:r>
        <w:rPr>
          <w:b/>
          <w:bCs/>
        </w:rPr>
        <w:t xml:space="preserve">heat treatment (ordering/disordering) can swing properties at a fixed composition</w:t>
      </w:r>
      <w:r>
        <w:t xml:space="preserve">.</w:t>
      </w:r>
    </w:p>
    <w:bookmarkEnd w:id="40"/>
    <w:bookmarkStart w:id="43" w:name="X69259f40c5ff912841165ff0a08ed988d6cdd21"/>
    <w:p>
      <w:pPr>
        <w:pStyle w:val="Heading3"/>
      </w:pPr>
      <w:r>
        <w:t xml:space="preserve">Ag–Cu (eutectic + miscibility gap): high conductivity can persist by two-phase percolation</w:t>
      </w:r>
    </w:p>
    <w:p>
      <w:pPr>
        <w:pStyle w:val="FirstParagraph"/>
      </w:pPr>
      <w:r>
        <w:t xml:space="preserve">Ag–Cu is the binary in your ternary that most directly supports eutectic metallurgy. NIST’s Ag–Cu phase equilibrium page gives the</w:t>
      </w:r>
      <w:r>
        <w:t xml:space="preserve"> </w:t>
      </w:r>
      <w:r>
        <w:rPr>
          <w:b/>
          <w:bCs/>
        </w:rPr>
        <w:t xml:space="preserve">eutectic reaction</w:t>
      </w:r>
      <w:r>
        <w:t xml:space="preserve">:</w:t>
      </w:r>
    </w:p>
    <w:p>
      <w:pPr>
        <w:pStyle w:val="Compact"/>
        <w:numPr>
          <w:ilvl w:val="0"/>
          <w:numId w:val="1003"/>
        </w:numPr>
      </w:pPr>
      <w:r>
        <w:rPr>
          <w:b/>
          <w:bCs/>
        </w:rPr>
        <w:t xml:space="preserve">L → (Ag) + (Cu)</w:t>
      </w:r>
      <w:r>
        <w:t xml:space="preserve"> </w:t>
      </w:r>
      <w:r>
        <w:t xml:space="preserve">at</w:t>
      </w:r>
      <w:r>
        <w:t xml:space="preserve"> </w:t>
      </w:r>
      <w:r>
        <w:rPr>
          <w:b/>
          <w:bCs/>
        </w:rPr>
        <w:t xml:space="preserve">779.1 °C</w:t>
      </w:r>
      <w:r>
        <w:t xml:space="preserve">, with eutectic liquid composition</w:t>
      </w:r>
      <w:r>
        <w:t xml:space="preserve"> </w:t>
      </w:r>
      <w:r>
        <w:rPr>
          <w:b/>
          <w:bCs/>
        </w:rPr>
        <w:t xml:space="preserve">71.59 mass% Ag / 28.41 mass% Cu</w:t>
      </w:r>
      <w:r>
        <w:t xml:space="preserve">.</w:t>
      </w:r>
      <w:r>
        <w:t xml:space="preserve"> </w:t>
      </w:r>
      <w:hyperlink r:id="rId41">
        <w:r>
          <w:rPr>
            <w:rStyle w:val="Hyperlink"/>
          </w:rPr>
          <w:t xml:space="preserve">[21]</w:t>
        </w:r>
      </w:hyperlink>
    </w:p>
    <w:p>
      <w:pPr>
        <w:pStyle w:val="FirstParagraph"/>
      </w:pPr>
      <w:r>
        <w:t xml:space="preserve">This eutectic composition is also industrially standardized in brazing contexts (commonly referred to as “Ag72Cu28” class alloys), which are valued for flow/wetting and relatively high conductivity. A representative vendor technical sheet for Ag72Cu gives</w:t>
      </w:r>
      <w:r>
        <w:t xml:space="preserve"> </w:t>
      </w:r>
      <w:r>
        <w:rPr>
          <w:b/>
          <w:bCs/>
        </w:rPr>
        <w:t xml:space="preserve">electrical conductivity ~48 MS/m</w:t>
      </w:r>
      <w:r>
        <w:t xml:space="preserve"> </w:t>
      </w:r>
      <w:r>
        <w:t xml:space="preserve">and</w:t>
      </w:r>
      <w:r>
        <w:t xml:space="preserve"> </w:t>
      </w:r>
      <w:r>
        <w:rPr>
          <w:b/>
          <w:bCs/>
        </w:rPr>
        <w:t xml:space="preserve">thermal conductivity ~290 W/m·K</w:t>
      </w:r>
      <w:r>
        <w:t xml:space="preserve"> </w:t>
      </w:r>
      <w:r>
        <w:t xml:space="preserve">(room-temperature property context).</w:t>
      </w:r>
      <w:r>
        <w:t xml:space="preserve"> </w:t>
      </w:r>
      <w:hyperlink r:id="rId41">
        <w:r>
          <w:rPr>
            <w:rStyle w:val="Hyperlink"/>
          </w:rPr>
          <w:t xml:space="preserve">[22]</w:t>
        </w:r>
      </w:hyperlink>
    </w:p>
    <w:p>
      <w:pPr>
        <w:pStyle w:val="BodyText"/>
      </w:pPr>
      <w:r>
        <w:rPr>
          <w:b/>
          <w:bCs/>
        </w:rPr>
        <w:t xml:space="preserve">Why this is “nonlinear” in a different way:</w:t>
      </w:r>
      <w:r>
        <w:t xml:space="preserve"> </w:t>
      </w:r>
      <w:r>
        <w:t xml:space="preserve">because the room‑temperature eutectic is typically a</w:t>
      </w:r>
      <w:r>
        <w:t xml:space="preserve"> </w:t>
      </w:r>
      <w:r>
        <w:rPr>
          <w:b/>
          <w:bCs/>
        </w:rPr>
        <w:t xml:space="preserve">two‑phase mixture (Ag‑rich + Cu‑rich)</w:t>
      </w:r>
      <w:r>
        <w:t xml:space="preserve"> </w:t>
      </w:r>
      <w:r>
        <w:t xml:space="preserve">rather than a fully random solid solution, electrical conductivity can be</w:t>
      </w:r>
      <w:r>
        <w:t xml:space="preserve"> </w:t>
      </w:r>
      <w:r>
        <w:rPr>
          <w:b/>
          <w:bCs/>
        </w:rPr>
        <w:t xml:space="preserve">higher than an equivalent‑composition solid solution would be</w:t>
      </w:r>
      <w:r>
        <w:t xml:space="preserve">, because electrons percolate through high‑conductivity phases rather than being scattered by pervasive chemical disorder. (This same contrast—two‑phase mixture vs solid solution—appears in general alloy conduction teaching materials.)</w:t>
      </w:r>
      <w:r>
        <w:t xml:space="preserve"> </w:t>
      </w:r>
      <w:hyperlink r:id="rId42">
        <w:r>
          <w:rPr>
            <w:rStyle w:val="Hyperlink"/>
          </w:rPr>
          <w:t xml:space="preserve">[23]</w:t>
        </w:r>
      </w:hyperlink>
    </w:p>
    <w:bookmarkEnd w:id="43"/>
    <w:bookmarkStart w:id="45" w:name="X8566fdebb2e4903ea7b0b42bafeeb798f9fa884"/>
    <w:p>
      <w:pPr>
        <w:pStyle w:val="Heading3"/>
      </w:pPr>
      <w:r>
        <w:t xml:space="preserve">Practical ternary ratios used in metallurgy: “18K” Au–Ag–Cu families</w:t>
      </w:r>
    </w:p>
    <w:p>
      <w:pPr>
        <w:pStyle w:val="FirstParagraph"/>
      </w:pPr>
      <w:r>
        <w:t xml:space="preserve">Industrial “karat gold” compositions (e.g., 18K ~75 wt% Au) commonly occupy the Au‑rich corner of the ternary. A classic metallurgy paper on Au–Cu–Ag age hardening reports multiple commercial Au–Cu–Ag alloys explicitly labeled</w:t>
      </w:r>
      <w:r>
        <w:t xml:space="preserve"> </w:t>
      </w:r>
      <w:r>
        <w:rPr>
          <w:b/>
          <w:bCs/>
        </w:rPr>
        <w:t xml:space="preserve">18K, 14K, 10K</w:t>
      </w:r>
      <w:r>
        <w:t xml:space="preserve">, and provides measured compositions such as (18K examples, wt%): Au ~74.95, Cu ~17.56 + Ag ~7.33; or Au ~74.99, Cu ~9.42 + Ag ~15.14.</w:t>
      </w:r>
      <w:r>
        <w:t xml:space="preserve"> </w:t>
      </w:r>
      <w:hyperlink r:id="rId44">
        <w:r>
          <w:rPr>
            <w:rStyle w:val="Hyperlink"/>
          </w:rPr>
          <w:t xml:space="preserve">[24]</w:t>
        </w:r>
      </w:hyperlink>
    </w:p>
    <w:p>
      <w:pPr>
        <w:pStyle w:val="BodyText"/>
      </w:pPr>
      <w:r>
        <w:t xml:space="preserve">These alloys sit in the regime where:</w:t>
      </w:r>
      <w:r>
        <w:t xml:space="preserve"> </w:t>
      </w:r>
      <w:r>
        <w:t xml:space="preserve">- the matrix can be high‑temperature single‑phase fcc,</w:t>
      </w:r>
      <w:r>
        <w:t xml:space="preserve"> </w:t>
      </w:r>
      <w:r>
        <w:t xml:space="preserve">- but cooling/aging crosses into two‑phase fields and/or ordering‑related transformations, producing major property changes without changing bulk composition.</w:t>
      </w:r>
      <w:r>
        <w:t xml:space="preserve"> </w:t>
      </w:r>
      <w:hyperlink r:id="rId44">
        <w:r>
          <w:rPr>
            <w:rStyle w:val="Hyperlink"/>
          </w:rPr>
          <w:t xml:space="preserve">[25]</w:t>
        </w:r>
      </w:hyperlink>
    </w:p>
    <w:bookmarkEnd w:id="45"/>
    <w:bookmarkEnd w:id="46"/>
    <w:bookmarkStart w:id="53" w:name="X33f98d0ec5ea36589e857944a77899f369cdec4"/>
    <w:p>
      <w:pPr>
        <w:pStyle w:val="Heading2"/>
      </w:pPr>
      <w:r>
        <w:t xml:space="preserve">Crystal microstructure vs composition: phase fields, lattice parameters, miscibility gaps, and ordering</w:t>
      </w:r>
    </w:p>
    <w:bookmarkStart w:id="47" w:name="Xd83f82a97b1d9458dd72c655b00f18f0ba39194"/>
    <w:p>
      <w:pPr>
        <w:pStyle w:val="Heading3"/>
      </w:pPr>
      <w:r>
        <w:t xml:space="preserve">Binary “building blocks” that control ternary microstructures</w:t>
      </w:r>
    </w:p>
    <w:p>
      <w:pPr>
        <w:pStyle w:val="FirstParagraph"/>
      </w:pPr>
      <w:r>
        <w:t xml:space="preserve">A good first‑principles summary of the three binaries (often used as the conceptual basis for the ternary) describes:</w:t>
      </w:r>
    </w:p>
    <w:p>
      <w:pPr>
        <w:pStyle w:val="Compact"/>
        <w:numPr>
          <w:ilvl w:val="0"/>
          <w:numId w:val="1004"/>
        </w:numPr>
      </w:pPr>
      <w:r>
        <w:rPr>
          <w:b/>
          <w:bCs/>
        </w:rPr>
        <w:t xml:space="preserve">Cu–Au:</w:t>
      </w:r>
      <w:r>
        <w:t xml:space="preserve"> </w:t>
      </w:r>
      <w:r>
        <w:t xml:space="preserve">order–disorder transitions and multiphase coexistence,</w:t>
      </w:r>
    </w:p>
    <w:p>
      <w:pPr>
        <w:pStyle w:val="Compact"/>
        <w:numPr>
          <w:ilvl w:val="0"/>
          <w:numId w:val="1004"/>
        </w:numPr>
      </w:pPr>
      <w:r>
        <w:rPr>
          <w:b/>
          <w:bCs/>
        </w:rPr>
        <w:t xml:space="preserve">Cu–Ag:</w:t>
      </w:r>
      <w:r>
        <w:t xml:space="preserve"> </w:t>
      </w:r>
      <w:r>
        <w:t xml:space="preserve">limited solubility and a broad miscibility gap,</w:t>
      </w:r>
    </w:p>
    <w:p>
      <w:pPr>
        <w:pStyle w:val="Compact"/>
        <w:numPr>
          <w:ilvl w:val="0"/>
          <w:numId w:val="1004"/>
        </w:numPr>
      </w:pPr>
      <w:r>
        <w:rPr>
          <w:b/>
          <w:bCs/>
        </w:rPr>
        <w:t xml:space="preserve">Ag–Au:</w:t>
      </w:r>
      <w:r>
        <w:t xml:space="preserve"> </w:t>
      </w:r>
      <w:r>
        <w:t xml:space="preserve">complete solid solutions.</w:t>
      </w:r>
      <w:r>
        <w:t xml:space="preserve"> </w:t>
      </w:r>
      <w:hyperlink r:id="rId23">
        <w:r>
          <w:rPr>
            <w:rStyle w:val="Hyperlink"/>
          </w:rPr>
          <w:t xml:space="preserve">[26]</w:t>
        </w:r>
      </w:hyperlink>
    </w:p>
    <w:p>
      <w:pPr>
        <w:pStyle w:val="FirstParagraph"/>
      </w:pPr>
      <w:r>
        <w:t xml:space="preserve">NIST’s Ag–Cu page gives not only the eutectic but also the fcc phase prototypes (A1, Fm‑3m) for (Ag) and (Cu), consistent with two‑fcc‑phase equilibria at many temperatures.</w:t>
      </w:r>
      <w:r>
        <w:t xml:space="preserve"> </w:t>
      </w:r>
      <w:hyperlink r:id="rId41">
        <w:r>
          <w:rPr>
            <w:rStyle w:val="Hyperlink"/>
          </w:rPr>
          <w:t xml:space="preserve">[21]</w:t>
        </w:r>
      </w:hyperlink>
    </w:p>
    <w:bookmarkEnd w:id="47"/>
    <w:bookmarkStart w:id="48" w:name="Xff0336169af0d384d999ba7c44d4c9da17e8c75"/>
    <w:p>
      <w:pPr>
        <w:pStyle w:val="Heading3"/>
      </w:pPr>
      <w:r>
        <w:t xml:space="preserve">Ternary equilibrium picture and how it shifts with temperature</w:t>
      </w:r>
    </w:p>
    <w:p>
      <w:pPr>
        <w:pStyle w:val="FirstParagraph"/>
      </w:pPr>
      <w:r>
        <w:t xml:space="preserve">A metallurgy study of Au–Cu–Ag alloys (commercial karat alloys + electroplated layers) includes a ternary equilibrium diagram (schematic 3D view) and notes that in the</w:t>
      </w:r>
      <w:r>
        <w:t xml:space="preserve"> </w:t>
      </w:r>
      <w:r>
        <w:rPr>
          <w:b/>
          <w:bCs/>
        </w:rPr>
        <w:t xml:space="preserve">18K composition range</w:t>
      </w:r>
      <w:r>
        <w:t xml:space="preserve"> </w:t>
      </w:r>
      <w:r>
        <w:t xml:space="preserve">the alloy can be</w:t>
      </w:r>
      <w:r>
        <w:t xml:space="preserve"> </w:t>
      </w:r>
      <w:r>
        <w:rPr>
          <w:b/>
          <w:bCs/>
        </w:rPr>
        <w:t xml:space="preserve">complete single‑phase solid solution above roughly ~400 °C</w:t>
      </w:r>
      <w:r>
        <w:t xml:space="preserve">, but on cooling to below ~300 °C it shifts into an</w:t>
      </w:r>
      <w:r>
        <w:t xml:space="preserve"> </w:t>
      </w:r>
      <w:r>
        <w:rPr>
          <w:b/>
          <w:bCs/>
        </w:rPr>
        <w:t xml:space="preserve">α + β two‑phase region</w:t>
      </w:r>
      <w:r>
        <w:t xml:space="preserve"> </w:t>
      </w:r>
      <w:r>
        <w:t xml:space="preserve">(precipitation/phase separation).</w:t>
      </w:r>
      <w:r>
        <w:t xml:space="preserve"> </w:t>
      </w:r>
      <w:hyperlink r:id="rId44">
        <w:r>
          <w:rPr>
            <w:rStyle w:val="Hyperlink"/>
          </w:rPr>
          <w:t xml:space="preserve">[24]</w:t>
        </w:r>
      </w:hyperlink>
    </w:p>
    <w:p>
      <w:pPr>
        <w:pStyle w:val="BodyText"/>
      </w:pPr>
      <w:r>
        <w:t xml:space="preserve">This same study also links hardness maxima to the</w:t>
      </w:r>
      <w:r>
        <w:t xml:space="preserve"> </w:t>
      </w:r>
      <w:r>
        <w:rPr>
          <w:b/>
          <w:bCs/>
        </w:rPr>
        <w:t xml:space="preserve">ordering temperature range</w:t>
      </w:r>
      <w:r>
        <w:t xml:space="preserve">, emphasizing that alloys that “acquire an ordered state” can reach maximum hardness at aging temperatures just below the ordering region, whereas alloys not proven to become ordered show peak hardness earlier (before strong precipitate growth).</w:t>
      </w:r>
      <w:r>
        <w:t xml:space="preserve"> </w:t>
      </w:r>
      <w:hyperlink r:id="rId44">
        <w:r>
          <w:rPr>
            <w:rStyle w:val="Hyperlink"/>
          </w:rPr>
          <w:t xml:space="preserve">[27]</w:t>
        </w:r>
      </w:hyperlink>
    </w:p>
    <w:bookmarkEnd w:id="48"/>
    <w:bookmarkStart w:id="50" w:name="X7ffcef4df8538b2368cdcbc9da2c181cc3a833f"/>
    <w:p>
      <w:pPr>
        <w:pStyle w:val="Heading3"/>
      </w:pPr>
      <w:r>
        <w:t xml:space="preserve">Composition-dependent microstructures during aging: spinodal decomposition, ordering, and discontinuous precipitation</w:t>
      </w:r>
    </w:p>
    <w:p>
      <w:pPr>
        <w:pStyle w:val="FirstParagraph"/>
      </w:pPr>
      <w:r>
        <w:t xml:space="preserve">Modern and classic Au–Ag–Cu aging studies converge on a consistent microstructural sequence in many Au‑rich ternaries:</w:t>
      </w:r>
    </w:p>
    <w:p>
      <w:pPr>
        <w:pStyle w:val="Compact"/>
        <w:numPr>
          <w:ilvl w:val="0"/>
          <w:numId w:val="1005"/>
        </w:numPr>
      </w:pPr>
      <w:r>
        <w:rPr>
          <w:b/>
          <w:bCs/>
        </w:rPr>
        <w:t xml:space="preserve">Spinodal decomposition / phase separation</w:t>
      </w:r>
      <w:r>
        <w:t xml:space="preserve"> </w:t>
      </w:r>
      <w:r>
        <w:t xml:space="preserve">into Ag‑rich and Cu‑rich modulations can drive rapid initial hardening.</w:t>
      </w:r>
      <w:r>
        <w:t xml:space="preserve"> </w:t>
      </w:r>
      <w:hyperlink r:id="rId49">
        <w:r>
          <w:rPr>
            <w:rStyle w:val="Hyperlink"/>
          </w:rPr>
          <w:t xml:space="preserve">[28]</w:t>
        </w:r>
      </w:hyperlink>
    </w:p>
    <w:p>
      <w:pPr>
        <w:pStyle w:val="Compact"/>
        <w:numPr>
          <w:ilvl w:val="0"/>
          <w:numId w:val="1005"/>
        </w:numPr>
      </w:pPr>
      <w:r>
        <w:rPr>
          <w:b/>
          <w:bCs/>
        </w:rPr>
        <w:t xml:space="preserve">Ordering of Cu‑rich regions</w:t>
      </w:r>
      <w:r>
        <w:t xml:space="preserve"> </w:t>
      </w:r>
      <w:r>
        <w:t xml:space="preserve">into ordered Au–Cu phases (e.g., AuCu I, Cu_3Au‑type/L1₂ ordering) can provide additional strengthening, but can also accelerate grain‑boundary reactions that eventually soften the alloy.</w:t>
      </w:r>
      <w:r>
        <w:t xml:space="preserve"> </w:t>
      </w:r>
      <w:hyperlink r:id="rId49">
        <w:r>
          <w:rPr>
            <w:rStyle w:val="Hyperlink"/>
          </w:rPr>
          <w:t xml:space="preserve">[28]</w:t>
        </w:r>
      </w:hyperlink>
    </w:p>
    <w:p>
      <w:pPr>
        <w:pStyle w:val="Compact"/>
        <w:numPr>
          <w:ilvl w:val="0"/>
          <w:numId w:val="1005"/>
        </w:numPr>
      </w:pPr>
      <w:r>
        <w:rPr>
          <w:b/>
          <w:bCs/>
        </w:rPr>
        <w:t xml:space="preserve">Grain-boundary discontinuous precipitation (DP)</w:t>
      </w:r>
      <w:r>
        <w:t xml:space="preserve"> </w:t>
      </w:r>
      <w:r>
        <w:t xml:space="preserve">can form lamellar Ag‑rich / Cu‑rich (or Ag‑rich / ordered Au–Cu) structures that coarsen and reduce hardness.</w:t>
      </w:r>
      <w:r>
        <w:t xml:space="preserve"> </w:t>
      </w:r>
      <w:hyperlink r:id="rId49">
        <w:r>
          <w:rPr>
            <w:rStyle w:val="Hyperlink"/>
          </w:rPr>
          <w:t xml:space="preserve">[29]</w:t>
        </w:r>
      </w:hyperlink>
    </w:p>
    <w:p>
      <w:pPr>
        <w:pStyle w:val="FirstParagraph"/>
      </w:pPr>
      <w:r>
        <w:t xml:space="preserve">A detailed Au–Ag–Cu dental alloy study reports (for a commercial alloy containing Au–Ag–Cu plus Pd, Zn) that the</w:t>
      </w:r>
      <w:r>
        <w:t xml:space="preserve"> </w:t>
      </w:r>
      <w:r>
        <w:rPr>
          <w:b/>
          <w:bCs/>
        </w:rPr>
        <w:t xml:space="preserve">initial rapid hardening</w:t>
      </w:r>
      <w:r>
        <w:t xml:space="preserve"> </w:t>
      </w:r>
      <w:r>
        <w:t xml:space="preserve">is attributed to spinodal decomposition into metastable Ag‑rich′ and Cu‑rich′ phases, followed by transformation toward stable Ag‑rich α₁ and ordered AuCu I (via metastable AuCu I′). It also documents a</w:t>
      </w:r>
      <w:r>
        <w:t xml:space="preserve"> </w:t>
      </w:r>
      <w:r>
        <w:rPr>
          <w:b/>
          <w:bCs/>
        </w:rPr>
        <w:t xml:space="preserve">lamellar grain‑boundary structure</w:t>
      </w:r>
      <w:r>
        <w:t xml:space="preserve"> </w:t>
      </w:r>
      <w:r>
        <w:t xml:space="preserve">that grows and initiates softening before the grain interior reaches maximum hardness.</w:t>
      </w:r>
      <w:r>
        <w:t xml:space="preserve"> </w:t>
      </w:r>
      <w:hyperlink r:id="rId49">
        <w:r>
          <w:rPr>
            <w:rStyle w:val="Hyperlink"/>
          </w:rPr>
          <w:t xml:space="preserve">[30]</w:t>
        </w:r>
      </w:hyperlink>
    </w:p>
    <w:p>
      <w:pPr>
        <w:pStyle w:val="BodyText"/>
      </w:pPr>
      <w:r>
        <w:t xml:space="preserve">These mechanisms are central to understanding why</w:t>
      </w:r>
      <w:r>
        <w:t xml:space="preserve"> </w:t>
      </w:r>
      <w:r>
        <w:rPr>
          <w:b/>
          <w:bCs/>
        </w:rPr>
        <w:t xml:space="preserve">microstructure changes with composition are not smooth</w:t>
      </w:r>
      <w:r>
        <w:t xml:space="preserve">: small shifts in Au/Cu/Ag ratios can move an alloy between “mostly ordering‑controlled” vs “mostly phase‑separation‑controlled” aging paths.</w:t>
      </w:r>
    </w:p>
    <w:bookmarkEnd w:id="50"/>
    <w:bookmarkStart w:id="52" w:name="X53e93e2386844386b4ea3afc9aa869585188dbe"/>
    <w:p>
      <w:pPr>
        <w:pStyle w:val="Heading3"/>
      </w:pPr>
      <w:r>
        <w:t xml:space="preserve">Lattice parameter trends and Vegard-type behavior</w:t>
      </w:r>
    </w:p>
    <w:p>
      <w:pPr>
        <w:pStyle w:val="FirstParagraph"/>
      </w:pPr>
      <w:r>
        <w:t xml:space="preserve">For Au–Ag, lattice parameter variation is often “near‑Vegard” but with measurable deviations. A dedicated XRD lattice-parameter study of Ag–Au solid solutions reports that the lattice parameter curve shows</w:t>
      </w:r>
      <w:r>
        <w:t xml:space="preserve"> </w:t>
      </w:r>
      <w:r>
        <w:rPr>
          <w:b/>
          <w:bCs/>
        </w:rPr>
        <w:t xml:space="preserve">negative deviations from Vegard’s law</w:t>
      </w:r>
      <w:r>
        <w:t xml:space="preserve"> </w:t>
      </w:r>
      <w:r>
        <w:t xml:space="preserve">and discusses the implications for defect volumes and thermodynamics.</w:t>
      </w:r>
      <w:r>
        <w:t xml:space="preserve"> </w:t>
      </w:r>
      <w:hyperlink r:id="rId51">
        <w:r>
          <w:rPr>
            <w:rStyle w:val="Hyperlink"/>
          </w:rPr>
          <w:t xml:space="preserve">[31]</w:t>
        </w:r>
      </w:hyperlink>
    </w:p>
    <w:p>
      <w:pPr>
        <w:pStyle w:val="BodyText"/>
      </w:pPr>
      <w:r>
        <w:t xml:space="preserve">In the ternary, lattice parameter trends are often treated as an extension of Vegard‑type mixing within single‑phase fcc regions, but</w:t>
      </w:r>
      <w:r>
        <w:t xml:space="preserve"> </w:t>
      </w:r>
      <w:r>
        <w:rPr>
          <w:b/>
          <w:bCs/>
        </w:rPr>
        <w:t xml:space="preserve">miscibility gaps (Ag–Cu‑driven) and ordering (Au–Cu‑driven)</w:t>
      </w:r>
      <w:r>
        <w:t xml:space="preserve"> </w:t>
      </w:r>
      <w:r>
        <w:t xml:space="preserve">break the assumption of a single homogeneous fcc lattice across the full triangle.</w:t>
      </w:r>
      <w:r>
        <w:t xml:space="preserve"> </w:t>
      </w:r>
      <w:hyperlink r:id="rId23">
        <w:r>
          <w:rPr>
            <w:rStyle w:val="Hyperlink"/>
          </w:rPr>
          <w:t xml:space="preserve">[32]</w:t>
        </w:r>
      </w:hyperlink>
    </w:p>
    <w:bookmarkEnd w:id="52"/>
    <w:bookmarkEnd w:id="53"/>
    <w:bookmarkStart w:id="58" w:name="X7cbe73f14bb02b98be599e560c8660d5497ba39"/>
    <w:p>
      <w:pPr>
        <w:pStyle w:val="Heading2"/>
      </w:pPr>
      <w:r>
        <w:t xml:space="preserve">Damascus-style thermal cycling: what changes in Au–Ag–Cu vs Fe–C Damascus steels</w:t>
      </w:r>
    </w:p>
    <w:bookmarkStart w:id="56" w:name="Xb94ed4cceaf3f66e760bb88e57ab5bcbe1a5ef5"/>
    <w:p>
      <w:pPr>
        <w:pStyle w:val="Heading3"/>
      </w:pPr>
      <w:r>
        <w:t xml:space="preserve">What “Damascus” processing does in Fe–C systems</w:t>
      </w:r>
    </w:p>
    <w:p>
      <w:pPr>
        <w:pStyle w:val="FirstParagraph"/>
      </w:pPr>
      <w:r>
        <w:t xml:space="preserve">Historically, “Damascus steel” discussions refer to patterning and performance associated with hypereutectoid steels (often linked to wootz) where</w:t>
      </w:r>
      <w:r>
        <w:t xml:space="preserve"> </w:t>
      </w:r>
      <w:r>
        <w:rPr>
          <w:b/>
          <w:bCs/>
        </w:rPr>
        <w:t xml:space="preserve">cementite (Fe₃C) morphologies</w:t>
      </w:r>
      <w:r>
        <w:t xml:space="preserve">, thermal cycling, and deformation interact. Microstructural studies describe cementite embedded in steel matrices and emphasize that repeated heating/forging can influence cementite morphology (e.g., spheroidization vs lamellar/needle morphologies), strongly affecting brittleness and toughness.</w:t>
      </w:r>
      <w:r>
        <w:t xml:space="preserve"> </w:t>
      </w:r>
      <w:hyperlink r:id="rId54">
        <w:r>
          <w:rPr>
            <w:rStyle w:val="Hyperlink"/>
          </w:rPr>
          <w:t xml:space="preserve">[33]</w:t>
        </w:r>
      </w:hyperlink>
    </w:p>
    <w:p>
      <w:pPr>
        <w:pStyle w:val="BodyText"/>
      </w:pPr>
      <w:r>
        <w:t xml:space="preserve">High‑resolution work on a genuine Damascus sabre also highlights nanoscale cementite features (e.g., cementite nanowires reported by HRTEM in some studies), underscoring that “Damascus” performance is deeply tied to</w:t>
      </w:r>
      <w:r>
        <w:t xml:space="preserve"> </w:t>
      </w:r>
      <w:r>
        <w:rPr>
          <w:b/>
          <w:bCs/>
        </w:rPr>
        <w:t xml:space="preserve">carbon‑based second phases and Fe phase transformations</w:t>
      </w:r>
      <w:r>
        <w:t xml:space="preserve">.</w:t>
      </w:r>
      <w:r>
        <w:t xml:space="preserve"> </w:t>
      </w:r>
      <w:hyperlink r:id="rId55">
        <w:r>
          <w:rPr>
            <w:rStyle w:val="Hyperlink"/>
          </w:rPr>
          <w:t xml:space="preserve">[34]</w:t>
        </w:r>
      </w:hyperlink>
    </w:p>
    <w:bookmarkEnd w:id="56"/>
    <w:bookmarkStart w:id="57" w:name="X89d12f5cf39e33f8899175cb2c3565676b967c6"/>
    <w:p>
      <w:pPr>
        <w:pStyle w:val="Heading3"/>
      </w:pPr>
      <w:r>
        <w:t xml:space="preserve">What analogous thermal cycling does in Au–Ag–Cu</w:t>
      </w:r>
    </w:p>
    <w:p>
      <w:pPr>
        <w:pStyle w:val="FirstParagraph"/>
      </w:pPr>
      <w:r>
        <w:t xml:space="preserve">In Au–Ag–Cu, you do not have Fe’s polymorphic transformations nor carbon chemistry. Instead, “Damascus‑style” cycling (repeated excursions across key transformation temperatures) primarily drives:</w:t>
      </w:r>
    </w:p>
    <w:p>
      <w:pPr>
        <w:pStyle w:val="Compact"/>
        <w:numPr>
          <w:ilvl w:val="0"/>
          <w:numId w:val="1006"/>
        </w:numPr>
      </w:pPr>
      <w:r>
        <w:rPr>
          <w:b/>
          <w:bCs/>
        </w:rPr>
        <w:t xml:space="preserve">Order–disorder cycling (Au–Cu controlled):</w:t>
      </w:r>
      <w:r>
        <w:t xml:space="preserve"> </w:t>
      </w:r>
      <w:r>
        <w:t xml:space="preserve">cycling through ordering temperature windows creates ordered/disordered domains and strongly changes hardness and resistivity without changing composition.</w:t>
      </w:r>
      <w:r>
        <w:t xml:space="preserve"> </w:t>
      </w:r>
      <w:hyperlink r:id="rId44">
        <w:r>
          <w:rPr>
            <w:rStyle w:val="Hyperlink"/>
          </w:rPr>
          <w:t xml:space="preserve">[35]</w:t>
        </w:r>
      </w:hyperlink>
    </w:p>
    <w:p>
      <w:pPr>
        <w:pStyle w:val="Compact"/>
        <w:numPr>
          <w:ilvl w:val="0"/>
          <w:numId w:val="1006"/>
        </w:numPr>
      </w:pPr>
      <w:r>
        <w:rPr>
          <w:b/>
          <w:bCs/>
        </w:rPr>
        <w:t xml:space="preserve">Phase separation / modulation (Ag–Cu controlled, Au‑modified):</w:t>
      </w:r>
      <w:r>
        <w:t xml:space="preserve"> </w:t>
      </w:r>
      <w:r>
        <w:t xml:space="preserve">cycling can promote spinodal decomposition or precipitation and subsequent coarsening, producing visible microstructural contrast (especially after etching) and measurable hardening/softening sequences.</w:t>
      </w:r>
      <w:r>
        <w:t xml:space="preserve"> </w:t>
      </w:r>
      <w:hyperlink r:id="rId49">
        <w:r>
          <w:rPr>
            <w:rStyle w:val="Hyperlink"/>
          </w:rPr>
          <w:t xml:space="preserve">[36]</w:t>
        </w:r>
      </w:hyperlink>
    </w:p>
    <w:p>
      <w:pPr>
        <w:pStyle w:val="Compact"/>
        <w:numPr>
          <w:ilvl w:val="0"/>
          <w:numId w:val="1006"/>
        </w:numPr>
      </w:pPr>
      <w:r>
        <w:rPr>
          <w:b/>
          <w:bCs/>
        </w:rPr>
        <w:t xml:space="preserve">Lamellar grain‑boundary reactions (DP):</w:t>
      </w:r>
      <w:r>
        <w:t xml:space="preserve"> </w:t>
      </w:r>
      <w:r>
        <w:t xml:space="preserve">repeated aging can accelerate lamellar DP formation and coarsening, often degrading properties after peak aging.</w:t>
      </w:r>
      <w:r>
        <w:t xml:space="preserve"> </w:t>
      </w:r>
      <w:hyperlink r:id="rId49">
        <w:r>
          <w:rPr>
            <w:rStyle w:val="Hyperlink"/>
          </w:rPr>
          <w:t xml:space="preserve">[37]</w:t>
        </w:r>
      </w:hyperlink>
    </w:p>
    <w:p>
      <w:pPr>
        <w:pStyle w:val="FirstParagraph"/>
      </w:pPr>
      <w:r>
        <w:t xml:space="preserve">So the closest “metallurgical analogue” to Damascus cycling in Au–Ag–Cu is not martensite/cementite control, but</w:t>
      </w:r>
      <w:r>
        <w:t xml:space="preserve"> </w:t>
      </w:r>
      <w:r>
        <w:rPr>
          <w:b/>
          <w:bCs/>
        </w:rPr>
        <w:t xml:space="preserve">intentional control of ordering, phase separation wavelength, and precipitate coarsening</w:t>
      </w:r>
      <w:r>
        <w:t xml:space="preserve">, which can create patterning (via differential etch response) and tune contact/hardness behavior.</w:t>
      </w:r>
    </w:p>
    <w:bookmarkEnd w:id="57"/>
    <w:bookmarkEnd w:id="58"/>
    <w:bookmarkStart w:id="63" w:name="X5400e09553f0737802c3a79b612e1fb9a5d9a05"/>
    <w:p>
      <w:pPr>
        <w:pStyle w:val="Heading2"/>
      </w:pPr>
      <w:r>
        <w:t xml:space="preserve">Nonlinear composition regions, eutectics, and documented “anomalies”</w:t>
      </w:r>
    </w:p>
    <w:bookmarkStart w:id="59" w:name="Xdbb288c498a34773fc2d85293ea9e0433ef2035"/>
    <w:p>
      <w:pPr>
        <w:pStyle w:val="Heading3"/>
      </w:pPr>
      <w:r>
        <w:t xml:space="preserve">Where properties diverge from linear interpolation</w:t>
      </w:r>
    </w:p>
    <w:p>
      <w:pPr>
        <w:pStyle w:val="FirstParagraph"/>
      </w:pPr>
      <w:r>
        <w:t xml:space="preserve">Two broad mechanisms create nonlinearity:</w:t>
      </w:r>
    </w:p>
    <w:p>
      <w:pPr>
        <w:pStyle w:val="BodyText"/>
      </w:pPr>
      <w:r>
        <w:rPr>
          <w:b/>
          <w:bCs/>
        </w:rPr>
        <w:t xml:space="preserve">Electron-scattering nonlinearity in solid solutions.</w:t>
      </w:r>
      <w:r>
        <w:t xml:space="preserve"> </w:t>
      </w:r>
      <w:r>
        <w:t xml:space="preserve">For solid solutions, Nordheim-type behavior predicts resistivity with a strong curvature term proportional to</w:t>
      </w:r>
      <w:r>
        <w:t xml:space="preserve"> </w:t>
      </w:r>
      <m:oMath>
        <m:r>
          <m:t>x</m:t>
        </m:r>
        <m:d>
          <m:dPr>
            <m:begChr m:val="("/>
            <m:sepChr m:val=""/>
            <m:endChr m:val=")"/>
            <m:grow/>
          </m:dPr>
          <m:e>
            <m:r>
              <m:t>1</m:t>
            </m:r>
            <m:r>
              <m:rPr>
                <m:sty m:val="p"/>
              </m:rPr>
              <m:t>−</m:t>
            </m:r>
            <m:r>
              <m:t>x</m:t>
            </m:r>
          </m:e>
        </m:d>
      </m:oMath>
      <w:r>
        <w:t xml:space="preserve"> </w:t>
      </w:r>
      <w:r>
        <w:t xml:space="preserve">(often taught as “impurity + disorder scattering”), rather than a straight mixture line.</w:t>
      </w:r>
      <w:r>
        <w:t xml:space="preserve"> </w:t>
      </w:r>
      <w:hyperlink r:id="rId38">
        <w:r>
          <w:rPr>
            <w:rStyle w:val="Hyperlink"/>
          </w:rPr>
          <w:t xml:space="preserve">[38]</w:t>
        </w:r>
      </w:hyperlink>
      <w:r>
        <w:br/>
      </w:r>
      <w:r>
        <w:t xml:space="preserve">The Au–Ag data set shows this vividly, with resistivity rising several-fold at intermediate compositions compared with pure metals.</w:t>
      </w:r>
      <w:r>
        <w:t xml:space="preserve"> </w:t>
      </w:r>
      <w:hyperlink r:id="rId22">
        <w:r>
          <w:rPr>
            <w:rStyle w:val="Hyperlink"/>
          </w:rPr>
          <w:t xml:space="preserve">[18]</w:t>
        </w:r>
      </w:hyperlink>
    </w:p>
    <w:p>
      <w:pPr>
        <w:pStyle w:val="BodyText"/>
      </w:pPr>
      <w:r>
        <w:rPr>
          <w:b/>
          <w:bCs/>
        </w:rPr>
        <w:t xml:space="preserve">Phase-field nonlinearity (two-phase mixtures and ordering).</w:t>
      </w:r>
      <w:r>
        <w:t xml:space="preserve"> </w:t>
      </w:r>
      <w:r>
        <w:t xml:space="preserve">When the alloy is not a single random solution—e.g., Ag–Cu eutectic (two fcc phases) or Cu–Au ordered phases—properties can diverge in either direction depending on microstructure (percolation vs boundary scattering; ordered vs disordered resistivity).</w:t>
      </w:r>
      <w:r>
        <w:t xml:space="preserve"> </w:t>
      </w:r>
      <w:hyperlink r:id="rId41">
        <w:r>
          <w:rPr>
            <w:rStyle w:val="Hyperlink"/>
          </w:rPr>
          <w:t xml:space="preserve">[39]</w:t>
        </w:r>
      </w:hyperlink>
    </w:p>
    <w:bookmarkEnd w:id="59"/>
    <w:bookmarkStart w:id="61" w:name="eutectic-points-and-property-clustering"/>
    <w:p>
      <w:pPr>
        <w:pStyle w:val="Heading3"/>
      </w:pPr>
      <w:r>
        <w:t xml:space="preserve">Eutectic points and property clustering</w:t>
      </w:r>
    </w:p>
    <w:p>
      <w:pPr>
        <w:pStyle w:val="FirstParagraph"/>
      </w:pPr>
      <w:r>
        <w:t xml:space="preserve">The most practically important eutectic in this ternary metallurgy context is</w:t>
      </w:r>
      <w:r>
        <w:t xml:space="preserve"> </w:t>
      </w:r>
      <w:r>
        <w:rPr>
          <w:b/>
          <w:bCs/>
        </w:rPr>
        <w:t xml:space="preserve">Ag–Cu eutectic</w:t>
      </w:r>
      <w:r>
        <w:t xml:space="preserve">:</w:t>
      </w:r>
    </w:p>
    <w:p>
      <w:pPr>
        <w:pStyle w:val="Compact"/>
        <w:numPr>
          <w:ilvl w:val="0"/>
          <w:numId w:val="1007"/>
        </w:numPr>
      </w:pPr>
      <w:r>
        <w:rPr>
          <w:b/>
          <w:bCs/>
        </w:rPr>
        <w:t xml:space="preserve">Low melting point</w:t>
      </w:r>
      <w:r>
        <w:t xml:space="preserve"> </w:t>
      </w:r>
      <w:r>
        <w:t xml:space="preserve">(779.1 °C) relative to the pure metals (hence brazing utility).</w:t>
      </w:r>
      <w:r>
        <w:t xml:space="preserve"> </w:t>
      </w:r>
      <w:hyperlink r:id="rId41">
        <w:r>
          <w:rPr>
            <w:rStyle w:val="Hyperlink"/>
          </w:rPr>
          <w:t xml:space="preserve">[40]</w:t>
        </w:r>
      </w:hyperlink>
    </w:p>
    <w:p>
      <w:pPr>
        <w:pStyle w:val="Compact"/>
        <w:numPr>
          <w:ilvl w:val="0"/>
          <w:numId w:val="1007"/>
        </w:numPr>
      </w:pPr>
      <w:r>
        <w:rPr>
          <w:b/>
          <w:bCs/>
        </w:rPr>
        <w:t xml:space="preserve">Excellent flow/processing behavior</w:t>
      </w:r>
      <w:r>
        <w:t xml:space="preserve"> </w:t>
      </w:r>
      <w:r>
        <w:t xml:space="preserve">and relatively high conductivity for a brazing alloy, with representative thermal/electrical conductivity values reported for Ag72Cu‑class alloys.</w:t>
      </w:r>
      <w:r>
        <w:t xml:space="preserve"> </w:t>
      </w:r>
      <w:hyperlink r:id="rId41">
        <w:r>
          <w:rPr>
            <w:rStyle w:val="Hyperlink"/>
          </w:rPr>
          <w:t xml:space="preserve">[22]</w:t>
        </w:r>
      </w:hyperlink>
    </w:p>
    <w:p>
      <w:pPr>
        <w:pStyle w:val="FirstParagraph"/>
      </w:pPr>
      <w:r>
        <w:t xml:space="preserve">In ternary space, evaluations describe how binary liquidus minima and eutectic folds can project into the ternary. However, openly accessible sources with full quantitative ternary invariant reaction tables are limited in the public domain; the most detailed invariants are typically in specialized phase-diagram evaluations and handbooks.</w:t>
      </w:r>
      <w:r>
        <w:t xml:space="preserve"> </w:t>
      </w:r>
      <w:hyperlink r:id="rId60">
        <w:r>
          <w:rPr>
            <w:rStyle w:val="Hyperlink"/>
          </w:rPr>
          <w:t xml:space="preserve">[41]</w:t>
        </w:r>
      </w:hyperlink>
    </w:p>
    <w:bookmarkEnd w:id="61"/>
    <w:bookmarkStart w:id="62" w:name="Xf706cf0dcabbc93ec0ac4aac6feee5227ea2b5c"/>
    <w:p>
      <w:pPr>
        <w:pStyle w:val="Heading3"/>
      </w:pPr>
      <w:r>
        <w:t xml:space="preserve">Documented “anomalous electromagnetic behavior” near specific ratios</w:t>
      </w:r>
    </w:p>
    <w:p>
      <w:pPr>
        <w:pStyle w:val="FirstParagraph"/>
      </w:pPr>
      <w:r>
        <w:t xml:space="preserve">In equilibrium bulk Au–Ag–Cu, the literature more commonly reports</w:t>
      </w:r>
      <w:r>
        <w:t xml:space="preserve"> </w:t>
      </w:r>
      <w:r>
        <w:rPr>
          <w:b/>
          <w:bCs/>
        </w:rPr>
        <w:t xml:space="preserve">subtle anomalies tied to electronic structure and scattering</w:t>
      </w:r>
      <w:r>
        <w:t xml:space="preserve"> </w:t>
      </w:r>
      <w:r>
        <w:t xml:space="preserve">rather than dramatic new electromagnetic phases:</w:t>
      </w:r>
    </w:p>
    <w:p>
      <w:pPr>
        <w:pStyle w:val="Compact"/>
        <w:numPr>
          <w:ilvl w:val="0"/>
          <w:numId w:val="1008"/>
        </w:numPr>
      </w:pPr>
      <w:r>
        <w:t xml:space="preserve">Hall coefficient in pure coinage metals shows a notable low‑temperature feature (~40 K maximum), plausibly involving phonon‑drag contributions—an example of nontrivial galvanomagnetic behavior even in “simple” metals.</w:t>
      </w:r>
      <w:r>
        <w:t xml:space="preserve"> </w:t>
      </w:r>
      <w:hyperlink r:id="rId31">
        <w:r>
          <w:rPr>
            <w:rStyle w:val="Hyperlink"/>
          </w:rPr>
          <w:t xml:space="preserve">[10]</w:t>
        </w:r>
      </w:hyperlink>
    </w:p>
    <w:p>
      <w:pPr>
        <w:pStyle w:val="Compact"/>
        <w:numPr>
          <w:ilvl w:val="0"/>
          <w:numId w:val="1008"/>
        </w:numPr>
      </w:pPr>
      <w:r>
        <w:t xml:space="preserve">Cu–Ag magnetoresistance can be strongly microstructure‑dependent, reinforcing that electromagnetic transport can be “anomalously” sensitive to processing even at fixed composition.</w:t>
      </w:r>
      <w:r>
        <w:t xml:space="preserve"> </w:t>
      </w:r>
      <w:hyperlink r:id="rId32">
        <w:r>
          <w:rPr>
            <w:rStyle w:val="Hyperlink"/>
          </w:rPr>
          <w:t xml:space="preserve">[12]</w:t>
        </w:r>
      </w:hyperlink>
    </w:p>
    <w:p>
      <w:pPr>
        <w:pStyle w:val="FirstParagraph"/>
      </w:pPr>
      <w:r>
        <w:t xml:space="preserve">For</w:t>
      </w:r>
      <w:r>
        <w:t xml:space="preserve"> </w:t>
      </w:r>
      <w:r>
        <w:rPr>
          <w:b/>
          <w:bCs/>
        </w:rPr>
        <w:t xml:space="preserve">nanoscale Au–Ag–Cu</w:t>
      </w:r>
      <w:r>
        <w:t xml:space="preserve">, the electromagnetic response at optical frequencies is dramatically composition‑tunable: one systematic study reports permittivity measurement/modeling for</w:t>
      </w:r>
      <w:r>
        <w:t xml:space="preserve"> </w:t>
      </w:r>
      <w:r>
        <w:rPr>
          <w:b/>
          <w:bCs/>
        </w:rPr>
        <w:t xml:space="preserve">38 Au–Ag–Cu mixing ratios</w:t>
      </w:r>
      <w:r>
        <w:t xml:space="preserve">, with fcc lattice verified by XRD, and composition‑dependent electron scattering extracted via Drude-model analysis.</w:t>
      </w:r>
      <w:r>
        <w:t xml:space="preserve"> </w:t>
      </w:r>
      <w:hyperlink r:id="rId21">
        <w:r>
          <w:rPr>
            <w:rStyle w:val="Hyperlink"/>
          </w:rPr>
          <w:t xml:space="preserve">[1]</w:t>
        </w:r>
      </w:hyperlink>
      <w:r>
        <w:t xml:space="preserve"> </w:t>
      </w:r>
      <w:r>
        <w:t xml:space="preserve">This is arguably the most “composition‑mapped electromagnetic anomaly” in the modern literature: not magnetism, but</w:t>
      </w:r>
      <w:r>
        <w:t xml:space="preserve"> </w:t>
      </w:r>
      <w:r>
        <w:rPr>
          <w:b/>
          <w:bCs/>
        </w:rPr>
        <w:t xml:space="preserve">strong nonlinearity in optical permittivity and damping</w:t>
      </w:r>
      <w:r>
        <w:t xml:space="preserve"> </w:t>
      </w:r>
      <w:r>
        <w:t xml:space="preserve">across the ternary.</w:t>
      </w:r>
    </w:p>
    <w:bookmarkEnd w:id="62"/>
    <w:bookmarkEnd w:id="63"/>
    <w:bookmarkStart w:id="77" w:name="Xba6cab565613242dbdf5527827da49123e52dc9"/>
    <w:p>
      <w:pPr>
        <w:pStyle w:val="Heading2"/>
      </w:pPr>
      <w:r>
        <w:t xml:space="preserve">Historical metallurgy: electrum, pre‑Columbian Au–Cu–Ag alloys, and Indian sacred-alloy traditions</w:t>
      </w:r>
    </w:p>
    <w:bookmarkStart w:id="66" w:name="X460878792c054080e8c2822707ddf05d2b422e0"/>
    <w:p>
      <w:pPr>
        <w:pStyle w:val="Heading3"/>
      </w:pPr>
      <w:r>
        <w:t xml:space="preserve">Electrum: natural occurrence and composition ranges</w:t>
      </w:r>
    </w:p>
    <w:p>
      <w:pPr>
        <w:pStyle w:val="FirstParagraph"/>
      </w:pPr>
      <w:r>
        <w:t xml:space="preserve">Electrum is widely defined as a natural or artificial alloy of gold with</w:t>
      </w:r>
      <w:r>
        <w:t xml:space="preserve"> </w:t>
      </w:r>
      <w:r>
        <w:rPr>
          <w:b/>
          <w:bCs/>
        </w:rPr>
        <w:t xml:space="preserve">at least ~20% silver</w:t>
      </w:r>
      <w:r>
        <w:t xml:space="preserve">, and references note that most natural electrum contains additional metals including</w:t>
      </w:r>
      <w:r>
        <w:t xml:space="preserve"> </w:t>
      </w:r>
      <w:r>
        <w:rPr>
          <w:b/>
          <w:bCs/>
        </w:rPr>
        <w:t xml:space="preserve">copper</w:t>
      </w:r>
      <w:r>
        <w:t xml:space="preserve"> </w:t>
      </w:r>
      <w:r>
        <w:t xml:space="preserve">(often along with Fe, Pd, Bi, etc.).</w:t>
      </w:r>
      <w:r>
        <w:t xml:space="preserve"> </w:t>
      </w:r>
      <w:hyperlink r:id="rId64">
        <w:r>
          <w:rPr>
            <w:rStyle w:val="Hyperlink"/>
          </w:rPr>
          <w:t xml:space="preserve">[42]</w:t>
        </w:r>
      </w:hyperlink>
    </w:p>
    <w:p>
      <w:pPr>
        <w:pStyle w:val="BodyText"/>
      </w:pPr>
      <w:r>
        <w:t xml:space="preserve">Archaeometallurgical work on ancient gold ores and early coinage emphasizes that electrum used historically can differ from “pure” Au–Ag mixing by containing</w:t>
      </w:r>
      <w:r>
        <w:t xml:space="preserve"> </w:t>
      </w:r>
      <w:r>
        <w:rPr>
          <w:b/>
          <w:bCs/>
        </w:rPr>
        <w:t xml:space="preserve">variable but substantial copper</w:t>
      </w:r>
      <w:r>
        <w:t xml:space="preserve"> </w:t>
      </w:r>
      <w:r>
        <w:t xml:space="preserve">(and trace elements), as shown by analytical methods including XRF, NAA, and EPMA; this copper-bearing electrum is sometimes treated explicitly as a “ternary” Au–Ag–Cu alloy for understanding physical properties and cold‑working in coin production.</w:t>
      </w:r>
      <w:r>
        <w:t xml:space="preserve"> </w:t>
      </w:r>
      <w:hyperlink r:id="rId65">
        <w:r>
          <w:rPr>
            <w:rStyle w:val="Hyperlink"/>
          </w:rPr>
          <w:t xml:space="preserve">[43]</w:t>
        </w:r>
      </w:hyperlink>
    </w:p>
    <w:bookmarkEnd w:id="66"/>
    <w:bookmarkStart w:id="69" w:name="egyptian-metallurgy-using-auagcu"/>
    <w:p>
      <w:pPr>
        <w:pStyle w:val="Heading3"/>
      </w:pPr>
      <w:r>
        <w:t xml:space="preserve">Egyptian metallurgy using Au–Ag–Cu</w:t>
      </w:r>
    </w:p>
    <w:p>
      <w:pPr>
        <w:pStyle w:val="FirstParagraph"/>
      </w:pPr>
      <w:r>
        <w:t xml:space="preserve">Egyptian precious-metal use includes gold and electrum; a scholarly overview emphasizes that gold, electrum, and silver were prized as native metals and later deliberately processed into alloys as techniques developed.</w:t>
      </w:r>
      <w:r>
        <w:t xml:space="preserve"> </w:t>
      </w:r>
      <w:hyperlink r:id="rId67">
        <w:r>
          <w:rPr>
            <w:rStyle w:val="Hyperlink"/>
          </w:rPr>
          <w:t xml:space="preserve">[44]</w:t>
        </w:r>
      </w:hyperlink>
    </w:p>
    <w:p>
      <w:pPr>
        <w:pStyle w:val="BodyText"/>
      </w:pPr>
      <w:r>
        <w:t xml:space="preserve">Artifact-level analyses often report</w:t>
      </w:r>
      <w:r>
        <w:t xml:space="preserve"> </w:t>
      </w:r>
      <w:r>
        <w:rPr>
          <w:b/>
          <w:bCs/>
        </w:rPr>
        <w:t xml:space="preserve">Ag‑rich electrum</w:t>
      </w:r>
      <w:r>
        <w:t xml:space="preserve"> </w:t>
      </w:r>
      <w:r>
        <w:t xml:space="preserve">ranges; one analytical study of Middle Kingdom gold jewelry reports Ag‑rich electrum alloys containing</w:t>
      </w:r>
      <w:r>
        <w:t xml:space="preserve"> </w:t>
      </w:r>
      <w:r>
        <w:rPr>
          <w:b/>
          <w:bCs/>
        </w:rPr>
        <w:t xml:space="preserve">~25–50 wt% Ag</w:t>
      </w:r>
      <w:r>
        <w:t xml:space="preserve"> </w:t>
      </w:r>
      <w:r>
        <w:t xml:space="preserve">(implying the remainder largely Au with possible minor alloying/impurities), consistent with purposeful alloy selection or source constraints.</w:t>
      </w:r>
      <w:r>
        <w:t xml:space="preserve"> </w:t>
      </w:r>
      <w:hyperlink r:id="rId68">
        <w:r>
          <w:rPr>
            <w:rStyle w:val="Hyperlink"/>
          </w:rPr>
          <w:t xml:space="preserve">[45]</w:t>
        </w:r>
      </w:hyperlink>
    </w:p>
    <w:bookmarkEnd w:id="69"/>
    <w:bookmarkStart w:id="72" w:name="X43f2bfabedd2d52adb62b0590b9478aad8feb57"/>
    <w:p>
      <w:pPr>
        <w:pStyle w:val="Heading3"/>
      </w:pPr>
      <w:r>
        <w:t xml:space="preserve">Mesoamerican metallurgy: Au–Cu alloys (tumbaga) often containing Ag</w:t>
      </w:r>
    </w:p>
    <w:p>
      <w:pPr>
        <w:pStyle w:val="FirstParagraph"/>
      </w:pPr>
      <w:r>
        <w:t xml:space="preserve">In pre‑Columbian metallurgies (Mesoamerica and adjacent regions), Au–Cu alloys known as</w:t>
      </w:r>
      <w:r>
        <w:t xml:space="preserve"> </w:t>
      </w:r>
      <w:r>
        <w:rPr>
          <w:b/>
          <w:bCs/>
        </w:rPr>
        <w:t xml:space="preserve">tumbaga</w:t>
      </w:r>
      <w:r>
        <w:t xml:space="preserve"> </w:t>
      </w:r>
      <w:r>
        <w:t xml:space="preserve">are central. Technical studies of goldwork in regions such as Costa Rica and Panama report compositional ranges of Au–Cu alloys (often with Ag present), reflecting both metallurgical function and surface treatment (e.g., depletion gilding).</w:t>
      </w:r>
      <w:r>
        <w:t xml:space="preserve"> </w:t>
      </w:r>
      <w:hyperlink r:id="rId70">
        <w:r>
          <w:rPr>
            <w:rStyle w:val="Hyperlink"/>
          </w:rPr>
          <w:t xml:space="preserve">[46]</w:t>
        </w:r>
      </w:hyperlink>
    </w:p>
    <w:p>
      <w:pPr>
        <w:pStyle w:val="BodyText"/>
      </w:pPr>
      <w:r>
        <w:t xml:space="preserve">A broader archaeometallurgical volume on Mesoamerica frames metalworking traditions as diverse and regionally specialized, including copper-base objects and precious-metal objects; this context is consistent with the widespread occurrence of Au–Cu–Ag mixtures in artifacts and trade networks rather than a single fixed “recipe.”</w:t>
      </w:r>
      <w:r>
        <w:t xml:space="preserve"> </w:t>
      </w:r>
      <w:hyperlink r:id="rId71">
        <w:r>
          <w:rPr>
            <w:rStyle w:val="Hyperlink"/>
          </w:rPr>
          <w:t xml:space="preserve">[47]</w:t>
        </w:r>
      </w:hyperlink>
    </w:p>
    <w:bookmarkEnd w:id="72"/>
    <w:bookmarkStart w:id="75" w:name="X4832d41123debe2a57fbec0031c9f751c134723"/>
    <w:p>
      <w:pPr>
        <w:pStyle w:val="Heading3"/>
      </w:pPr>
      <w:r>
        <w:t xml:space="preserve">Indian metallurgy: Au–Ag–Cu in sacred alloy traditions and practical casting</w:t>
      </w:r>
    </w:p>
    <w:p>
      <w:pPr>
        <w:pStyle w:val="FirstParagraph"/>
      </w:pPr>
      <w:r>
        <w:t xml:space="preserve">Indian traditions often discuss multi‑metal sacred alloys such as</w:t>
      </w:r>
      <w:r>
        <w:t xml:space="preserve"> </w:t>
      </w:r>
      <w:r>
        <w:rPr>
          <w:b/>
          <w:bCs/>
        </w:rPr>
        <w:t xml:space="preserve">panchaloha</w:t>
      </w:r>
      <w:r>
        <w:t xml:space="preserve"> </w:t>
      </w:r>
      <w:r>
        <w:t xml:space="preserve">(“five metals”) and</w:t>
      </w:r>
      <w:r>
        <w:t xml:space="preserve"> </w:t>
      </w:r>
      <w:r>
        <w:rPr>
          <w:b/>
          <w:bCs/>
        </w:rPr>
        <w:t xml:space="preserve">ashtadhatu</w:t>
      </w:r>
      <w:r>
        <w:t xml:space="preserve"> </w:t>
      </w:r>
      <w:r>
        <w:t xml:space="preserve">(“eight metals”). Text-derived definitions vary by region and textual lineage, but commonly include</w:t>
      </w:r>
      <w:r>
        <w:t xml:space="preserve"> </w:t>
      </w:r>
      <w:r>
        <w:rPr>
          <w:b/>
          <w:bCs/>
        </w:rPr>
        <w:t xml:space="preserve">gold, silver, and copper</w:t>
      </w:r>
      <w:r>
        <w:t xml:space="preserve"> </w:t>
      </w:r>
      <w:r>
        <w:t xml:space="preserve">among the constituent metals.</w:t>
      </w:r>
      <w:r>
        <w:t xml:space="preserve"> </w:t>
      </w:r>
      <w:hyperlink r:id="rId73">
        <w:r>
          <w:rPr>
            <w:rStyle w:val="Hyperlink"/>
          </w:rPr>
          <w:t xml:space="preserve">[48]</w:t>
        </w:r>
      </w:hyperlink>
    </w:p>
    <w:p>
      <w:pPr>
        <w:pStyle w:val="BodyText"/>
      </w:pPr>
      <w:r>
        <w:t xml:space="preserve">A key practical point—supported by materials analysis of “bronze icon” traditions—is that many historical South Asian cast icons are</w:t>
      </w:r>
      <w:r>
        <w:t xml:space="preserve"> </w:t>
      </w:r>
      <w:r>
        <w:rPr>
          <w:b/>
          <w:bCs/>
        </w:rPr>
        <w:t xml:space="preserve">copper‑based alloys</w:t>
      </w:r>
      <w:r>
        <w:t xml:space="preserve"> </w:t>
      </w:r>
      <w:r>
        <w:t xml:space="preserve">with various additive elements (Sn, Pb, Fe, etc.), and precious metals may appear as minor alloying elements, traces, or in specific high-status objects rather than as major mass fractions in every casting.</w:t>
      </w:r>
      <w:r>
        <w:t xml:space="preserve"> </w:t>
      </w:r>
      <w:hyperlink r:id="rId74">
        <w:r>
          <w:rPr>
            <w:rStyle w:val="Hyperlink"/>
          </w:rPr>
          <w:t xml:space="preserve">[49]</w:t>
        </w:r>
      </w:hyperlink>
    </w:p>
    <w:bookmarkEnd w:id="75"/>
    <w:bookmarkStart w:id="76" w:name="Xc92c7014c8fe4e8e4f7a39706436b1fb24829df"/>
    <w:p>
      <w:pPr>
        <w:pStyle w:val="Heading3"/>
      </w:pPr>
      <w:r>
        <w:t xml:space="preserve">Summary of historically important Au–Ag–Cu composition “families”</w:t>
      </w:r>
    </w:p>
    <w:p>
      <w:pPr>
        <w:pStyle w:val="FirstParagraph"/>
      </w:pPr>
      <w:r>
        <w:t xml:space="preserve">Rather than single points, historical use tends to cluster in a few families:</w:t>
      </w:r>
    </w:p>
    <w:p>
      <w:pPr>
        <w:pStyle w:val="Compact"/>
        <w:numPr>
          <w:ilvl w:val="0"/>
          <w:numId w:val="1009"/>
        </w:numPr>
      </w:pPr>
      <w:r>
        <w:rPr>
          <w:b/>
          <w:bCs/>
        </w:rPr>
        <w:t xml:space="preserve">Electrum family:</w:t>
      </w:r>
      <w:r>
        <w:t xml:space="preserve"> </w:t>
      </w:r>
      <w:r>
        <w:t xml:space="preserve">Au–Ag with minor Cu (variable), used for visual appearance, workability, and early coinage contexts.</w:t>
      </w:r>
      <w:r>
        <w:t xml:space="preserve"> </w:t>
      </w:r>
      <w:hyperlink r:id="rId64">
        <w:r>
          <w:rPr>
            <w:rStyle w:val="Hyperlink"/>
          </w:rPr>
          <w:t xml:space="preserve">[50]</w:t>
        </w:r>
      </w:hyperlink>
    </w:p>
    <w:p>
      <w:pPr>
        <w:pStyle w:val="Compact"/>
        <w:numPr>
          <w:ilvl w:val="0"/>
          <w:numId w:val="1009"/>
        </w:numPr>
      </w:pPr>
      <w:r>
        <w:rPr>
          <w:b/>
          <w:bCs/>
        </w:rPr>
        <w:t xml:space="preserve">Tumbaga family:</w:t>
      </w:r>
      <w:r>
        <w:t xml:space="preserve"> </w:t>
      </w:r>
      <w:r>
        <w:t xml:space="preserve">Au–Cu often with Ag; optimized for casting, strength, and surface enrichment (depletion gilding).</w:t>
      </w:r>
      <w:r>
        <w:t xml:space="preserve"> </w:t>
      </w:r>
      <w:hyperlink r:id="rId70">
        <w:r>
          <w:rPr>
            <w:rStyle w:val="Hyperlink"/>
          </w:rPr>
          <w:t xml:space="preserve">[46]</w:t>
        </w:r>
      </w:hyperlink>
    </w:p>
    <w:p>
      <w:pPr>
        <w:pStyle w:val="Compact"/>
        <w:numPr>
          <w:ilvl w:val="0"/>
          <w:numId w:val="1009"/>
        </w:numPr>
      </w:pPr>
      <w:r>
        <w:rPr>
          <w:b/>
          <w:bCs/>
        </w:rPr>
        <w:t xml:space="preserve">Au‑rich “karat gold” family:</w:t>
      </w:r>
      <w:r>
        <w:t xml:space="preserve"> </w:t>
      </w:r>
      <w:r>
        <w:t xml:space="preserve">Au ~75 wt% (18K) with Ag/Cu balance tuned for color and hardenability; explicitly studied in industrial metallurgy and traditionally used in jewelry.</w:t>
      </w:r>
      <w:r>
        <w:t xml:space="preserve"> </w:t>
      </w:r>
      <w:hyperlink r:id="rId44">
        <w:r>
          <w:rPr>
            <w:rStyle w:val="Hyperlink"/>
          </w:rPr>
          <w:t xml:space="preserve">[51]</w:t>
        </w:r>
      </w:hyperlink>
    </w:p>
    <w:bookmarkEnd w:id="76"/>
    <w:bookmarkEnd w:id="77"/>
    <w:bookmarkStart w:id="79" w:name="Xf249f05767875cda1c413cba8f9725ad8debb7f"/>
    <w:p>
      <w:pPr>
        <w:pStyle w:val="Heading2"/>
      </w:pPr>
      <w:r>
        <w:t xml:space="preserve">What is well-established vs what remains poorly mapped in the open literature</w:t>
      </w:r>
    </w:p>
    <w:p>
      <w:pPr>
        <w:pStyle w:val="FirstParagraph"/>
      </w:pPr>
      <w:r>
        <w:t xml:space="preserve">The</w:t>
      </w:r>
      <w:r>
        <w:t xml:space="preserve"> </w:t>
      </w:r>
      <w:r>
        <w:rPr>
          <w:b/>
          <w:bCs/>
        </w:rPr>
        <w:t xml:space="preserve">best-documented, composition-explicit datasets</w:t>
      </w:r>
      <w:r>
        <w:t xml:space="preserve"> </w:t>
      </w:r>
      <w:r>
        <w:t xml:space="preserve">in openly accessible sources are:</w:t>
      </w:r>
    </w:p>
    <w:p>
      <w:pPr>
        <w:pStyle w:val="Compact"/>
        <w:numPr>
          <w:ilvl w:val="0"/>
          <w:numId w:val="1010"/>
        </w:numPr>
      </w:pPr>
      <w:r>
        <w:t xml:space="preserve">Au–Ag and Cu–Au</w:t>
      </w:r>
      <w:r>
        <w:t xml:space="preserve"> </w:t>
      </w:r>
      <w:r>
        <w:rPr>
          <w:b/>
          <w:bCs/>
        </w:rPr>
        <w:t xml:space="preserve">electrical resistivity vs temperature/composition</w:t>
      </w:r>
      <w:r>
        <w:t xml:space="preserve"> </w:t>
      </w:r>
      <w:r>
        <w:t xml:space="preserve">(NIST critical evaluation).</w:t>
      </w:r>
      <w:r>
        <w:t xml:space="preserve"> </w:t>
      </w:r>
      <w:hyperlink r:id="rId22">
        <w:r>
          <w:rPr>
            <w:rStyle w:val="Hyperlink"/>
          </w:rPr>
          <w:t xml:space="preserve">[52]</w:t>
        </w:r>
      </w:hyperlink>
    </w:p>
    <w:p>
      <w:pPr>
        <w:pStyle w:val="Compact"/>
        <w:numPr>
          <w:ilvl w:val="0"/>
          <w:numId w:val="1010"/>
        </w:numPr>
      </w:pPr>
      <w:r>
        <w:t xml:space="preserve">Ag–Cu</w:t>
      </w:r>
      <w:r>
        <w:t xml:space="preserve"> </w:t>
      </w:r>
      <w:r>
        <w:rPr>
          <w:b/>
          <w:bCs/>
        </w:rPr>
        <w:t xml:space="preserve">eutectic invariant</w:t>
      </w:r>
      <w:r>
        <w:t xml:space="preserve"> </w:t>
      </w:r>
      <w:r>
        <w:t xml:space="preserve">and key phase equilibria (NIST).</w:t>
      </w:r>
      <w:r>
        <w:t xml:space="preserve"> </w:t>
      </w:r>
      <w:hyperlink r:id="rId41">
        <w:r>
          <w:rPr>
            <w:rStyle w:val="Hyperlink"/>
          </w:rPr>
          <w:t xml:space="preserve">[21]</w:t>
        </w:r>
      </w:hyperlink>
    </w:p>
    <w:p>
      <w:pPr>
        <w:pStyle w:val="Compact"/>
        <w:numPr>
          <w:ilvl w:val="0"/>
          <w:numId w:val="1010"/>
        </w:numPr>
      </w:pPr>
      <w:r>
        <w:t xml:space="preserve">Mechanistic links between</w:t>
      </w:r>
      <w:r>
        <w:t xml:space="preserve"> </w:t>
      </w:r>
      <w:r>
        <w:rPr>
          <w:b/>
          <w:bCs/>
        </w:rPr>
        <w:t xml:space="preserve">ordering/phase separation</w:t>
      </w:r>
      <w:r>
        <w:t xml:space="preserve"> </w:t>
      </w:r>
      <w:r>
        <w:t xml:space="preserve">and microstructure/hardness in Au–Ag–Cu alloys (multiple metallurgy studies).</w:t>
      </w:r>
      <w:r>
        <w:t xml:space="preserve"> </w:t>
      </w:r>
      <w:hyperlink r:id="rId78">
        <w:r>
          <w:rPr>
            <w:rStyle w:val="Hyperlink"/>
          </w:rPr>
          <w:t xml:space="preserve">[53]</w:t>
        </w:r>
      </w:hyperlink>
    </w:p>
    <w:p>
      <w:pPr>
        <w:pStyle w:val="Compact"/>
        <w:numPr>
          <w:ilvl w:val="0"/>
          <w:numId w:val="1010"/>
        </w:numPr>
      </w:pPr>
      <w:r>
        <w:t xml:space="preserve">Nanoscale Au–Ag–Cu</w:t>
      </w:r>
      <w:r>
        <w:t xml:space="preserve"> </w:t>
      </w:r>
      <w:r>
        <w:rPr>
          <w:b/>
          <w:bCs/>
        </w:rPr>
        <w:t xml:space="preserve">permittivity mapping over many ternary ratios</w:t>
      </w:r>
      <w:r>
        <w:t xml:space="preserve">, with fcc verified by XRD (electromagnetic property mapping).</w:t>
      </w:r>
      <w:r>
        <w:t xml:space="preserve"> </w:t>
      </w:r>
      <w:hyperlink r:id="rId21">
        <w:r>
          <w:rPr>
            <w:rStyle w:val="Hyperlink"/>
          </w:rPr>
          <w:t xml:space="preserve">[1]</w:t>
        </w:r>
      </w:hyperlink>
    </w:p>
    <w:p>
      <w:pPr>
        <w:pStyle w:val="FirstParagraph"/>
      </w:pPr>
      <w:r>
        <w:t xml:space="preserve">The</w:t>
      </w:r>
      <w:r>
        <w:t xml:space="preserve"> </w:t>
      </w:r>
      <w:r>
        <w:rPr>
          <w:b/>
          <w:bCs/>
        </w:rPr>
        <w:t xml:space="preserve">least comprehensively mapped</w:t>
      </w:r>
      <w:r>
        <w:t xml:space="preserve"> </w:t>
      </w:r>
      <w:r>
        <w:t xml:space="preserve">(especially as a full ternary “heatmap”) in readily open sources are:</w:t>
      </w:r>
    </w:p>
    <w:p>
      <w:pPr>
        <w:pStyle w:val="Compact"/>
        <w:numPr>
          <w:ilvl w:val="0"/>
          <w:numId w:val="1011"/>
        </w:numPr>
      </w:pPr>
      <w:r>
        <w:t xml:space="preserve">bulk</w:t>
      </w:r>
      <w:r>
        <w:t xml:space="preserve"> </w:t>
      </w:r>
      <w:r>
        <w:rPr>
          <w:b/>
          <w:bCs/>
        </w:rPr>
        <w:t xml:space="preserve">magnetic susceptibility across the entire ternary triangle</w:t>
      </w:r>
      <w:r>
        <w:t xml:space="preserve"> </w:t>
      </w:r>
      <w:r>
        <w:t xml:space="preserve">(more data exist on Ag–Au and Cu–Au binaries than full ternary surfaces).</w:t>
      </w:r>
      <w:r>
        <w:t xml:space="preserve"> </w:t>
      </w:r>
      <w:hyperlink r:id="rId27">
        <w:r>
          <w:rPr>
            <w:rStyle w:val="Hyperlink"/>
          </w:rPr>
          <w:t xml:space="preserve">[7]</w:t>
        </w:r>
      </w:hyperlink>
    </w:p>
    <w:p>
      <w:pPr>
        <w:pStyle w:val="Compact"/>
        <w:numPr>
          <w:ilvl w:val="0"/>
          <w:numId w:val="1011"/>
        </w:numPr>
      </w:pPr>
      <w:r>
        <w:t xml:space="preserve">bulk</w:t>
      </w:r>
      <w:r>
        <w:t xml:space="preserve"> </w:t>
      </w:r>
      <w:r>
        <w:rPr>
          <w:b/>
          <w:bCs/>
        </w:rPr>
        <w:t xml:space="preserve">Hall coefficients / magnetoresistance</w:t>
      </w:r>
      <w:r>
        <w:t xml:space="preserve"> </w:t>
      </w:r>
      <w:r>
        <w:t xml:space="preserve">as a systematic function of ternary composition (well-studied for pure metals and some binaries; sparse for full ternary metallurgy).</w:t>
      </w:r>
      <w:r>
        <w:t xml:space="preserve"> </w:t>
      </w:r>
      <w:hyperlink r:id="rId31">
        <w:r>
          <w:rPr>
            <w:rStyle w:val="Hyperlink"/>
          </w:rPr>
          <w:t xml:space="preserve">[54]</w:t>
        </w:r>
      </w:hyperlink>
    </w:p>
    <w:p>
      <w:pPr>
        <w:pStyle w:val="Compact"/>
        <w:numPr>
          <w:ilvl w:val="0"/>
          <w:numId w:val="1011"/>
        </w:numPr>
      </w:pPr>
      <w:r>
        <w:t xml:space="preserve">fully quantitative</w:t>
      </w:r>
      <w:r>
        <w:t xml:space="preserve"> </w:t>
      </w:r>
      <w:r>
        <w:rPr>
          <w:b/>
          <w:bCs/>
        </w:rPr>
        <w:t xml:space="preserve">ternary invariant reaction tables</w:t>
      </w:r>
      <w:r>
        <w:t xml:space="preserve"> </w:t>
      </w:r>
      <w:r>
        <w:t xml:space="preserve">(often locked in specialized phase-diagram evaluations/handbooks).</w:t>
      </w:r>
      <w:r>
        <w:t xml:space="preserve"> </w:t>
      </w:r>
      <w:hyperlink r:id="rId60">
        <w:r>
          <w:rPr>
            <w:rStyle w:val="Hyperlink"/>
          </w:rPr>
          <w:t xml:space="preserve">[41]</w:t>
        </w:r>
      </w:hyperlink>
    </w:p>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r>
        <w:t xml:space="preserve">https://www.nature.com/articles/srep25010</w:t>
      </w:r>
    </w:p>
    <w:p>
      <w:pPr>
        <w:pStyle w:val="BodyText"/>
      </w:pPr>
      <w:hyperlink r:id="rId21">
        <w:r>
          <w:rPr>
            <w:rStyle w:val="Hyperlink"/>
          </w:rPr>
          <w:t xml:space="preserve">https://www.nature.com/articles/srep25010</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[15]</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[52]</w:t>
        </w:r>
      </w:hyperlink>
      <w:r>
        <w:t xml:space="preserve"> </w:t>
      </w:r>
      <w:r>
        <w:t xml:space="preserve">https://srd.nist.gov/jpcrdreprint/1.555684.pdf</w:t>
      </w:r>
    </w:p>
    <w:p>
      <w:pPr>
        <w:pStyle w:val="BodyText"/>
      </w:pPr>
      <w:hyperlink r:id="rId22">
        <w:r>
          <w:rPr>
            <w:rStyle w:val="Hyperlink"/>
          </w:rPr>
          <w:t xml:space="preserve">https://srd.nist.gov/jpcrdreprint/1.555684.pdf</w:t>
        </w:r>
      </w:hyperlink>
    </w:p>
    <w:p>
      <w:pPr>
        <w:pStyle w:val="BodyText"/>
      </w:pPr>
      <w:hyperlink r:id="rId23">
        <w:r>
          <w:rPr>
            <w:rStyle w:val="Hyperlink"/>
          </w:rPr>
          <w:t xml:space="preserve">[3]</w:t>
        </w:r>
      </w:hyperlink>
      <w:r>
        <w:t xml:space="preserve"> </w:t>
      </w:r>
      <w:hyperlink r:id="rId23">
        <w:r>
          <w:rPr>
            <w:rStyle w:val="Hyperlink"/>
          </w:rPr>
          <w:t xml:space="preserve">[26]</w:t>
        </w:r>
      </w:hyperlink>
      <w:r>
        <w:t xml:space="preserve"> </w:t>
      </w:r>
      <w:hyperlink r:id="rId23">
        <w:r>
          <w:rPr>
            <w:rStyle w:val="Hyperlink"/>
          </w:rPr>
          <w:t xml:space="preserve">[32]</w:t>
        </w:r>
      </w:hyperlink>
      <w:r>
        <w:t xml:space="preserve"> </w:t>
      </w:r>
      <w:r>
        <w:t xml:space="preserve">https://www.colorado.edu/faculty/zunger-matter-by-design/sites/default/files/attached-files/136.pdf</w:t>
      </w:r>
    </w:p>
    <w:p>
      <w:pPr>
        <w:pStyle w:val="BodyText"/>
      </w:pPr>
      <w:hyperlink r:id="rId23">
        <w:r>
          <w:rPr>
            <w:rStyle w:val="Hyperlink"/>
          </w:rPr>
          <w:t xml:space="preserve">https://www.colorado.edu/faculty/zunger-matter-by-design/sites/default/files/attached-files/136.pdf</w:t>
        </w:r>
      </w:hyperlink>
    </w:p>
    <w:p>
      <w:pPr>
        <w:pStyle w:val="BodyText"/>
      </w:pPr>
      <w:hyperlink r:id="rId24">
        <w:r>
          <w:rPr>
            <w:rStyle w:val="Hyperlink"/>
          </w:rPr>
          <w:t xml:space="preserve">[5]</w:t>
        </w:r>
      </w:hyperlink>
      <w:r>
        <w:t xml:space="preserve"> </w:t>
      </w:r>
      <w:r>
        <w:t xml:space="preserve">https://www.msi-eureka.com/preview-html/10.10255.2.5/Ag-Au-Cu_Ternary-Phase-Diagram-Evaluations/</w:t>
      </w:r>
    </w:p>
    <w:p>
      <w:pPr>
        <w:pStyle w:val="BodyText"/>
      </w:pPr>
      <w:hyperlink r:id="rId24">
        <w:r>
          <w:rPr>
            <w:rStyle w:val="Hyperlink"/>
          </w:rPr>
          <w:t xml:space="preserve">https://www.msi-eureka.com/preview-html/10.10255.2.5/Ag-Au-Cu_Ternary-Phase-Diagram-Evaluations/</w:t>
        </w:r>
      </w:hyperlink>
    </w:p>
    <w:p>
      <w:pPr>
        <w:pStyle w:val="BodyText"/>
      </w:pPr>
      <w:hyperlink r:id="rId26">
        <w:r>
          <w:rPr>
            <w:rStyle w:val="Hyperlink"/>
          </w:rPr>
          <w:t xml:space="preserve">[6]</w:t>
        </w:r>
      </w:hyperlink>
      <w:r>
        <w:t xml:space="preserve"> </w:t>
      </w:r>
      <w:r>
        <w:t xml:space="preserve">https://www.hyperphysics.phy-astr.gsu.edu/hbase/Tables/magprop.html</w:t>
      </w:r>
    </w:p>
    <w:p>
      <w:pPr>
        <w:pStyle w:val="BodyText"/>
      </w:pPr>
      <w:hyperlink r:id="rId26">
        <w:r>
          <w:rPr>
            <w:rStyle w:val="Hyperlink"/>
          </w:rPr>
          <w:t xml:space="preserve">https://www.hyperphysics.phy-astr.gsu.edu/hbase/Tables/magprop.html</w:t>
        </w:r>
      </w:hyperlink>
    </w:p>
    <w:p>
      <w:pPr>
        <w:pStyle w:val="BodyText"/>
      </w:pPr>
      <w:hyperlink r:id="rId27">
        <w:r>
          <w:rPr>
            <w:rStyle w:val="Hyperlink"/>
          </w:rPr>
          <w:t xml:space="preserve">[7]</w:t>
        </w:r>
      </w:hyperlink>
      <w:r>
        <w:t xml:space="preserve"> </w:t>
      </w:r>
      <w:hyperlink r:id="rId27">
        <w:r>
          <w:rPr>
            <w:rStyle w:val="Hyperlink"/>
          </w:rPr>
          <w:t xml:space="preserve">[8]</w:t>
        </w:r>
      </w:hyperlink>
      <w:r>
        <w:t xml:space="preserve"> </w:t>
      </w:r>
      <w:r>
        <w:t xml:space="preserve">https://link.aps.org/doi/10.1103/PhysRev.165.816</w:t>
      </w:r>
    </w:p>
    <w:p>
      <w:pPr>
        <w:pStyle w:val="BodyText"/>
      </w:pPr>
      <w:hyperlink r:id="rId27">
        <w:r>
          <w:rPr>
            <w:rStyle w:val="Hyperlink"/>
          </w:rPr>
          <w:t xml:space="preserve">https://link.aps.org/doi/10.1103/PhysRev.165.816</w:t>
        </w:r>
      </w:hyperlink>
    </w:p>
    <w:p>
      <w:pPr>
        <w:pStyle w:val="BodyText"/>
      </w:pPr>
      <w:hyperlink r:id="rId29">
        <w:r>
          <w:rPr>
            <w:rStyle w:val="Hyperlink"/>
          </w:rPr>
          <w:t xml:space="preserve">[9]</w:t>
        </w:r>
      </w:hyperlink>
      <w:r>
        <w:t xml:space="preserve"> </w:t>
      </w:r>
      <w:hyperlink r:id="rId29">
        <w:r>
          <w:rPr>
            <w:rStyle w:val="Hyperlink"/>
          </w:rPr>
          <w:t xml:space="preserve">[13]</w:t>
        </w:r>
      </w:hyperlink>
      <w:r>
        <w:t xml:space="preserve"> </w:t>
      </w:r>
      <w:r>
        <w:t xml:space="preserve">https://www.sciencedirect.com/science/article/abs/pii/S2468519425002538</w:t>
      </w:r>
    </w:p>
    <w:p>
      <w:pPr>
        <w:pStyle w:val="BodyText"/>
      </w:pPr>
      <w:hyperlink r:id="rId29">
        <w:r>
          <w:rPr>
            <w:rStyle w:val="Hyperlink"/>
          </w:rPr>
          <w:t xml:space="preserve">https://www.sciencedirect.com/science/article/abs/pii/S2468519425002538</w:t>
        </w:r>
      </w:hyperlink>
    </w:p>
    <w:p>
      <w:pPr>
        <w:pStyle w:val="BodyText"/>
      </w:pPr>
      <w:hyperlink r:id="rId31">
        <w:r>
          <w:rPr>
            <w:rStyle w:val="Hyperlink"/>
          </w:rPr>
          <w:t xml:space="preserve">[10]</w:t>
        </w:r>
      </w:hyperlink>
      <w:r>
        <w:t xml:space="preserve"> </w:t>
      </w:r>
      <w:hyperlink r:id="rId31">
        <w:r>
          <w:rPr>
            <w:rStyle w:val="Hyperlink"/>
          </w:rPr>
          <w:t xml:space="preserve">[11]</w:t>
        </w:r>
      </w:hyperlink>
      <w:r>
        <w:t xml:space="preserve"> </w:t>
      </w:r>
      <w:hyperlink r:id="rId31">
        <w:r>
          <w:rPr>
            <w:rStyle w:val="Hyperlink"/>
          </w:rPr>
          <w:t xml:space="preserve">[54]</w:t>
        </w:r>
      </w:hyperlink>
      <w:r>
        <w:t xml:space="preserve"> </w:t>
      </w:r>
      <w:r>
        <w:t xml:space="preserve">https://harvest.aps.org/v2/journals/articles/10.1103/PhysRev.174.729/fulltext</w:t>
      </w:r>
    </w:p>
    <w:p>
      <w:pPr>
        <w:pStyle w:val="BodyText"/>
      </w:pPr>
      <w:hyperlink r:id="rId31">
        <w:r>
          <w:rPr>
            <w:rStyle w:val="Hyperlink"/>
          </w:rPr>
          <w:t xml:space="preserve">https://harvest.aps.org/v2/journals/articles/10.1103/PhysRev.174.729/fulltext</w:t>
        </w:r>
      </w:hyperlink>
    </w:p>
    <w:p>
      <w:pPr>
        <w:pStyle w:val="BodyText"/>
      </w:pPr>
      <w:hyperlink r:id="rId32">
        <w:r>
          <w:rPr>
            <w:rStyle w:val="Hyperlink"/>
          </w:rPr>
          <w:t xml:space="preserve">[12]</w:t>
        </w:r>
      </w:hyperlink>
      <w:r>
        <w:t xml:space="preserve"> </w:t>
      </w:r>
      <w:r>
        <w:t xml:space="preserve">https://www.sciencedirect.com/science/article/pii/S092401361500206X</w:t>
      </w:r>
    </w:p>
    <w:p>
      <w:pPr>
        <w:pStyle w:val="BodyText"/>
      </w:pPr>
      <w:hyperlink r:id="rId32">
        <w:r>
          <w:rPr>
            <w:rStyle w:val="Hyperlink"/>
          </w:rPr>
          <w:t xml:space="preserve">https://www.sciencedirect.com/science/article/pii/S092401361500206X</w:t>
        </w:r>
      </w:hyperlink>
    </w:p>
    <w:p>
      <w:pPr>
        <w:pStyle w:val="BodyText"/>
      </w:pPr>
      <w:hyperlink r:id="rId36">
        <w:r>
          <w:rPr>
            <w:rStyle w:val="Hyperlink"/>
          </w:rPr>
          <w:t xml:space="preserve">[14]</w:t>
        </w:r>
      </w:hyperlink>
      <w:r>
        <w:t xml:space="preserve"> </w:t>
      </w:r>
      <w:r>
        <w:t xml:space="preserve">https://www.thinfilm.com/docs/atp_mat_tables.pdf</w:t>
      </w:r>
    </w:p>
    <w:p>
      <w:pPr>
        <w:pStyle w:val="BodyText"/>
      </w:pPr>
      <w:hyperlink r:id="rId36">
        <w:r>
          <w:rPr>
            <w:rStyle w:val="Hyperlink"/>
          </w:rPr>
          <w:t xml:space="preserve">https://www.thinfilm.com/docs/atp_mat_tables.pdf</w:t>
        </w:r>
      </w:hyperlink>
    </w:p>
    <w:p>
      <w:pPr>
        <w:pStyle w:val="BodyText"/>
      </w:pPr>
      <w:hyperlink r:id="rId38">
        <w:r>
          <w:rPr>
            <w:rStyle w:val="Hyperlink"/>
          </w:rPr>
          <w:t xml:space="preserve">[16]</w:t>
        </w:r>
      </w:hyperlink>
      <w:r>
        <w:t xml:space="preserve"> </w:t>
      </w:r>
      <w:hyperlink r:id="rId38">
        <w:r>
          <w:rPr>
            <w:rStyle w:val="Hyperlink"/>
          </w:rPr>
          <w:t xml:space="preserve">[38]</w:t>
        </w:r>
      </w:hyperlink>
      <w:r>
        <w:t xml:space="preserve"> </w:t>
      </w:r>
      <w:r>
        <w:t xml:space="preserve">https://www.doitpoms.ac.uk/tlplib/thermal_electrical/composition.php</w:t>
      </w:r>
    </w:p>
    <w:p>
      <w:pPr>
        <w:pStyle w:val="BodyText"/>
      </w:pPr>
      <w:hyperlink r:id="rId38">
        <w:r>
          <w:rPr>
            <w:rStyle w:val="Hyperlink"/>
          </w:rPr>
          <w:t xml:space="preserve">https://www.doitpoms.ac.uk/tlplib/thermal_electrical/composition.php</w:t>
        </w:r>
      </w:hyperlink>
    </w:p>
    <w:p>
      <w:pPr>
        <w:pStyle w:val="BodyText"/>
      </w:pPr>
      <w:hyperlink r:id="rId41">
        <w:r>
          <w:rPr>
            <w:rStyle w:val="Hyperlink"/>
          </w:rPr>
          <w:t xml:space="preserve">[21]</w:t>
        </w:r>
      </w:hyperlink>
      <w:r>
        <w:t xml:space="preserve"> </w:t>
      </w:r>
      <w:hyperlink r:id="rId41">
        <w:r>
          <w:rPr>
            <w:rStyle w:val="Hyperlink"/>
          </w:rPr>
          <w:t xml:space="preserve">[22]</w:t>
        </w:r>
      </w:hyperlink>
      <w:r>
        <w:t xml:space="preserve"> </w:t>
      </w:r>
      <w:hyperlink r:id="rId41">
        <w:r>
          <w:rPr>
            <w:rStyle w:val="Hyperlink"/>
          </w:rPr>
          <w:t xml:space="preserve">[39]</w:t>
        </w:r>
      </w:hyperlink>
      <w:r>
        <w:t xml:space="preserve"> </w:t>
      </w:r>
      <w:hyperlink r:id="rId41">
        <w:r>
          <w:rPr>
            <w:rStyle w:val="Hyperlink"/>
          </w:rPr>
          <w:t xml:space="preserve">[40]</w:t>
        </w:r>
      </w:hyperlink>
      <w:r>
        <w:t xml:space="preserve"> </w:t>
      </w:r>
      <w:r>
        <w:t xml:space="preserve">https://www.metallurgy.nist.gov/phase/solder/agcu.html</w:t>
      </w:r>
    </w:p>
    <w:p>
      <w:pPr>
        <w:pStyle w:val="BodyText"/>
      </w:pPr>
      <w:hyperlink r:id="rId41">
        <w:r>
          <w:rPr>
            <w:rStyle w:val="Hyperlink"/>
          </w:rPr>
          <w:t xml:space="preserve">https://www.metallurgy.nist.gov/phase/solder/agcu.html</w:t>
        </w:r>
      </w:hyperlink>
    </w:p>
    <w:p>
      <w:pPr>
        <w:pStyle w:val="BodyText"/>
      </w:pPr>
      <w:hyperlink r:id="rId42">
        <w:r>
          <w:rPr>
            <w:rStyle w:val="Hyperlink"/>
          </w:rPr>
          <w:t xml:space="preserve">[23]</w:t>
        </w:r>
      </w:hyperlink>
      <w:r>
        <w:t xml:space="preserve"> </w:t>
      </w:r>
      <w:r>
        <w:t xml:space="preserve">https://elton.freeshell.org/Mse311/Homework/Mse311_hmwk-02-soln.pdf</w:t>
      </w:r>
    </w:p>
    <w:p>
      <w:pPr>
        <w:pStyle w:val="BodyText"/>
      </w:pPr>
      <w:hyperlink r:id="rId42">
        <w:r>
          <w:rPr>
            <w:rStyle w:val="Hyperlink"/>
          </w:rPr>
          <w:t xml:space="preserve">https://elton.freeshell.org/Mse311/Homework/Mse311_hmwk-02-soln.pdf</w:t>
        </w:r>
      </w:hyperlink>
    </w:p>
    <w:p>
      <w:pPr>
        <w:pStyle w:val="BodyText"/>
      </w:pPr>
      <w:hyperlink r:id="rId44">
        <w:r>
          <w:rPr>
            <w:rStyle w:val="Hyperlink"/>
          </w:rPr>
          <w:t xml:space="preserve">[24]</w:t>
        </w:r>
      </w:hyperlink>
      <w:r>
        <w:t xml:space="preserve"> </w:t>
      </w:r>
      <w:hyperlink r:id="rId44">
        <w:r>
          <w:rPr>
            <w:rStyle w:val="Hyperlink"/>
          </w:rPr>
          <w:t xml:space="preserve">[25]</w:t>
        </w:r>
      </w:hyperlink>
      <w:r>
        <w:t xml:space="preserve"> </w:t>
      </w:r>
      <w:hyperlink r:id="rId44">
        <w:r>
          <w:rPr>
            <w:rStyle w:val="Hyperlink"/>
          </w:rPr>
          <w:t xml:space="preserve">[27]</w:t>
        </w:r>
      </w:hyperlink>
      <w:r>
        <w:t xml:space="preserve"> </w:t>
      </w:r>
      <w:hyperlink r:id="rId44">
        <w:r>
          <w:rPr>
            <w:rStyle w:val="Hyperlink"/>
          </w:rPr>
          <w:t xml:space="preserve">[35]</w:t>
        </w:r>
      </w:hyperlink>
      <w:r>
        <w:t xml:space="preserve"> </w:t>
      </w:r>
      <w:hyperlink r:id="rId44">
        <w:r>
          <w:rPr>
            <w:rStyle w:val="Hyperlink"/>
          </w:rPr>
          <w:t xml:space="preserve">[51]</w:t>
        </w:r>
      </w:hyperlink>
      <w:r>
        <w:t xml:space="preserve"> </w:t>
      </w:r>
      <w:r>
        <w:t xml:space="preserve">https://www.jstage.jst.go.jp/article/jinstmet1952/24/8/24_8_511/_pdf/-char/en</w:t>
      </w:r>
    </w:p>
    <w:p>
      <w:pPr>
        <w:pStyle w:val="BodyText"/>
      </w:pPr>
      <w:hyperlink r:id="rId44">
        <w:r>
          <w:rPr>
            <w:rStyle w:val="Hyperlink"/>
          </w:rPr>
          <w:t xml:space="preserve">https://www.jstage.jst.go.jp/article/jinstmet1952/24/8/24_8_511/_pdf/-char/en</w:t>
        </w:r>
      </w:hyperlink>
    </w:p>
    <w:p>
      <w:pPr>
        <w:pStyle w:val="BodyText"/>
      </w:pPr>
      <w:hyperlink r:id="rId49">
        <w:r>
          <w:rPr>
            <w:rStyle w:val="Hyperlink"/>
          </w:rPr>
          <w:t xml:space="preserve">[28]</w:t>
        </w:r>
      </w:hyperlink>
      <w:r>
        <w:t xml:space="preserve"> </w:t>
      </w:r>
      <w:hyperlink r:id="rId49">
        <w:r>
          <w:rPr>
            <w:rStyle w:val="Hyperlink"/>
          </w:rPr>
          <w:t xml:space="preserve">[29]</w:t>
        </w:r>
      </w:hyperlink>
      <w:r>
        <w:t xml:space="preserve"> </w:t>
      </w:r>
      <w:hyperlink r:id="rId49">
        <w:r>
          <w:rPr>
            <w:rStyle w:val="Hyperlink"/>
          </w:rPr>
          <w:t xml:space="preserve">[30]</w:t>
        </w:r>
      </w:hyperlink>
      <w:r>
        <w:t xml:space="preserve"> </w:t>
      </w:r>
      <w:hyperlink r:id="rId49">
        <w:r>
          <w:rPr>
            <w:rStyle w:val="Hyperlink"/>
          </w:rPr>
          <w:t xml:space="preserve">[36]</w:t>
        </w:r>
      </w:hyperlink>
      <w:r>
        <w:t xml:space="preserve"> </w:t>
      </w:r>
      <w:hyperlink r:id="rId49">
        <w:r>
          <w:rPr>
            <w:rStyle w:val="Hyperlink"/>
          </w:rPr>
          <w:t xml:space="preserve">[37]</w:t>
        </w:r>
      </w:hyperlink>
      <w:r>
        <w:t xml:space="preserve"> </w:t>
      </w:r>
      <w:r>
        <w:t xml:space="preserve">https://www.researchgate.net/publication/262434223_Age-Hardenability_and_Related_Microstructural_Changes_During_and_After_Phase_Transformation_in_an_Au-Ag-Cu-based_Dental_Alloy/fulltext/039afaf00cf21122b71de081/262434223_Age-Hardenability_and_Related_Microstructural_Changes_During_and_After_Phase_Transformation_in_an_Au-Ag-Cu-based_Dental_Alloy.pdf</w:t>
      </w:r>
    </w:p>
    <w:p>
      <w:pPr>
        <w:pStyle w:val="BodyText"/>
      </w:pPr>
      <w:hyperlink r:id="rId49">
        <w:r>
          <w:rPr>
            <w:rStyle w:val="Hyperlink"/>
          </w:rPr>
          <w:t xml:space="preserve">https://www.researchgate.net/publication/262434223_Age-Hardenability_and_Related_Microstructural_Changes_During_and_After_Phase_Transformation_in_an_Au-Ag-Cu-based_Dental_Alloy/fulltext/039afaf00cf21122b71de081/262434223_Age-Hardenability_and_Related_Microstructural_Changes_During_and_After_Phase_Transformation_in_an_Au-Ag-Cu-based_Dental_Alloy.pdf</w:t>
        </w:r>
      </w:hyperlink>
    </w:p>
    <w:p>
      <w:pPr>
        <w:pStyle w:val="BodyText"/>
      </w:pPr>
      <w:hyperlink r:id="rId51">
        <w:r>
          <w:rPr>
            <w:rStyle w:val="Hyperlink"/>
          </w:rPr>
          <w:t xml:space="preserve">[31]</w:t>
        </w:r>
      </w:hyperlink>
      <w:r>
        <w:t xml:space="preserve"> </w:t>
      </w:r>
      <w:r>
        <w:t xml:space="preserve">https://link.springer.com/content/pdf/10.1007/BF01691477.pdf</w:t>
      </w:r>
    </w:p>
    <w:p>
      <w:pPr>
        <w:pStyle w:val="BodyText"/>
      </w:pPr>
      <w:hyperlink r:id="rId51">
        <w:r>
          <w:rPr>
            <w:rStyle w:val="Hyperlink"/>
          </w:rPr>
          <w:t xml:space="preserve">https://link.springer.com/content/pdf/10.1007/BF01691477.pdf</w:t>
        </w:r>
      </w:hyperlink>
    </w:p>
    <w:p>
      <w:pPr>
        <w:pStyle w:val="BodyText"/>
      </w:pPr>
      <w:hyperlink r:id="rId54">
        <w:r>
          <w:rPr>
            <w:rStyle w:val="Hyperlink"/>
          </w:rPr>
          <w:t xml:space="preserve">[33]</w:t>
        </w:r>
      </w:hyperlink>
      <w:r>
        <w:t xml:space="preserve"> </w:t>
      </w:r>
      <w:r>
        <w:t xml:space="preserve">https://ijcs.ro/public/IJCS-25-03_15_Papadatu.pdf</w:t>
      </w:r>
    </w:p>
    <w:p>
      <w:pPr>
        <w:pStyle w:val="BodyText"/>
      </w:pPr>
      <w:hyperlink r:id="rId54">
        <w:r>
          <w:rPr>
            <w:rStyle w:val="Hyperlink"/>
          </w:rPr>
          <w:t xml:space="preserve">https://ijcs.ro/public/IJCS-25-03_15_Papadatu.pdf</w:t>
        </w:r>
      </w:hyperlink>
    </w:p>
    <w:p>
      <w:pPr>
        <w:pStyle w:val="BodyText"/>
      </w:pPr>
      <w:hyperlink r:id="rId55">
        <w:r>
          <w:rPr>
            <w:rStyle w:val="Hyperlink"/>
          </w:rPr>
          <w:t xml:space="preserve">[34]</w:t>
        </w:r>
      </w:hyperlink>
      <w:r>
        <w:t xml:space="preserve"> </w:t>
      </w:r>
      <w:r>
        <w:t xml:space="preserve">https://www.nihontomessageboard.com/articles/Microstructure_of_a_genuine_Damascus_sabre.pdf</w:t>
      </w:r>
    </w:p>
    <w:p>
      <w:pPr>
        <w:pStyle w:val="BodyText"/>
      </w:pPr>
      <w:hyperlink r:id="rId55">
        <w:r>
          <w:rPr>
            <w:rStyle w:val="Hyperlink"/>
          </w:rPr>
          <w:t xml:space="preserve">https://www.nihontomessageboard.com/articles/Microstructure_of_a_genuine_Damascus_sabre.pdf</w:t>
        </w:r>
      </w:hyperlink>
    </w:p>
    <w:p>
      <w:pPr>
        <w:pStyle w:val="BodyText"/>
      </w:pPr>
      <w:hyperlink r:id="rId60">
        <w:r>
          <w:rPr>
            <w:rStyle w:val="Hyperlink"/>
          </w:rPr>
          <w:t xml:space="preserve">[41]</w:t>
        </w:r>
      </w:hyperlink>
      <w:r>
        <w:t xml:space="preserve"> </w:t>
      </w:r>
      <w:r>
        <w:t xml:space="preserve">https://materials.springer.com/msi/docs/sm_msi_r_10_010255_02</w:t>
      </w:r>
    </w:p>
    <w:p>
      <w:pPr>
        <w:pStyle w:val="BodyText"/>
      </w:pPr>
      <w:hyperlink r:id="rId60">
        <w:r>
          <w:rPr>
            <w:rStyle w:val="Hyperlink"/>
          </w:rPr>
          <w:t xml:space="preserve">https://materials.springer.com/msi/docs/sm_msi_r_10_010255_02</w:t>
        </w:r>
      </w:hyperlink>
    </w:p>
    <w:p>
      <w:pPr>
        <w:pStyle w:val="BodyText"/>
      </w:pPr>
      <w:hyperlink r:id="rId64">
        <w:r>
          <w:rPr>
            <w:rStyle w:val="Hyperlink"/>
          </w:rPr>
          <w:t xml:space="preserve">[42]</w:t>
        </w:r>
      </w:hyperlink>
      <w:r>
        <w:t xml:space="preserve"> </w:t>
      </w:r>
      <w:hyperlink r:id="rId64">
        <w:r>
          <w:rPr>
            <w:rStyle w:val="Hyperlink"/>
          </w:rPr>
          <w:t xml:space="preserve">[50]</w:t>
        </w:r>
      </w:hyperlink>
      <w:r>
        <w:t xml:space="preserve"> </w:t>
      </w:r>
      <w:r>
        <w:t xml:space="preserve">https://www.britannica.com/science/electrum</w:t>
      </w:r>
    </w:p>
    <w:p>
      <w:pPr>
        <w:pStyle w:val="BodyText"/>
      </w:pPr>
      <w:hyperlink r:id="rId64">
        <w:r>
          <w:rPr>
            <w:rStyle w:val="Hyperlink"/>
          </w:rPr>
          <w:t xml:space="preserve">https://www.britannica.com/science/electrum</w:t>
        </w:r>
      </w:hyperlink>
    </w:p>
    <w:p>
      <w:pPr>
        <w:pStyle w:val="BodyText"/>
      </w:pPr>
      <w:hyperlink r:id="rId65">
        <w:r>
          <w:rPr>
            <w:rStyle w:val="Hyperlink"/>
          </w:rPr>
          <w:t xml:space="preserve">[43]</w:t>
        </w:r>
      </w:hyperlink>
      <w:r>
        <w:t xml:space="preserve"> </w:t>
      </w:r>
      <w:r>
        <w:t xml:space="preserve">https://link.springer.com/article/10.1007/BF03354474</w:t>
      </w:r>
    </w:p>
    <w:p>
      <w:pPr>
        <w:pStyle w:val="BodyText"/>
      </w:pPr>
      <w:hyperlink r:id="rId65">
        <w:r>
          <w:rPr>
            <w:rStyle w:val="Hyperlink"/>
          </w:rPr>
          <w:t xml:space="preserve">https://link.springer.com/article/10.1007/BF03354474</w:t>
        </w:r>
      </w:hyperlink>
    </w:p>
    <w:p>
      <w:pPr>
        <w:pStyle w:val="BodyText"/>
      </w:pPr>
      <w:hyperlink r:id="rId67">
        <w:r>
          <w:rPr>
            <w:rStyle w:val="Hyperlink"/>
          </w:rPr>
          <w:t xml:space="preserve">[44]</w:t>
        </w:r>
      </w:hyperlink>
      <w:r>
        <w:t xml:space="preserve"> </w:t>
      </w:r>
      <w:r>
        <w:t xml:space="preserve">https://escholarship.org/uc/item/6b66g1gq</w:t>
      </w:r>
    </w:p>
    <w:p>
      <w:pPr>
        <w:pStyle w:val="BodyText"/>
      </w:pPr>
      <w:hyperlink r:id="rId67">
        <w:r>
          <w:rPr>
            <w:rStyle w:val="Hyperlink"/>
          </w:rPr>
          <w:t xml:space="preserve">https://escholarship.org/uc/item/6b66g1gq</w:t>
        </w:r>
      </w:hyperlink>
    </w:p>
    <w:p>
      <w:pPr>
        <w:pStyle w:val="BodyText"/>
      </w:pPr>
      <w:hyperlink r:id="rId68">
        <w:r>
          <w:rPr>
            <w:rStyle w:val="Hyperlink"/>
          </w:rPr>
          <w:t xml:space="preserve">[45]</w:t>
        </w:r>
      </w:hyperlink>
      <w:r>
        <w:t xml:space="preserve"> </w:t>
      </w:r>
      <w:r>
        <w:t xml:space="preserve">https://www.academia.edu/87615863/Analytical_study_of_the_Middle_Kingdom_group_of_gold_jewellery_from_tomb_124_at_Riqqa_Egypt</w:t>
      </w:r>
    </w:p>
    <w:p>
      <w:pPr>
        <w:pStyle w:val="BodyText"/>
      </w:pPr>
      <w:hyperlink r:id="rId68">
        <w:r>
          <w:rPr>
            <w:rStyle w:val="Hyperlink"/>
          </w:rPr>
          <w:t xml:space="preserve">https://www.academia.edu/87615863/Analytical_study_of_the_Middle_Kingdom_group_of_gold_jewellery_from_tomb_124_at_Riqqa_Egypt</w:t>
        </w:r>
      </w:hyperlink>
    </w:p>
    <w:p>
      <w:pPr>
        <w:pStyle w:val="BodyText"/>
      </w:pPr>
      <w:hyperlink r:id="rId70">
        <w:r>
          <w:rPr>
            <w:rStyle w:val="Hyperlink"/>
          </w:rPr>
          <w:t xml:space="preserve">[46]</w:t>
        </w:r>
      </w:hyperlink>
      <w:r>
        <w:t xml:space="preserve"> </w:t>
      </w:r>
      <w:r>
        <w:t xml:space="preserve">https://link.springer.com/article/10.1557/PROC-352-499</w:t>
      </w:r>
    </w:p>
    <w:p>
      <w:pPr>
        <w:pStyle w:val="BodyText"/>
      </w:pPr>
      <w:hyperlink r:id="rId70">
        <w:r>
          <w:rPr>
            <w:rStyle w:val="Hyperlink"/>
          </w:rPr>
          <w:t xml:space="preserve">https://link.springer.com/article/10.1557/PROC-352-499</w:t>
        </w:r>
      </w:hyperlink>
    </w:p>
    <w:p>
      <w:pPr>
        <w:pStyle w:val="BodyText"/>
      </w:pPr>
      <w:hyperlink r:id="rId71">
        <w:r>
          <w:rPr>
            <w:rStyle w:val="Hyperlink"/>
          </w:rPr>
          <w:t xml:space="preserve">[47]</w:t>
        </w:r>
      </w:hyperlink>
      <w:r>
        <w:t xml:space="preserve"> </w:t>
      </w:r>
      <w:r>
        <w:t xml:space="preserve">https://upcolorado.com/media/acfupload/9781607322108.pdf</w:t>
      </w:r>
    </w:p>
    <w:p>
      <w:pPr>
        <w:pStyle w:val="BodyText"/>
      </w:pPr>
      <w:hyperlink r:id="rId71">
        <w:r>
          <w:rPr>
            <w:rStyle w:val="Hyperlink"/>
          </w:rPr>
          <w:t xml:space="preserve">https://upcolorado.com/media/acfupload/9781607322108.pdf</w:t>
        </w:r>
      </w:hyperlink>
    </w:p>
    <w:p>
      <w:pPr>
        <w:pStyle w:val="BodyText"/>
      </w:pPr>
      <w:hyperlink r:id="rId73">
        <w:r>
          <w:rPr>
            <w:rStyle w:val="Hyperlink"/>
          </w:rPr>
          <w:t xml:space="preserve">[48]</w:t>
        </w:r>
      </w:hyperlink>
      <w:r>
        <w:t xml:space="preserve"> </w:t>
      </w:r>
      <w:r>
        <w:t xml:space="preserve">https://en.wikipedia.org/wiki/Panchaloha</w:t>
      </w:r>
    </w:p>
    <w:p>
      <w:pPr>
        <w:pStyle w:val="BodyText"/>
      </w:pPr>
      <w:hyperlink r:id="rId73">
        <w:r>
          <w:rPr>
            <w:rStyle w:val="Hyperlink"/>
          </w:rPr>
          <w:t xml:space="preserve">https://en.wikipedia.org/wiki/Panchaloha</w:t>
        </w:r>
      </w:hyperlink>
    </w:p>
    <w:p>
      <w:pPr>
        <w:pStyle w:val="BodyText"/>
      </w:pPr>
      <w:hyperlink r:id="rId74">
        <w:r>
          <w:rPr>
            <w:rStyle w:val="Hyperlink"/>
          </w:rPr>
          <w:t xml:space="preserve">[49]</w:t>
        </w:r>
      </w:hyperlink>
      <w:r>
        <w:t xml:space="preserve"> </w:t>
      </w:r>
      <w:r>
        <w:t xml:space="preserve">https://repository.ias.ac.in/90895/1/245-Pub.pdf</w:t>
      </w:r>
    </w:p>
    <w:p>
      <w:pPr>
        <w:pStyle w:val="BodyText"/>
      </w:pPr>
      <w:hyperlink r:id="rId74">
        <w:r>
          <w:rPr>
            <w:rStyle w:val="Hyperlink"/>
          </w:rPr>
          <w:t xml:space="preserve">https://repository.ias.ac.in/90895/1/245-Pub.pdf</w:t>
        </w:r>
      </w:hyperlink>
    </w:p>
    <w:p>
      <w:pPr>
        <w:pStyle w:val="BodyText"/>
      </w:pPr>
      <w:hyperlink r:id="rId78">
        <w:r>
          <w:rPr>
            <w:rStyle w:val="Hyperlink"/>
          </w:rPr>
          <w:t xml:space="preserve">[53]</w:t>
        </w:r>
      </w:hyperlink>
      <w:r>
        <w:t xml:space="preserve"> </w:t>
      </w:r>
      <w:r>
        <w:t xml:space="preserve">https://link.springer.com/article/10.1007/BF00547478</w:t>
      </w:r>
    </w:p>
    <w:p>
      <w:pPr>
        <w:pStyle w:val="BodyText"/>
      </w:pPr>
      <w:hyperlink r:id="rId78">
        <w:r>
          <w:rPr>
            <w:rStyle w:val="Hyperlink"/>
          </w:rPr>
          <w:t xml:space="preserve">https://link.springer.com/article/10.1007/BF00547478</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elton.freeshell.org/Mse311/Homework/Mse311_hmwk-02-soln.pdf" TargetMode="External" /><Relationship Type="http://schemas.openxmlformats.org/officeDocument/2006/relationships/hyperlink" Id="rId73" Target="https://en.wikipedia.org/wiki/Panchaloha" TargetMode="External" /><Relationship Type="http://schemas.openxmlformats.org/officeDocument/2006/relationships/hyperlink" Id="rId67" Target="https://escholarship.org/uc/item/6b66g1gq" TargetMode="External" /><Relationship Type="http://schemas.openxmlformats.org/officeDocument/2006/relationships/hyperlink" Id="rId31" Target="https://harvest.aps.org/v2/journals/articles/10.1103/PhysRev.174.729/fulltext" TargetMode="External" /><Relationship Type="http://schemas.openxmlformats.org/officeDocument/2006/relationships/hyperlink" Id="rId54" Target="https://ijcs.ro/public/IJCS-25-03_15_Papadatu.pdf" TargetMode="External" /><Relationship Type="http://schemas.openxmlformats.org/officeDocument/2006/relationships/hyperlink" Id="rId27" Target="https://link.aps.org/doi/10.1103/PhysRev.165.816" TargetMode="External" /><Relationship Type="http://schemas.openxmlformats.org/officeDocument/2006/relationships/hyperlink" Id="rId78" Target="https://link.springer.com/article/10.1007/BF00547478" TargetMode="External" /><Relationship Type="http://schemas.openxmlformats.org/officeDocument/2006/relationships/hyperlink" Id="rId65" Target="https://link.springer.com/article/10.1007/BF03354474" TargetMode="External" /><Relationship Type="http://schemas.openxmlformats.org/officeDocument/2006/relationships/hyperlink" Id="rId70" Target="https://link.springer.com/article/10.1557/PROC-352-499" TargetMode="External" /><Relationship Type="http://schemas.openxmlformats.org/officeDocument/2006/relationships/hyperlink" Id="rId51" Target="https://link.springer.com/content/pdf/10.1007/BF01691477.pdf" TargetMode="External" /><Relationship Type="http://schemas.openxmlformats.org/officeDocument/2006/relationships/hyperlink" Id="rId60" Target="https://materials.springer.com/msi/docs/sm_msi_r_10_010255_02" TargetMode="External" /><Relationship Type="http://schemas.openxmlformats.org/officeDocument/2006/relationships/hyperlink" Id="rId74" Target="https://repository.ias.ac.in/90895/1/245-Pub.pdf" TargetMode="External" /><Relationship Type="http://schemas.openxmlformats.org/officeDocument/2006/relationships/hyperlink" Id="rId22" Target="https://srd.nist.gov/jpcrdreprint/1.555684.pdf" TargetMode="External" /><Relationship Type="http://schemas.openxmlformats.org/officeDocument/2006/relationships/hyperlink" Id="rId71" Target="https://upcolorado.com/media/acfupload/9781607322108.pdf" TargetMode="External" /><Relationship Type="http://schemas.openxmlformats.org/officeDocument/2006/relationships/hyperlink" Id="rId68" Target="https://www.academia.edu/87615863/Analytical_study_of_the_Middle_Kingdom_group_of_gold_jewellery_from_tomb_124_at_Riqqa_Egypt" TargetMode="External" /><Relationship Type="http://schemas.openxmlformats.org/officeDocument/2006/relationships/hyperlink" Id="rId64" Target="https://www.britannica.com/science/electrum" TargetMode="External" /><Relationship Type="http://schemas.openxmlformats.org/officeDocument/2006/relationships/hyperlink" Id="rId23" Target="https://www.colorado.edu/faculty/zunger-matter-by-design/sites/default/files/attached-files/136.pdf" TargetMode="External" /><Relationship Type="http://schemas.openxmlformats.org/officeDocument/2006/relationships/hyperlink" Id="rId38" Target="https://www.doitpoms.ac.uk/tlplib/thermal_electrical/composition.php" TargetMode="External" /><Relationship Type="http://schemas.openxmlformats.org/officeDocument/2006/relationships/hyperlink" Id="rId26" Target="https://www.hyperphysics.phy-astr.gsu.edu/hbase/Tables/magprop.html" TargetMode="External" /><Relationship Type="http://schemas.openxmlformats.org/officeDocument/2006/relationships/hyperlink" Id="rId44" Target="https://www.jstage.jst.go.jp/article/jinstmet1952/24/8/24_8_511/_pdf/-char/en" TargetMode="External" /><Relationship Type="http://schemas.openxmlformats.org/officeDocument/2006/relationships/hyperlink" Id="rId41" Target="https://www.metallurgy.nist.gov/phase/solder/agcu.html" TargetMode="External" /><Relationship Type="http://schemas.openxmlformats.org/officeDocument/2006/relationships/hyperlink" Id="rId24" Target="https://www.msi-eureka.com/preview-html/10.10255.2.5/Ag-Au-Cu_Ternary-Phase-Diagram-Evaluations/" TargetMode="External" /><Relationship Type="http://schemas.openxmlformats.org/officeDocument/2006/relationships/hyperlink" Id="rId21" Target="https://www.nature.com/articles/srep25010" TargetMode="External" /><Relationship Type="http://schemas.openxmlformats.org/officeDocument/2006/relationships/hyperlink" Id="rId55" Target="https://www.nihontomessageboard.com/articles/Microstructure_of_a_genuine_Damascus_sabre.pdf" TargetMode="External" /><Relationship Type="http://schemas.openxmlformats.org/officeDocument/2006/relationships/hyperlink" Id="rId49" Target="https://www.researchgate.net/publication/262434223_Age-Hardenability_and_Related_Microstructural_Changes_During_and_After_Phase_Transformation_in_an_Au-Ag-Cu-based_Dental_Alloy/fulltext/039afaf00cf21122b71de081/262434223_Age-Hardenability_and_Related_Microstructural_Changes_During_and_After_Phase_Transformation_in_an_Au-Ag-Cu-based_Dental_Alloy.pdf" TargetMode="External" /><Relationship Type="http://schemas.openxmlformats.org/officeDocument/2006/relationships/hyperlink" Id="rId29" Target="https://www.sciencedirect.com/science/article/abs/pii/S2468519425002538" TargetMode="External" /><Relationship Type="http://schemas.openxmlformats.org/officeDocument/2006/relationships/hyperlink" Id="rId32" Target="https://www.sciencedirect.com/science/article/pii/S092401361500206X" TargetMode="External" /><Relationship Type="http://schemas.openxmlformats.org/officeDocument/2006/relationships/hyperlink" Id="rId36" Target="https://www.thinfilm.com/docs/atp_mat_tables.pdf" TargetMode="External" /></Relationships>
</file>

<file path=word/_rels/footnotes.xml.rels><?xml version="1.0" encoding="UTF-8"?><Relationships xmlns="http://schemas.openxmlformats.org/package/2006/relationships"><Relationship Type="http://schemas.openxmlformats.org/officeDocument/2006/relationships/hyperlink" Id="rId42" Target="https://elton.freeshell.org/Mse311/Homework/Mse311_hmwk-02-soln.pdf" TargetMode="External" /><Relationship Type="http://schemas.openxmlformats.org/officeDocument/2006/relationships/hyperlink" Id="rId73" Target="https://en.wikipedia.org/wiki/Panchaloha" TargetMode="External" /><Relationship Type="http://schemas.openxmlformats.org/officeDocument/2006/relationships/hyperlink" Id="rId67" Target="https://escholarship.org/uc/item/6b66g1gq" TargetMode="External" /><Relationship Type="http://schemas.openxmlformats.org/officeDocument/2006/relationships/hyperlink" Id="rId31" Target="https://harvest.aps.org/v2/journals/articles/10.1103/PhysRev.174.729/fulltext" TargetMode="External" /><Relationship Type="http://schemas.openxmlformats.org/officeDocument/2006/relationships/hyperlink" Id="rId54" Target="https://ijcs.ro/public/IJCS-25-03_15_Papadatu.pdf" TargetMode="External" /><Relationship Type="http://schemas.openxmlformats.org/officeDocument/2006/relationships/hyperlink" Id="rId27" Target="https://link.aps.org/doi/10.1103/PhysRev.165.816" TargetMode="External" /><Relationship Type="http://schemas.openxmlformats.org/officeDocument/2006/relationships/hyperlink" Id="rId78" Target="https://link.springer.com/article/10.1007/BF00547478" TargetMode="External" /><Relationship Type="http://schemas.openxmlformats.org/officeDocument/2006/relationships/hyperlink" Id="rId65" Target="https://link.springer.com/article/10.1007/BF03354474" TargetMode="External" /><Relationship Type="http://schemas.openxmlformats.org/officeDocument/2006/relationships/hyperlink" Id="rId70" Target="https://link.springer.com/article/10.1557/PROC-352-499" TargetMode="External" /><Relationship Type="http://schemas.openxmlformats.org/officeDocument/2006/relationships/hyperlink" Id="rId51" Target="https://link.springer.com/content/pdf/10.1007/BF01691477.pdf" TargetMode="External" /><Relationship Type="http://schemas.openxmlformats.org/officeDocument/2006/relationships/hyperlink" Id="rId60" Target="https://materials.springer.com/msi/docs/sm_msi_r_10_010255_02" TargetMode="External" /><Relationship Type="http://schemas.openxmlformats.org/officeDocument/2006/relationships/hyperlink" Id="rId74" Target="https://repository.ias.ac.in/90895/1/245-Pub.pdf" TargetMode="External" /><Relationship Type="http://schemas.openxmlformats.org/officeDocument/2006/relationships/hyperlink" Id="rId22" Target="https://srd.nist.gov/jpcrdreprint/1.555684.pdf" TargetMode="External" /><Relationship Type="http://schemas.openxmlformats.org/officeDocument/2006/relationships/hyperlink" Id="rId71" Target="https://upcolorado.com/media/acfupload/9781607322108.pdf" TargetMode="External" /><Relationship Type="http://schemas.openxmlformats.org/officeDocument/2006/relationships/hyperlink" Id="rId68" Target="https://www.academia.edu/87615863/Analytical_study_of_the_Middle_Kingdom_group_of_gold_jewellery_from_tomb_124_at_Riqqa_Egypt" TargetMode="External" /><Relationship Type="http://schemas.openxmlformats.org/officeDocument/2006/relationships/hyperlink" Id="rId64" Target="https://www.britannica.com/science/electrum" TargetMode="External" /><Relationship Type="http://schemas.openxmlformats.org/officeDocument/2006/relationships/hyperlink" Id="rId23" Target="https://www.colorado.edu/faculty/zunger-matter-by-design/sites/default/files/attached-files/136.pdf" TargetMode="External" /><Relationship Type="http://schemas.openxmlformats.org/officeDocument/2006/relationships/hyperlink" Id="rId38" Target="https://www.doitpoms.ac.uk/tlplib/thermal_electrical/composition.php" TargetMode="External" /><Relationship Type="http://schemas.openxmlformats.org/officeDocument/2006/relationships/hyperlink" Id="rId26" Target="https://www.hyperphysics.phy-astr.gsu.edu/hbase/Tables/magprop.html" TargetMode="External" /><Relationship Type="http://schemas.openxmlformats.org/officeDocument/2006/relationships/hyperlink" Id="rId44" Target="https://www.jstage.jst.go.jp/article/jinstmet1952/24/8/24_8_511/_pdf/-char/en" TargetMode="External" /><Relationship Type="http://schemas.openxmlformats.org/officeDocument/2006/relationships/hyperlink" Id="rId41" Target="https://www.metallurgy.nist.gov/phase/solder/agcu.html" TargetMode="External" /><Relationship Type="http://schemas.openxmlformats.org/officeDocument/2006/relationships/hyperlink" Id="rId24" Target="https://www.msi-eureka.com/preview-html/10.10255.2.5/Ag-Au-Cu_Ternary-Phase-Diagram-Evaluations/" TargetMode="External" /><Relationship Type="http://schemas.openxmlformats.org/officeDocument/2006/relationships/hyperlink" Id="rId21" Target="https://www.nature.com/articles/srep25010" TargetMode="External" /><Relationship Type="http://schemas.openxmlformats.org/officeDocument/2006/relationships/hyperlink" Id="rId55" Target="https://www.nihontomessageboard.com/articles/Microstructure_of_a_genuine_Damascus_sabre.pdf" TargetMode="External" /><Relationship Type="http://schemas.openxmlformats.org/officeDocument/2006/relationships/hyperlink" Id="rId49" Target="https://www.researchgate.net/publication/262434223_Age-Hardenability_and_Related_Microstructural_Changes_During_and_After_Phase_Transformation_in_an_Au-Ag-Cu-based_Dental_Alloy/fulltext/039afaf00cf21122b71de081/262434223_Age-Hardenability_and_Related_Microstructural_Changes_During_and_After_Phase_Transformation_in_an_Au-Ag-Cu-based_Dental_Alloy.pdf" TargetMode="External" /><Relationship Type="http://schemas.openxmlformats.org/officeDocument/2006/relationships/hyperlink" Id="rId29" Target="https://www.sciencedirect.com/science/article/abs/pii/S2468519425002538" TargetMode="External" /><Relationship Type="http://schemas.openxmlformats.org/officeDocument/2006/relationships/hyperlink" Id="rId32" Target="https://www.sciencedirect.com/science/article/pii/S092401361500206X" TargetMode="External" /><Relationship Type="http://schemas.openxmlformats.org/officeDocument/2006/relationships/hyperlink" Id="rId36" Target="https://www.thinfilm.com/docs/atp_mat_tabl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2026-04-09T13:13:19Z</dcterms:created>
  <dcterms:modified xsi:type="dcterms:W3CDTF">2026-04-09T13:13:19Z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