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6" w:name="content"/>
    <w:bookmarkStart w:id="75" w:name="Xe62683df218e0776d1a37874de3e6171e7eb74b"/>
    <w:p>
      <w:pPr>
        <w:pStyle w:val="Heading1"/>
      </w:pPr>
      <w:r>
        <w:t xml:space="preserve">Graha Friendship/Enmity and Material Interactions in Planetary Metals and Gems</w:t>
      </w:r>
    </w:p>
    <w:bookmarkStart w:id="23" w:name="X5a92d8e11fa01876024d00248f081830507a0d2"/>
    <w:p>
      <w:pPr>
        <w:pStyle w:val="Heading2"/>
      </w:pPr>
      <w:r>
        <w:t xml:space="preserve">Framing the research question in a testable way</w:t>
      </w:r>
    </w:p>
    <w:p>
      <w:pPr>
        <w:pStyle w:val="FirstParagraph"/>
      </w:pPr>
      <w:r>
        <w:t xml:space="preserve">Your core question can be made “material-science comparable” by translating a jyotiṣa relationship (friend/enemy/neutral; sometimes asymmetric) into</w:t>
      </w:r>
      <w:r>
        <w:t xml:space="preserve"> </w:t>
      </w:r>
      <w:r>
        <w:rPr>
          <w:b/>
          <w:bCs/>
        </w:rPr>
        <w:t xml:space="preserve">specific, measurable interaction types</w:t>
      </w:r>
      <w:r>
        <w:t xml:space="preserve"> </w:t>
      </w:r>
      <w:r>
        <w:t xml:space="preserve">between the corresponding materials. In modern physical science, the closest analogs to “compatibility” (easy coexistence) vs “incompatibility” (tendency to separate or degrade) are:</w:t>
      </w:r>
    </w:p>
    <w:p>
      <w:pPr>
        <w:pStyle w:val="BodyText"/>
      </w:pPr>
      <w:r>
        <w:t xml:space="preserve">In metallic systems: (a)</w:t>
      </w:r>
      <w:r>
        <w:t xml:space="preserve"> </w:t>
      </w:r>
      <w:r>
        <w:rPr>
          <w:b/>
          <w:bCs/>
        </w:rPr>
        <w:t xml:space="preserve">phase-diagram behavior</w:t>
      </w:r>
      <w:r>
        <w:t xml:space="preserve"> </w:t>
      </w:r>
      <w:r>
        <w:t xml:space="preserve">(continuous solid solution vs limited solubility vs miscibility gaps vs intermediate/intermetallic phases), (b)</w:t>
      </w:r>
      <w:r>
        <w:t xml:space="preserve"> </w:t>
      </w:r>
      <w:r>
        <w:rPr>
          <w:b/>
          <w:bCs/>
        </w:rPr>
        <w:t xml:space="preserve">thermodynamics of mixing</w:t>
      </w:r>
      <w:r>
        <w:t xml:space="preserve"> </w:t>
      </w:r>
      <w:r>
        <w:t xml:space="preserve">(e.g., positive vs negative deviation from ideality; enthalpy/entropy terms that drive mixing or phase separation), (c)</w:t>
      </w:r>
      <w:r>
        <w:t xml:space="preserve"> </w:t>
      </w:r>
      <w:r>
        <w:rPr>
          <w:b/>
          <w:bCs/>
        </w:rPr>
        <w:t xml:space="preserve">structure/ordering phenomena</w:t>
      </w:r>
      <w:r>
        <w:t xml:space="preserve"> </w:t>
      </w:r>
      <w:r>
        <w:t xml:space="preserve">at special compositions (order–disorder transitions, stoichiometric compounds), and (d)</w:t>
      </w:r>
      <w:r>
        <w:t xml:space="preserve"> </w:t>
      </w:r>
      <w:r>
        <w:rPr>
          <w:b/>
          <w:bCs/>
        </w:rPr>
        <w:t xml:space="preserve">electrochemical directionality</w:t>
      </w:r>
      <w:r>
        <w:t xml:space="preserve"> </w:t>
      </w:r>
      <w:r>
        <w:t xml:space="preserve">when dissimilar metals are electrically connected in an electrolyte (galvanic corrosion).</w:t>
      </w:r>
      <w:r>
        <w:t xml:space="preserve"> </w:t>
      </w:r>
      <w:hyperlink r:id="rId21">
        <w:r>
          <w:rPr>
            <w:rStyle w:val="Hyperlink"/>
          </w:rPr>
          <w:t xml:space="preserve">[1]</w:t>
        </w:r>
      </w:hyperlink>
    </w:p>
    <w:p>
      <w:pPr>
        <w:pStyle w:val="BodyText"/>
      </w:pPr>
      <w:r>
        <w:t xml:space="preserve">In gem materials: (a)</w:t>
      </w:r>
      <w:r>
        <w:t xml:space="preserve"> </w:t>
      </w:r>
      <w:r>
        <w:rPr>
          <w:b/>
          <w:bCs/>
        </w:rPr>
        <w:t xml:space="preserve">mechanical interaction</w:t>
      </w:r>
      <w:r>
        <w:t xml:space="preserve"> </w:t>
      </w:r>
      <w:r>
        <w:t xml:space="preserve">(abrasion/scratching driven by hardness and surface contact), (b)</w:t>
      </w:r>
      <w:r>
        <w:t xml:space="preserve"> </w:t>
      </w:r>
      <w:r>
        <w:rPr>
          <w:b/>
          <w:bCs/>
        </w:rPr>
        <w:t xml:space="preserve">chemical stability</w:t>
      </w:r>
      <w:r>
        <w:t xml:space="preserve"> </w:t>
      </w:r>
      <w:r>
        <w:t xml:space="preserve">(sensitivity to acids, dehydration, heat, etc.), and (c) realistically, the absence of strong “pairwise” electromagnetic interactions in ordinary wearing conditions for most insulating crystals—unless one is asserting effects beyond standard physics (which would require extraordinary evidence).</w:t>
      </w:r>
      <w:r>
        <w:t xml:space="preserve"> </w:t>
      </w:r>
      <w:hyperlink r:id="rId22">
        <w:r>
          <w:rPr>
            <w:rStyle w:val="Hyperlink"/>
          </w:rPr>
          <w:t xml:space="preserve">[2]</w:t>
        </w:r>
      </w:hyperlink>
    </w:p>
    <w:p>
      <w:pPr>
        <w:pStyle w:val="BodyText"/>
      </w:pPr>
      <w:r>
        <w:t xml:space="preserve">This report uses</w:t>
      </w:r>
      <w:r>
        <w:t xml:space="preserve"> </w:t>
      </w:r>
      <w:r>
        <w:rPr>
          <w:b/>
          <w:bCs/>
        </w:rPr>
        <w:t xml:space="preserve">Bṛhat Parāśara Horā Śāstra (BPHS)</w:t>
      </w:r>
      <w:r>
        <w:t xml:space="preserve"> </w:t>
      </w:r>
      <w:r>
        <w:t xml:space="preserve">as the reference for “classical jyotiṣa” graha friendships/enmities, then compares the specified graha-pair correspondences to the best-documented behaviors of the relevant binary metal systems and (where applicable) gem durability interactions.</w:t>
      </w:r>
    </w:p>
    <w:bookmarkEnd w:id="23"/>
    <w:bookmarkStart w:id="27" w:name="X61bffa7519c88dd9ef12d95874105e69963fdc5"/>
    <w:p>
      <w:pPr>
        <w:pStyle w:val="Heading2"/>
      </w:pPr>
      <w:r>
        <w:t xml:space="preserve">Classical BPHS graha friendship/enmity and why asymmetry exists</w:t>
      </w:r>
    </w:p>
    <w:bookmarkStart w:id="25" w:name="how-bphs-defines-natural-relationships"/>
    <w:p>
      <w:pPr>
        <w:pStyle w:val="Heading3"/>
      </w:pPr>
      <w:r>
        <w:t xml:space="preserve">How BPHS defines natural relationships</w:t>
      </w:r>
    </w:p>
    <w:p>
      <w:pPr>
        <w:pStyle w:val="FirstParagraph"/>
      </w:pPr>
      <w:r>
        <w:t xml:space="preserve">BPHS gives an explicit computational rule for</w:t>
      </w:r>
      <w:r>
        <w:t xml:space="preserve"> </w:t>
      </w:r>
      <w:r>
        <w:rPr>
          <w:b/>
          <w:bCs/>
        </w:rPr>
        <w:t xml:space="preserve">natural (naisargika) relationships</w:t>
      </w:r>
      <w:r>
        <w:t xml:space="preserve">: from a planet’s</w:t>
      </w:r>
      <w:r>
        <w:t xml:space="preserve"> </w:t>
      </w:r>
      <w:r>
        <w:rPr>
          <w:b/>
          <w:bCs/>
        </w:rPr>
        <w:t xml:space="preserve">mūlatrikoṇa</w:t>
      </w:r>
      <w:r>
        <w:t xml:space="preserve"> </w:t>
      </w:r>
      <w:r>
        <w:t xml:space="preserve">sign, the lords of the 2nd, 4th, 5th, 8th, 9th, and 12th signs (plus the lord of the planet’s exaltation sign) are friends; other lords are enemies; and if the same planet qualifies as both friend and enemy by the rule, the net result is “equal/neutral.”</w:t>
      </w:r>
      <w:r>
        <w:t xml:space="preserve"> </w:t>
      </w:r>
      <w:hyperlink r:id="rId24">
        <w:r>
          <w:rPr>
            <w:rStyle w:val="Hyperlink"/>
          </w:rPr>
          <w:t xml:space="preserve">[3]</w:t>
        </w:r>
      </w:hyperlink>
    </w:p>
    <w:p>
      <w:pPr>
        <w:pStyle w:val="BodyText"/>
      </w:pPr>
      <w:r>
        <w:t xml:space="preserve">This matters for your research question because it shows that, in BPHS, friendship/enmity is derived from a</w:t>
      </w:r>
      <w:r>
        <w:t xml:space="preserve"> </w:t>
      </w:r>
      <w:r>
        <w:rPr>
          <w:b/>
          <w:bCs/>
        </w:rPr>
        <w:t xml:space="preserve">rāśi-based dignities/house-lord logic</w:t>
      </w:r>
      <w:r>
        <w:t xml:space="preserve">, not from any physical/material properties. Any alignment with metallurgy would therefore be a correlation/analogy, not something the BPHS rule itself is “trying to encode.”</w:t>
      </w:r>
      <w:r>
        <w:t xml:space="preserve"> </w:t>
      </w:r>
      <w:hyperlink r:id="rId24">
        <w:r>
          <w:rPr>
            <w:rStyle w:val="Hyperlink"/>
          </w:rPr>
          <w:t xml:space="preserve">[3]</w:t>
        </w:r>
      </w:hyperlink>
    </w:p>
    <w:bookmarkEnd w:id="25"/>
    <w:bookmarkStart w:id="26" w:name="X88222178af7365745a21f7bf755c1d51e771124"/>
    <w:p>
      <w:pPr>
        <w:pStyle w:val="Heading3"/>
      </w:pPr>
      <w:r>
        <w:t xml:space="preserve">BPHS natural friendship table for the relevant pairs</w:t>
      </w:r>
    </w:p>
    <w:p>
      <w:pPr>
        <w:pStyle w:val="FirstParagraph"/>
      </w:pPr>
      <w:r>
        <w:t xml:space="preserve">BPHS provides a table of each graha’s friends/enemies/equal planets. Key entries relevant to your chosen pairs are:</w:t>
      </w:r>
      <w:r>
        <w:t xml:space="preserve"> </w:t>
      </w:r>
      <w:hyperlink r:id="rId24">
        <w:r>
          <w:rPr>
            <w:rStyle w:val="Hyperlink"/>
          </w:rPr>
          <w:t xml:space="preserve">[4]</w:t>
        </w:r>
      </w:hyperlink>
    </w:p>
    <w:p>
      <w:pPr>
        <w:pStyle w:val="Compact"/>
        <w:numPr>
          <w:ilvl w:val="0"/>
          <w:numId w:val="1001"/>
        </w:numPr>
      </w:pPr>
      <w:r>
        <w:rPr>
          <w:b/>
          <w:bCs/>
        </w:rPr>
        <w:t xml:space="preserve">Sun–Moon</w:t>
      </w:r>
      <w:r>
        <w:t xml:space="preserve">: mutual friends (Sun lists Moon as friend; Moon lists Sun as friend).</w:t>
      </w:r>
      <w:r>
        <w:t xml:space="preserve"> </w:t>
      </w:r>
      <w:hyperlink r:id="rId24">
        <w:r>
          <w:rPr>
            <w:rStyle w:val="Hyperlink"/>
          </w:rPr>
          <w:t xml:space="preserve">[4]</w:t>
        </w:r>
      </w:hyperlink>
    </w:p>
    <w:p>
      <w:pPr>
        <w:pStyle w:val="Compact"/>
        <w:numPr>
          <w:ilvl w:val="0"/>
          <w:numId w:val="1001"/>
        </w:numPr>
      </w:pPr>
      <w:r>
        <w:rPr>
          <w:b/>
          <w:bCs/>
        </w:rPr>
        <w:t xml:space="preserve">Sun–Saturn</w:t>
      </w:r>
      <w:r>
        <w:t xml:space="preserve">: mutual enemies (Sun lists Saturn as enemy; Saturn lists Sun as enemy).</w:t>
      </w:r>
      <w:r>
        <w:t xml:space="preserve"> </w:t>
      </w:r>
      <w:hyperlink r:id="rId24">
        <w:r>
          <w:rPr>
            <w:rStyle w:val="Hyperlink"/>
          </w:rPr>
          <w:t xml:space="preserve">[4]</w:t>
        </w:r>
      </w:hyperlink>
    </w:p>
    <w:p>
      <w:pPr>
        <w:pStyle w:val="Compact"/>
        <w:numPr>
          <w:ilvl w:val="0"/>
          <w:numId w:val="1001"/>
        </w:numPr>
      </w:pPr>
      <w:r>
        <w:rPr>
          <w:b/>
          <w:bCs/>
        </w:rPr>
        <w:t xml:space="preserve">Sun–Venus</w:t>
      </w:r>
      <w:r>
        <w:t xml:space="preserve">: mutual enemies in BPHS (Sun lists Venus enemy; Venus lists Sun enemy). This is not “one-way” under the BPHS table.</w:t>
      </w:r>
      <w:r>
        <w:t xml:space="preserve"> </w:t>
      </w:r>
      <w:hyperlink r:id="rId24">
        <w:r>
          <w:rPr>
            <w:rStyle w:val="Hyperlink"/>
          </w:rPr>
          <w:t xml:space="preserve">[4]</w:t>
        </w:r>
      </w:hyperlink>
    </w:p>
    <w:p>
      <w:pPr>
        <w:pStyle w:val="Compact"/>
        <w:numPr>
          <w:ilvl w:val="0"/>
          <w:numId w:val="1001"/>
        </w:numPr>
      </w:pPr>
      <w:r>
        <w:rPr>
          <w:b/>
          <w:bCs/>
        </w:rPr>
        <w:t xml:space="preserve">Moon–Mercury</w:t>
      </w:r>
      <w:r>
        <w:t xml:space="preserve">:</w:t>
      </w:r>
      <w:r>
        <w:t xml:space="preserve"> </w:t>
      </w:r>
      <w:r>
        <w:rPr>
          <w:b/>
          <w:bCs/>
        </w:rPr>
        <w:t xml:space="preserve">asymmetric</w:t>
      </w:r>
      <w:r>
        <w:t xml:space="preserve">: Moon lists Mercury as friend, but Mercury lists Moon as enemy.</w:t>
      </w:r>
      <w:r>
        <w:t xml:space="preserve"> </w:t>
      </w:r>
      <w:hyperlink r:id="rId24">
        <w:r>
          <w:rPr>
            <w:rStyle w:val="Hyperlink"/>
          </w:rPr>
          <w:t xml:space="preserve">[4]</w:t>
        </w:r>
      </w:hyperlink>
    </w:p>
    <w:p>
      <w:pPr>
        <w:pStyle w:val="Compact"/>
        <w:numPr>
          <w:ilvl w:val="0"/>
          <w:numId w:val="1001"/>
        </w:numPr>
      </w:pPr>
      <w:r>
        <w:rPr>
          <w:b/>
          <w:bCs/>
        </w:rPr>
        <w:t xml:space="preserve">Jupiter–Mercury</w:t>
      </w:r>
      <w:r>
        <w:t xml:space="preserve">:</w:t>
      </w:r>
      <w:r>
        <w:t xml:space="preserve"> </w:t>
      </w:r>
      <w:r>
        <w:rPr>
          <w:b/>
          <w:bCs/>
        </w:rPr>
        <w:t xml:space="preserve">asymmetric</w:t>
      </w:r>
      <w:r>
        <w:t xml:space="preserve">: Jupiter lists Mercury as enemy, while Mercury lists Jupiter as equal/neutral.</w:t>
      </w:r>
      <w:r>
        <w:t xml:space="preserve"> </w:t>
      </w:r>
      <w:hyperlink r:id="rId24">
        <w:r>
          <w:rPr>
            <w:rStyle w:val="Hyperlink"/>
          </w:rPr>
          <w:t xml:space="preserve">[4]</w:t>
        </w:r>
      </w:hyperlink>
    </w:p>
    <w:p>
      <w:pPr>
        <w:pStyle w:val="FirstParagraph"/>
      </w:pPr>
      <w:r>
        <w:t xml:space="preserve">So, two of the five “pairs” you listed (Moon–Mercury and Jupiter–Mercury) are already</w:t>
      </w:r>
      <w:r>
        <w:t xml:space="preserve"> </w:t>
      </w:r>
      <w:r>
        <w:rPr>
          <w:b/>
          <w:bCs/>
        </w:rPr>
        <w:t xml:space="preserve">directional</w:t>
      </w:r>
      <w:r>
        <w:t xml:space="preserve"> </w:t>
      </w:r>
      <w:r>
        <w:t xml:space="preserve">in BPHS. That directional feature becomes important later when we look for “material analogs of one-way asymmetry.”</w:t>
      </w:r>
    </w:p>
    <w:bookmarkEnd w:id="26"/>
    <w:bookmarkEnd w:id="27"/>
    <w:bookmarkStart w:id="34" w:name="X146725c0054a08bbd83108f755e18920f1446ac"/>
    <w:p>
      <w:pPr>
        <w:pStyle w:val="Heading2"/>
      </w:pPr>
      <w:r>
        <w:t xml:space="preserve">Planet–metal / planet–gem correspondences and why they are not unique</w:t>
      </w:r>
    </w:p>
    <w:bookmarkStart w:id="30" w:name="Xf6cf2990ba2a9e0484744754110c926fd0e667d"/>
    <w:p>
      <w:pPr>
        <w:pStyle w:val="Heading3"/>
      </w:pPr>
      <w:r>
        <w:t xml:space="preserve">The correspondence set implied by your pair list</w:t>
      </w:r>
    </w:p>
    <w:p>
      <w:pPr>
        <w:pStyle w:val="FirstParagraph"/>
      </w:pPr>
      <w:r>
        <w:t xml:space="preserve">Your proposed metal pairings implicitly assume these correspondences:</w:t>
      </w:r>
    </w:p>
    <w:p>
      <w:pPr>
        <w:pStyle w:val="BodyText"/>
      </w:pPr>
      <w:r>
        <w:t xml:space="preserve">Sun→gold (Au), Moon→silver (Ag), Saturn→iron (Fe), Venus→copper (Cu), Jupiter→tin (Sn), Mercury→(mercury, Hg) and/or zinc/brass-related (Zn, Cu–Zn). This is broadly consistent with long-standing</w:t>
      </w:r>
      <w:r>
        <w:t xml:space="preserve"> </w:t>
      </w:r>
      <w:r>
        <w:rPr>
          <w:b/>
          <w:bCs/>
        </w:rPr>
        <w:t xml:space="preserve">planet–metal</w:t>
      </w:r>
      <w:r>
        <w:t xml:space="preserve"> </w:t>
      </w:r>
      <w:r>
        <w:t xml:space="preserve">traditions in the history of alchemical symbolism (gold–Sun, silver–Moon, mercury–Mercury, copper–Venus, iron–Mars, tin–Jupiter, lead–Saturn), although those are historically documented most clearly in Greco‑Arabic/European alchemical lineages rather than uniquely in jyotiṣa texts.</w:t>
      </w:r>
      <w:r>
        <w:t xml:space="preserve"> </w:t>
      </w:r>
      <w:hyperlink r:id="rId28">
        <w:r>
          <w:rPr>
            <w:rStyle w:val="Hyperlink"/>
          </w:rPr>
          <w:t xml:space="preserve">[5]</w:t>
        </w:r>
      </w:hyperlink>
    </w:p>
    <w:p>
      <w:pPr>
        <w:pStyle w:val="BodyText"/>
      </w:pPr>
      <w:r>
        <w:t xml:space="preserve">Indian ritual and scholastic sources can map materials differently. For example, a cited prescription associated with a Śāntikalpa tradition assigns</w:t>
      </w:r>
      <w:r>
        <w:t xml:space="preserve"> </w:t>
      </w:r>
      <w:r>
        <w:rPr>
          <w:b/>
          <w:bCs/>
        </w:rPr>
        <w:t xml:space="preserve">red copper</w:t>
      </w:r>
      <w:r>
        <w:t xml:space="preserve"> </w:t>
      </w:r>
      <w:r>
        <w:t xml:space="preserve">to Sun and Mars,</w:t>
      </w:r>
      <w:r>
        <w:t xml:space="preserve"> </w:t>
      </w:r>
      <w:r>
        <w:rPr>
          <w:b/>
          <w:bCs/>
        </w:rPr>
        <w:t xml:space="preserve">gold</w:t>
      </w:r>
      <w:r>
        <w:t xml:space="preserve"> </w:t>
      </w:r>
      <w:r>
        <w:t xml:space="preserve">to Mercury and Jupiter,</w:t>
      </w:r>
      <w:r>
        <w:t xml:space="preserve"> </w:t>
      </w:r>
      <w:r>
        <w:rPr>
          <w:b/>
          <w:bCs/>
        </w:rPr>
        <w:t xml:space="preserve">silver</w:t>
      </w:r>
      <w:r>
        <w:t xml:space="preserve"> </w:t>
      </w:r>
      <w:r>
        <w:t xml:space="preserve">to Moon and Venus, and</w:t>
      </w:r>
      <w:r>
        <w:t xml:space="preserve"> </w:t>
      </w:r>
      <w:r>
        <w:rPr>
          <w:b/>
          <w:bCs/>
        </w:rPr>
        <w:t xml:space="preserve">black iron</w:t>
      </w:r>
      <w:r>
        <w:t xml:space="preserve"> </w:t>
      </w:r>
      <w:r>
        <w:t xml:space="preserve">to Saturn/Rāhu/Ketu—showing that “planetary metals” are not a single fixed canon across Indic contexts.</w:t>
      </w:r>
      <w:r>
        <w:t xml:space="preserve"> </w:t>
      </w:r>
      <w:hyperlink r:id="rId29">
        <w:r>
          <w:rPr>
            <w:rStyle w:val="Hyperlink"/>
          </w:rPr>
          <w:t xml:space="preserve">[6]</w:t>
        </w:r>
      </w:hyperlink>
    </w:p>
    <w:bookmarkEnd w:id="30"/>
    <w:bookmarkStart w:id="33" w:name="X596e34915943f218df4c67d34b9c7cbfc9c8fe9"/>
    <w:p>
      <w:pPr>
        <w:pStyle w:val="Heading3"/>
      </w:pPr>
      <w:r>
        <w:t xml:space="preserve">Gems: material facts are well-documented; “compatibility rules” are not</w:t>
      </w:r>
    </w:p>
    <w:p>
      <w:pPr>
        <w:pStyle w:val="FirstParagraph"/>
      </w:pPr>
      <w:r>
        <w:t xml:space="preserve">Classical jyotiṣa literature certainly contains</w:t>
      </w:r>
      <w:r>
        <w:t xml:space="preserve"> </w:t>
      </w:r>
      <w:r>
        <w:rPr>
          <w:b/>
          <w:bCs/>
        </w:rPr>
        <w:t xml:space="preserve">gemological content</w:t>
      </w:r>
      <w:r>
        <w:t xml:space="preserve"> </w:t>
      </w:r>
      <w:r>
        <w:t xml:space="preserve">(e.g., Bṛhat Saṃhitā includes a chapter on gems/ratna-parīkṣā in an encyclopedic jyotiṣa work).</w:t>
      </w:r>
      <w:r>
        <w:t xml:space="preserve"> </w:t>
      </w:r>
      <w:hyperlink r:id="rId31">
        <w:r>
          <w:rPr>
            <w:rStyle w:val="Hyperlink"/>
          </w:rPr>
          <w:t xml:space="preserve">[7]</w:t>
        </w:r>
      </w:hyperlink>
      <w:r>
        <w:br/>
      </w:r>
      <w:r>
        <w:t xml:space="preserve">But claims that</w:t>
      </w:r>
      <w:r>
        <w:t xml:space="preserve"> </w:t>
      </w:r>
      <w:r>
        <w:rPr>
          <w:i/>
          <w:iCs/>
        </w:rPr>
        <w:t xml:space="preserve">specific gem combinations</w:t>
      </w:r>
      <w:r>
        <w:t xml:space="preserve"> </w:t>
      </w:r>
      <w:r>
        <w:t xml:space="preserve">produce distinct “effects” in a way that would map to graha friendship/enmity are generally not documented in modern gemology/physics literature at the same evidentiary level as, say, hardness or chemical stability (which are).</w:t>
      </w:r>
      <w:r>
        <w:t xml:space="preserve"> </w:t>
      </w:r>
      <w:hyperlink r:id="rId22">
        <w:r>
          <w:rPr>
            <w:rStyle w:val="Hyperlink"/>
          </w:rPr>
          <w:t xml:space="preserve">[8]</w:t>
        </w:r>
      </w:hyperlink>
    </w:p>
    <w:p>
      <w:pPr>
        <w:pStyle w:val="BodyText"/>
      </w:pPr>
      <w:r>
        <w:t xml:space="preserve">For the gem portion of your question, the most defensible “interaction” evidence base is therefore</w:t>
      </w:r>
      <w:r>
        <w:t xml:space="preserve"> </w:t>
      </w:r>
      <w:r>
        <w:rPr>
          <w:b/>
          <w:bCs/>
        </w:rPr>
        <w:t xml:space="preserve">durability and damage/care</w:t>
      </w:r>
      <w:r>
        <w:t xml:space="preserve"> </w:t>
      </w:r>
      <w:r>
        <w:t xml:space="preserve">(scratching, abrasion, chemical sensitivity), as published by gemological authorities like GIA.</w:t>
      </w:r>
      <w:r>
        <w:t xml:space="preserve"> </w:t>
      </w:r>
      <w:hyperlink r:id="rId32">
        <w:r>
          <w:rPr>
            <w:rStyle w:val="Hyperlink"/>
          </w:rPr>
          <w:t xml:space="preserve">[9]</w:t>
        </w:r>
      </w:hyperlink>
    </w:p>
    <w:bookmarkEnd w:id="33"/>
    <w:bookmarkEnd w:id="34"/>
    <w:bookmarkStart w:id="57" w:name="Xce8ae3114f25052a31cb4f09e7f46b92a3af29f"/>
    <w:p>
      <w:pPr>
        <w:pStyle w:val="Heading2"/>
      </w:pPr>
      <w:r>
        <w:t xml:space="preserve">Binary metal systems for the specified graha pairs</w:t>
      </w:r>
    </w:p>
    <w:p>
      <w:pPr>
        <w:pStyle w:val="FirstParagraph"/>
      </w:pPr>
      <w:r>
        <w:t xml:space="preserve">This section focuses on</w:t>
      </w:r>
      <w:r>
        <w:t xml:space="preserve"> </w:t>
      </w:r>
      <w:r>
        <w:rPr>
          <w:b/>
          <w:bCs/>
        </w:rPr>
        <w:t xml:space="preserve">documented crystallographic, thermodynamic, and (where applicable) electromagnetic/electrochemical</w:t>
      </w:r>
      <w:r>
        <w:t xml:space="preserve"> </w:t>
      </w:r>
      <w:r>
        <w:t xml:space="preserve">behavior in the metal pairs you listed. The goal is not to force a match, but to see where the analogy is strong, weak, or contradictory.</w:t>
      </w:r>
    </w:p>
    <w:bookmarkStart w:id="40" w:name="summary-comparison-table"/>
    <w:p>
      <w:pPr>
        <w:pStyle w:val="Heading3"/>
      </w:pPr>
      <w:r>
        <w:t xml:space="preserve">Summary comparison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Graha pair (BPHS)</w:t>
            </w:r>
          </w:p>
        </w:tc>
        <w:tc>
          <w:tcPr/>
          <w:p>
            <w:pPr>
              <w:pStyle w:val="Compact"/>
            </w:pPr>
            <w:r>
              <w:t xml:space="preserve">Metal system</w:t>
            </w:r>
          </w:p>
        </w:tc>
        <w:tc>
          <w:tcPr/>
          <w:p>
            <w:pPr>
              <w:pStyle w:val="Compact"/>
            </w:pPr>
            <w:r>
              <w:t xml:space="preserve">High-level materials-science behavior</w:t>
            </w:r>
          </w:p>
        </w:tc>
        <w:tc>
          <w:tcPr/>
          <w:p>
            <w:pPr>
              <w:pStyle w:val="Compact"/>
            </w:pPr>
            <w:r>
              <w:t xml:space="preserve">Does the “compatibility” analogy fit BPHS?</w:t>
            </w:r>
          </w:p>
        </w:tc>
      </w:tr>
      <w:tr>
        <w:tc>
          <w:tcPr/>
          <w:p>
            <w:pPr>
              <w:pStyle w:val="Compact"/>
            </w:pPr>
            <w:r>
              <w:t xml:space="preserve">Sun–Moon (mutual friends)</w:t>
            </w:r>
            <w:r>
              <w:t xml:space="preserve"> </w:t>
            </w:r>
            <w:hyperlink r:id="rId24">
              <w:r>
                <w:rPr>
                  <w:rStyle w:val="Hyperlink"/>
                </w:rPr>
                <w:t xml:space="preserve">[4]</w:t>
              </w:r>
            </w:hyperlink>
          </w:p>
        </w:tc>
        <w:tc>
          <w:tcPr/>
          <w:p>
            <w:pPr>
              <w:pStyle w:val="Compact"/>
            </w:pPr>
            <w:r>
              <w:t xml:space="preserve">Au–Ag (electrum)</w:t>
            </w:r>
          </w:p>
        </w:tc>
        <w:tc>
          <w:tcPr/>
          <w:p>
            <w:pPr>
              <w:pStyle w:val="Compact"/>
            </w:pPr>
            <w:r>
              <w:rPr>
                <w:b/>
                <w:bCs/>
              </w:rPr>
              <w:t xml:space="preserve">Totally miscible</w:t>
            </w:r>
            <w:r>
              <w:t xml:space="preserve"> </w:t>
            </w:r>
            <w:r>
              <w:t xml:space="preserve">in solid solution at bulk scale; classic complete-solution noble alloy.</w:t>
            </w:r>
            <w:r>
              <w:t xml:space="preserve"> </w:t>
            </w:r>
            <w:hyperlink r:id="rId35">
              <w:r>
                <w:rPr>
                  <w:rStyle w:val="Hyperlink"/>
                </w:rPr>
                <w:t xml:space="preserve">[10]</w:t>
              </w:r>
            </w:hyperlink>
          </w:p>
        </w:tc>
        <w:tc>
          <w:tcPr/>
          <w:p>
            <w:pPr>
              <w:pStyle w:val="Compact"/>
            </w:pPr>
            <w:r>
              <w:t xml:space="preserve">Often</w:t>
            </w:r>
            <w:r>
              <w:t xml:space="preserve"> </w:t>
            </w:r>
            <w:r>
              <w:rPr>
                <w:b/>
                <w:bCs/>
              </w:rPr>
              <w:t xml:space="preserve">yes</w:t>
            </w:r>
            <w:r>
              <w:t xml:space="preserve"> </w:t>
            </w:r>
            <w:r>
              <w:t xml:space="preserve">(strong “mixing” compatibility).</w:t>
            </w:r>
          </w:p>
        </w:tc>
      </w:tr>
      <w:tr>
        <w:tc>
          <w:tcPr/>
          <w:p>
            <w:pPr>
              <w:pStyle w:val="Compact"/>
            </w:pPr>
            <w:r>
              <w:t xml:space="preserve">Sun–Saturn (mutual enemies)</w:t>
            </w:r>
            <w:r>
              <w:t xml:space="preserve"> </w:t>
            </w:r>
            <w:hyperlink r:id="rId24">
              <w:r>
                <w:rPr>
                  <w:rStyle w:val="Hyperlink"/>
                </w:rPr>
                <w:t xml:space="preserve">[4]</w:t>
              </w:r>
            </w:hyperlink>
          </w:p>
        </w:tc>
        <w:tc>
          <w:tcPr/>
          <w:p>
            <w:pPr>
              <w:pStyle w:val="Compact"/>
            </w:pPr>
            <w:r>
              <w:t xml:space="preserve">Au–Fe</w:t>
            </w:r>
          </w:p>
        </w:tc>
        <w:tc>
          <w:tcPr/>
          <w:p>
            <w:pPr>
              <w:pStyle w:val="Compact"/>
            </w:pPr>
            <w:r>
              <w:rPr>
                <w:b/>
                <w:bCs/>
              </w:rPr>
              <w:t xml:space="preserve">Solid-state miscibility gap</w:t>
            </w:r>
            <w:r>
              <w:t xml:space="preserve"> </w:t>
            </w:r>
            <w:r>
              <w:t xml:space="preserve">and phase separation tendencies; positive deviation from ideality; transformations and decomposition behavior well documented.</w:t>
            </w:r>
            <w:r>
              <w:t xml:space="preserve"> </w:t>
            </w:r>
            <w:hyperlink r:id="rId36">
              <w:r>
                <w:rPr>
                  <w:rStyle w:val="Hyperlink"/>
                </w:rPr>
                <w:t xml:space="preserve">[11]</w:t>
              </w:r>
            </w:hyperlink>
          </w:p>
        </w:tc>
        <w:tc>
          <w:tcPr/>
          <w:p>
            <w:pPr>
              <w:pStyle w:val="Compact"/>
            </w:pPr>
            <w:r>
              <w:t xml:space="preserve">Often</w:t>
            </w:r>
            <w:r>
              <w:t xml:space="preserve"> </w:t>
            </w:r>
            <w:r>
              <w:rPr>
                <w:b/>
                <w:bCs/>
              </w:rPr>
              <w:t xml:space="preserve">yes</w:t>
            </w:r>
            <w:r>
              <w:t xml:space="preserve"> </w:t>
            </w:r>
            <w:r>
              <w:t xml:space="preserve">(tendency to “separate” suggests incompatibility).</w:t>
            </w:r>
          </w:p>
        </w:tc>
      </w:tr>
      <w:tr>
        <w:tc>
          <w:tcPr/>
          <w:p>
            <w:pPr>
              <w:pStyle w:val="Compact"/>
            </w:pPr>
            <w:r>
              <w:t xml:space="preserve">Sun–Venus (mutual enemies in BPHS)</w:t>
            </w:r>
            <w:r>
              <w:t xml:space="preserve"> </w:t>
            </w:r>
            <w:hyperlink r:id="rId24">
              <w:r>
                <w:rPr>
                  <w:rStyle w:val="Hyperlink"/>
                </w:rPr>
                <w:t xml:space="preserve">[4]</w:t>
              </w:r>
            </w:hyperlink>
          </w:p>
        </w:tc>
        <w:tc>
          <w:tcPr/>
          <w:p>
            <w:pPr>
              <w:pStyle w:val="Compact"/>
            </w:pPr>
            <w:r>
              <w:t xml:space="preserve">Au–Cu (rose-gold family)</w:t>
            </w:r>
          </w:p>
        </w:tc>
        <w:tc>
          <w:tcPr/>
          <w:p>
            <w:pPr>
              <w:pStyle w:val="Compact"/>
            </w:pPr>
            <w:r>
              <w:t xml:space="preserve">Strong</w:t>
            </w:r>
            <w:r>
              <w:t xml:space="preserve"> </w:t>
            </w:r>
            <w:r>
              <w:rPr>
                <w:b/>
                <w:bCs/>
              </w:rPr>
              <w:t xml:space="preserve">ordering</w:t>
            </w:r>
            <w:r>
              <w:t xml:space="preserve"> </w:t>
            </w:r>
            <w:r>
              <w:t xml:space="preserve">and order–disorder transitions; stable intermetallic/ordered phases near special ratios (AuCu, AuCu₃), property changes at transitions.</w:t>
            </w:r>
            <w:r>
              <w:t xml:space="preserve"> </w:t>
            </w:r>
            <w:hyperlink r:id="rId37">
              <w:r>
                <w:rPr>
                  <w:rStyle w:val="Hyperlink"/>
                </w:rPr>
                <w:t xml:space="preserve">[12]</w:t>
              </w:r>
            </w:hyperlink>
          </w:p>
        </w:tc>
        <w:tc>
          <w:tcPr/>
          <w:p>
            <w:pPr>
              <w:pStyle w:val="Compact"/>
            </w:pPr>
            <w:r>
              <w:t xml:space="preserve">Mixed: ordering can imply strong bonding (could be read as “compatibility”), but also introduces complexity.</w:t>
            </w:r>
          </w:p>
        </w:tc>
      </w:tr>
      <w:tr>
        <w:tc>
          <w:tcPr/>
          <w:p>
            <w:pPr>
              <w:pStyle w:val="Compact"/>
            </w:pPr>
            <w:r>
              <w:t xml:space="preserve">Moon–Mercury (asymmetric)</w:t>
            </w:r>
            <w:r>
              <w:t xml:space="preserve"> </w:t>
            </w:r>
            <w:hyperlink r:id="rId24">
              <w:r>
                <w:rPr>
                  <w:rStyle w:val="Hyperlink"/>
                </w:rPr>
                <w:t xml:space="preserve">[4]</w:t>
              </w:r>
            </w:hyperlink>
          </w:p>
        </w:tc>
        <w:tc>
          <w:tcPr/>
          <w:p>
            <w:pPr>
              <w:pStyle w:val="Compact"/>
            </w:pPr>
            <w:r>
              <w:t xml:space="preserve">Ag–Hg and/or Ag–Zn</w:t>
            </w:r>
          </w:p>
        </w:tc>
        <w:tc>
          <w:tcPr/>
          <w:p>
            <w:pPr>
              <w:pStyle w:val="Compact"/>
            </w:pPr>
            <w:r>
              <w:t xml:space="preserve">Ag–Hg forms amalgams and intermetallics (Ag₂Hg₃ etc.); Ag–Zn has multiple intermetallic phases and strongly asymmetric solid solubility (Zn in Ag vs Ag in Zn).</w:t>
            </w:r>
            <w:r>
              <w:t xml:space="preserve"> </w:t>
            </w:r>
            <w:hyperlink r:id="rId38">
              <w:r>
                <w:rPr>
                  <w:rStyle w:val="Hyperlink"/>
                </w:rPr>
                <w:t xml:space="preserve">[13]</w:t>
              </w:r>
            </w:hyperlink>
          </w:p>
        </w:tc>
        <w:tc>
          <w:tcPr/>
          <w:p>
            <w:pPr>
              <w:pStyle w:val="Compact"/>
            </w:pPr>
            <w:r>
              <w:t xml:space="preserve">Directional/complex behavior exists (possible “asymmetry analog”), but not cleanly “friendship.”</w:t>
            </w:r>
          </w:p>
        </w:tc>
      </w:tr>
      <w:tr>
        <w:tc>
          <w:tcPr/>
          <w:p>
            <w:pPr>
              <w:pStyle w:val="Compact"/>
            </w:pPr>
            <w:r>
              <w:t xml:space="preserve">Jupiter–Mercury (asymmetric)</w:t>
            </w:r>
            <w:r>
              <w:t xml:space="preserve"> </w:t>
            </w:r>
            <w:hyperlink r:id="rId24">
              <w:r>
                <w:rPr>
                  <w:rStyle w:val="Hyperlink"/>
                </w:rPr>
                <w:t xml:space="preserve">[4]</w:t>
              </w:r>
            </w:hyperlink>
          </w:p>
        </w:tc>
        <w:tc>
          <w:tcPr/>
          <w:p>
            <w:pPr>
              <w:pStyle w:val="Compact"/>
            </w:pPr>
            <w:r>
              <w:t xml:space="preserve">Sn–Hg and/or Sn–Zn</w:t>
            </w:r>
          </w:p>
        </w:tc>
        <w:tc>
          <w:tcPr/>
          <w:p>
            <w:pPr>
              <w:pStyle w:val="Compact"/>
            </w:pPr>
            <w:r>
              <w:t xml:space="preserve">Sn–Hg phase behavior documented; Sn–Hg intermetallic (Sn₈Hg, “γ₂”) is corrosion‑susceptible in dental amalgam context; Sn–Zn eutectic is technologically useful (Pb‑free solder) but is a two‑phase eutectic system rather than complete solid solution.</w:t>
            </w:r>
            <w:r>
              <w:t xml:space="preserve"> </w:t>
            </w:r>
            <w:hyperlink r:id="rId39">
              <w:r>
                <w:rPr>
                  <w:rStyle w:val="Hyperlink"/>
                </w:rPr>
                <w:t xml:space="preserve">[14]</w:t>
              </w:r>
            </w:hyperlink>
          </w:p>
        </w:tc>
        <w:tc>
          <w:tcPr/>
          <w:p>
            <w:pPr>
              <w:pStyle w:val="Compact"/>
            </w:pPr>
            <w:r>
              <w:t xml:space="preserve">Mixed: there are “problematic” phases (Sn–Hg γ₂), but Sn–Zn is practically useful.</w:t>
            </w:r>
          </w:p>
        </w:tc>
      </w:tr>
    </w:tbl>
    <w:bookmarkEnd w:id="40"/>
    <w:bookmarkStart w:id="41" w:name="sunmoon-friendship-and-auag-electrum"/>
    <w:p>
      <w:pPr>
        <w:pStyle w:val="Heading3"/>
      </w:pPr>
      <w:r>
        <w:t xml:space="preserve">Sun–Moon friendship and Au–Ag electrum</w:t>
      </w:r>
    </w:p>
    <w:p>
      <w:pPr>
        <w:pStyle w:val="FirstParagraph"/>
      </w:pPr>
      <w:r>
        <w:t xml:space="preserve">In the BPHS table, Sun and Moon are mutual friends.</w:t>
      </w:r>
      <w:r>
        <w:t xml:space="preserve"> </w:t>
      </w:r>
      <w:hyperlink r:id="rId24">
        <w:r>
          <w:rPr>
            <w:rStyle w:val="Hyperlink"/>
          </w:rPr>
          <w:t xml:space="preserve">[4]</w:t>
        </w:r>
      </w:hyperlink>
      <w:r>
        <w:br/>
      </w:r>
      <w:r>
        <w:t xml:space="preserve">Material analog:</w:t>
      </w:r>
      <w:r>
        <w:t xml:space="preserve"> </w:t>
      </w:r>
      <w:r>
        <w:rPr>
          <w:b/>
          <w:bCs/>
        </w:rPr>
        <w:t xml:space="preserve">Au–Ag (electrum)</w:t>
      </w:r>
      <w:r>
        <w:t xml:space="preserve"> </w:t>
      </w:r>
      <w:r>
        <w:t xml:space="preserve">is one of the most archetypal “compatible” binary noble metal systems. A major review notes that at the bulk scale Au–Ag is</w:t>
      </w:r>
      <w:r>
        <w:t xml:space="preserve"> </w:t>
      </w:r>
      <w:r>
        <w:rPr>
          <w:b/>
          <w:bCs/>
        </w:rPr>
        <w:t xml:space="preserve">totally miscible in the solid phase</w:t>
      </w:r>
      <w:r>
        <w:t xml:space="preserve">, consistent with Hume–Rothery criteria (similar atomic radius, crystal structure, valence, electronegativity).</w:t>
      </w:r>
      <w:r>
        <w:t xml:space="preserve"> </w:t>
      </w:r>
      <w:hyperlink r:id="rId35">
        <w:r>
          <w:rPr>
            <w:rStyle w:val="Hyperlink"/>
          </w:rPr>
          <w:t xml:space="preserve">[15]</w:t>
        </w:r>
      </w:hyperlink>
    </w:p>
    <w:p>
      <w:pPr>
        <w:pStyle w:val="BodyText"/>
      </w:pPr>
      <w:r>
        <w:t xml:space="preserve">From an alloy-theory standpoint, the Ag–Au system is classically treated as a</w:t>
      </w:r>
      <w:r>
        <w:t xml:space="preserve"> </w:t>
      </w:r>
      <w:r>
        <w:rPr>
          <w:b/>
          <w:bCs/>
        </w:rPr>
        <w:t xml:space="preserve">complete solid solution</w:t>
      </w:r>
      <w:r>
        <w:t xml:space="preserve"> </w:t>
      </w:r>
      <w:r>
        <w:t xml:space="preserve">noble alloy system; evaluated phase-diagram work on Ag–Au appears in the alloy phase diagram literature (e.g., Okamoto/Massalski system evaluations).</w:t>
      </w:r>
      <w:r>
        <w:t xml:space="preserve"> </w:t>
      </w:r>
      <w:hyperlink r:id="rId21">
        <w:r>
          <w:rPr>
            <w:rStyle w:val="Hyperlink"/>
          </w:rPr>
          <w:t xml:space="preserve">[16]</w:t>
        </w:r>
      </w:hyperlink>
    </w:p>
    <w:p>
      <w:pPr>
        <w:pStyle w:val="BodyText"/>
      </w:pPr>
      <w:r>
        <w:t xml:space="preserve">Electromagnetic/optical angle (mostly relevant for nano-electrum rather than bulk jewelry): nanoscale Au–Ag alloys allow strong tuning of optical response (local surface plasmon resonance) as composition and ordering vary—suggesting “nonlinear” property control with ratio and microstructure (though this is nanotechnology-specific, not classical metallurgy).</w:t>
      </w:r>
      <w:r>
        <w:t xml:space="preserve"> </w:t>
      </w:r>
      <w:hyperlink r:id="rId35">
        <w:r>
          <w:rPr>
            <w:rStyle w:val="Hyperlink"/>
          </w:rPr>
          <w:t xml:space="preserve">[17]</w:t>
        </w:r>
      </w:hyperlink>
    </w:p>
    <w:p>
      <w:pPr>
        <w:pStyle w:val="BodyText"/>
      </w:pPr>
      <w:r>
        <w:rPr>
          <w:b/>
          <w:bCs/>
        </w:rPr>
        <w:t xml:space="preserve">Interpretation:</w:t>
      </w:r>
      <w:r>
        <w:t xml:space="preserve"> </w:t>
      </w:r>
      <w:r>
        <w:t xml:space="preserve">If one accepts “friendship” ≈ “easy homogeneous mixing + stable coexistence in one lattice,” Au–Ag is one of the cleanest matches in your list.</w:t>
      </w:r>
    </w:p>
    <w:bookmarkEnd w:id="41"/>
    <w:bookmarkStart w:id="43" w:name="sunsaturn-enmity-and-aufe"/>
    <w:p>
      <w:pPr>
        <w:pStyle w:val="Heading3"/>
      </w:pPr>
      <w:r>
        <w:t xml:space="preserve">Sun–Saturn enmity and Au–Fe</w:t>
      </w:r>
    </w:p>
    <w:p>
      <w:pPr>
        <w:pStyle w:val="FirstParagraph"/>
      </w:pPr>
      <w:r>
        <w:t xml:space="preserve">In BPHS, Sun and Saturn are mutual enemies.</w:t>
      </w:r>
      <w:r>
        <w:t xml:space="preserve"> </w:t>
      </w:r>
      <w:hyperlink r:id="rId24">
        <w:r>
          <w:rPr>
            <w:rStyle w:val="Hyperlink"/>
          </w:rPr>
          <w:t xml:space="preserve">[4]</w:t>
        </w:r>
      </w:hyperlink>
      <w:r>
        <w:br/>
      </w:r>
      <w:r>
        <w:t xml:space="preserve">Material analog: Au–Fe is widely documented as a system with</w:t>
      </w:r>
      <w:r>
        <w:t xml:space="preserve"> </w:t>
      </w:r>
      <w:r>
        <w:rPr>
          <w:b/>
          <w:bCs/>
        </w:rPr>
        <w:t xml:space="preserve">phase separation tendencies</w:t>
      </w:r>
      <w:r>
        <w:t xml:space="preserve"> </w:t>
      </w:r>
      <w:r>
        <w:t xml:space="preserve">and a</w:t>
      </w:r>
      <w:r>
        <w:t xml:space="preserve"> </w:t>
      </w:r>
      <w:r>
        <w:rPr>
          <w:b/>
          <w:bCs/>
        </w:rPr>
        <w:t xml:space="preserve">miscibility gap</w:t>
      </w:r>
      <w:r>
        <w:t xml:space="preserve"> </w:t>
      </w:r>
      <w:r>
        <w:t xml:space="preserve">in relevant regions.</w:t>
      </w:r>
    </w:p>
    <w:p>
      <w:pPr>
        <w:pStyle w:val="BodyText"/>
      </w:pPr>
      <w:r>
        <w:t xml:space="preserve">A key experimental thermodynamics paper (“Thermodynamic Properties of Solid Fe–Au Alloys”) reports (i)</w:t>
      </w:r>
      <w:r>
        <w:t xml:space="preserve"> </w:t>
      </w:r>
      <w:r>
        <w:rPr>
          <w:b/>
          <w:bCs/>
        </w:rPr>
        <w:t xml:space="preserve">positive deviation from Raoult’s law</w:t>
      </w:r>
      <w:r>
        <w:t xml:space="preserve"> </w:t>
      </w:r>
      <w:r>
        <w:t xml:space="preserve">and (ii) a</w:t>
      </w:r>
      <w:r>
        <w:t xml:space="preserve"> </w:t>
      </w:r>
      <w:r>
        <w:rPr>
          <w:b/>
          <w:bCs/>
        </w:rPr>
        <w:t xml:space="preserve">miscibility gap in the solid</w:t>
      </w:r>
      <w:r>
        <w:t xml:space="preserve">, interpreting these behaviors as driven by lattice distortion from atomic-size disparity (and noting that the miscibility gap indicates strong non-ideality).</w:t>
      </w:r>
      <w:r>
        <w:t xml:space="preserve"> </w:t>
      </w:r>
      <w:hyperlink r:id="rId36">
        <w:r>
          <w:rPr>
            <w:rStyle w:val="Hyperlink"/>
          </w:rPr>
          <w:t xml:space="preserve">[18]</w:t>
        </w:r>
      </w:hyperlink>
      <w:r>
        <w:br/>
      </w:r>
      <w:r>
        <w:t xml:space="preserve">An Acta Materialia study of Au–Fe solidification and transformations explicitly discusses the decomposition behavior associated with the miscibility gap and the precipitation of phases in Au–Fe.</w:t>
      </w:r>
      <w:r>
        <w:t xml:space="preserve"> </w:t>
      </w:r>
      <w:hyperlink r:id="rId42">
        <w:r>
          <w:rPr>
            <w:rStyle w:val="Hyperlink"/>
          </w:rPr>
          <w:t xml:space="preserve">[19]</w:t>
        </w:r>
      </w:hyperlink>
    </w:p>
    <w:p>
      <w:pPr>
        <w:pStyle w:val="BodyText"/>
      </w:pPr>
      <w:r>
        <w:rPr>
          <w:b/>
          <w:bCs/>
        </w:rPr>
        <w:t xml:space="preserve">Interpretation:</w:t>
      </w:r>
      <w:r>
        <w:t xml:space="preserve"> </w:t>
      </w:r>
      <w:r>
        <w:t xml:space="preserve">If “enmity” ≈ “strong tendency to segregate or de-mix rather than remain uniformly mixed,” then Au–Fe is a plausible material analog, and arguably the second-strongest match after Au–Ag.</w:t>
      </w:r>
    </w:p>
    <w:bookmarkEnd w:id="43"/>
    <w:bookmarkStart w:id="47" w:name="venussun-and-aucu-ordering"/>
    <w:p>
      <w:pPr>
        <w:pStyle w:val="Heading3"/>
      </w:pPr>
      <w:r>
        <w:t xml:space="preserve">Venus–Sun and Au–Cu ordering</w:t>
      </w:r>
    </w:p>
    <w:p>
      <w:pPr>
        <w:pStyle w:val="FirstParagraph"/>
      </w:pPr>
      <w:r>
        <w:t xml:space="preserve">BPHS lists Sun and Venus as mutual enemies.</w:t>
      </w:r>
      <w:r>
        <w:t xml:space="preserve"> </w:t>
      </w:r>
      <w:hyperlink r:id="rId24">
        <w:r>
          <w:rPr>
            <w:rStyle w:val="Hyperlink"/>
          </w:rPr>
          <w:t xml:space="preserve">[4]</w:t>
        </w:r>
      </w:hyperlink>
      <w:r>
        <w:br/>
      </w:r>
      <w:r>
        <w:t xml:space="preserve">Material analog: Au–Cu is not an “immiscible enemy” system; instead it is a</w:t>
      </w:r>
      <w:r>
        <w:t xml:space="preserve"> </w:t>
      </w:r>
      <w:r>
        <w:rPr>
          <w:b/>
          <w:bCs/>
        </w:rPr>
        <w:t xml:space="preserve">classic ordering system</w:t>
      </w:r>
      <w:r>
        <w:t xml:space="preserve">. The Au–Cu system has long been treated as one of the earliest and most heavily studied</w:t>
      </w:r>
      <w:r>
        <w:t xml:space="preserve"> </w:t>
      </w:r>
      <w:r>
        <w:rPr>
          <w:b/>
          <w:bCs/>
        </w:rPr>
        <w:t xml:space="preserve">order–disorder transformation</w:t>
      </w:r>
      <w:r>
        <w:t xml:space="preserve"> </w:t>
      </w:r>
      <w:r>
        <w:t xml:space="preserve">alloy systems, specifically around compositions corresponding to ordered phases (commonly discussed as AuCu and AuCu₃ / Cu₃Au).</w:t>
      </w:r>
      <w:r>
        <w:t xml:space="preserve"> </w:t>
      </w:r>
      <w:hyperlink r:id="rId37">
        <w:r>
          <w:rPr>
            <w:rStyle w:val="Hyperlink"/>
          </w:rPr>
          <w:t xml:space="preserve">[20]</w:t>
        </w:r>
      </w:hyperlink>
    </w:p>
    <w:p>
      <w:pPr>
        <w:pStyle w:val="BodyText"/>
      </w:pPr>
      <w:r>
        <w:t xml:space="preserve">A materials-transactions paper on AuCu phase transitions reports a sequence of structural changes, including an ordered low-temperature structure and transitions to other ordered/disordered states at specific temperatures (including a transition to a disordered fcc structure at higher temperature).</w:t>
      </w:r>
      <w:r>
        <w:t xml:space="preserve"> </w:t>
      </w:r>
      <w:hyperlink r:id="rId44">
        <w:r>
          <w:rPr>
            <w:rStyle w:val="Hyperlink"/>
          </w:rPr>
          <w:t xml:space="preserve">[21]</w:t>
        </w:r>
      </w:hyperlink>
    </w:p>
    <w:p>
      <w:pPr>
        <w:pStyle w:val="BodyText"/>
      </w:pPr>
      <w:r>
        <w:t xml:space="preserve">This is exactly the kind of “nonlinear behavior at specific ratios” you flagged: ordering phenomena are often strongest near</w:t>
      </w:r>
      <w:r>
        <w:t xml:space="preserve"> </w:t>
      </w:r>
      <w:r>
        <w:rPr>
          <w:b/>
          <w:bCs/>
        </w:rPr>
        <w:t xml:space="preserve">stoichiometric compositions</w:t>
      </w:r>
      <w:r>
        <w:t xml:space="preserve">, and those transitions can produce large changes in mechanical/electrical properties—hence why “order–disorder transitions produce significant effects on the properties of alloys” is a standard point in AuCu-focused literature.</w:t>
      </w:r>
      <w:r>
        <w:t xml:space="preserve"> </w:t>
      </w:r>
      <w:hyperlink r:id="rId45">
        <w:r>
          <w:rPr>
            <w:rStyle w:val="Hyperlink"/>
          </w:rPr>
          <w:t xml:space="preserve">[22]</w:t>
        </w:r>
      </w:hyperlink>
    </w:p>
    <w:p>
      <w:pPr>
        <w:pStyle w:val="BodyText"/>
      </w:pPr>
      <w:r>
        <w:t xml:space="preserve">Jewelry context (rose gold family): rose gold is commonly described as gold alloyed primarily with copper (sometimes with additional silver), where copper content shifts color and increases hardness relative to pure gold—though most publicly accessible sources here are in the jewelry/industry domain rather than phase-diagram handbooks.</w:t>
      </w:r>
      <w:r>
        <w:t xml:space="preserve"> </w:t>
      </w:r>
      <w:hyperlink r:id="rId46">
        <w:r>
          <w:rPr>
            <w:rStyle w:val="Hyperlink"/>
          </w:rPr>
          <w:t xml:space="preserve">[23]</w:t>
        </w:r>
      </w:hyperlink>
    </w:p>
    <w:p>
      <w:pPr>
        <w:pStyle w:val="BodyText"/>
      </w:pPr>
      <w:r>
        <w:rPr>
          <w:b/>
          <w:bCs/>
        </w:rPr>
        <w:t xml:space="preserve">Interpretation:</w:t>
      </w:r>
      <w:r>
        <w:t xml:space="preserve"> </w:t>
      </w:r>
      <w:r>
        <w:t xml:space="preserve">Au–Cu does not look like pure “repulsion.” If anything, it is a system where Au and Cu can form</w:t>
      </w:r>
      <w:r>
        <w:t xml:space="preserve"> </w:t>
      </w:r>
      <w:r>
        <w:rPr>
          <w:b/>
          <w:bCs/>
        </w:rPr>
        <w:t xml:space="preserve">energetically favored ordered arrangements</w:t>
      </w:r>
      <w:r>
        <w:t xml:space="preserve"> </w:t>
      </w:r>
      <w:r>
        <w:t xml:space="preserve">(a kind of “strong interaction”), but that interaction expresses as</w:t>
      </w:r>
      <w:r>
        <w:t xml:space="preserve"> </w:t>
      </w:r>
      <w:r>
        <w:rPr>
          <w:i/>
          <w:iCs/>
        </w:rPr>
        <w:t xml:space="preserve">structure</w:t>
      </w:r>
      <w:r>
        <w:t xml:space="preserve"> </w:t>
      </w:r>
      <w:r>
        <w:t xml:space="preserve">(ordering/phase transitions) rather than simple mixing or simple separation. That makes Venus–Sun a</w:t>
      </w:r>
      <w:r>
        <w:t xml:space="preserve"> </w:t>
      </w:r>
      <w:r>
        <w:rPr>
          <w:i/>
          <w:iCs/>
        </w:rPr>
        <w:t xml:space="preserve">complex</w:t>
      </w:r>
      <w:r>
        <w:t xml:space="preserve"> </w:t>
      </w:r>
      <w:r>
        <w:t xml:space="preserve">case: it could be read as “difficult relationship” (requires the right temperature/composition history to realize stable phases) rather than simply “cannot mix.”</w:t>
      </w:r>
    </w:p>
    <w:bookmarkEnd w:id="47"/>
    <w:bookmarkStart w:id="52" w:name="X0d8fc1ef8a3cd9d547c2f06925f1deb3eb55423"/>
    <w:p>
      <w:pPr>
        <w:pStyle w:val="Heading3"/>
      </w:pPr>
      <w:r>
        <w:t xml:space="preserve">Moon–Mercury asymmetry and amalgam/intermetallic directionality</w:t>
      </w:r>
    </w:p>
    <w:p>
      <w:pPr>
        <w:pStyle w:val="FirstParagraph"/>
      </w:pPr>
      <w:r>
        <w:t xml:space="preserve">BPHS makes Moon–Mercury asymmetric: Moon calls Mercury a friend, Mercury calls Moon an enemy.</w:t>
      </w:r>
      <w:r>
        <w:t xml:space="preserve"> </w:t>
      </w:r>
      <w:hyperlink r:id="rId24">
        <w:r>
          <w:rPr>
            <w:rStyle w:val="Hyperlink"/>
          </w:rPr>
          <w:t xml:space="preserve">[4]</w:t>
        </w:r>
      </w:hyperlink>
      <w:r>
        <w:br/>
      </w:r>
      <w:r>
        <w:t xml:space="preserve">Your material targets here can be read two ways, because Mercury is variously mapped to</w:t>
      </w:r>
      <w:r>
        <w:t xml:space="preserve"> </w:t>
      </w:r>
      <w:r>
        <w:rPr>
          <w:b/>
          <w:bCs/>
        </w:rPr>
        <w:t xml:space="preserve">Hg (mercury metal)</w:t>
      </w:r>
      <w:r>
        <w:t xml:space="preserve"> </w:t>
      </w:r>
      <w:r>
        <w:t xml:space="preserve">in the classical 7‑metal planetary tradition</w:t>
      </w:r>
      <w:r>
        <w:t xml:space="preserve"> </w:t>
      </w:r>
      <w:hyperlink r:id="rId28">
        <w:r>
          <w:rPr>
            <w:rStyle w:val="Hyperlink"/>
          </w:rPr>
          <w:t xml:space="preserve">[5]</w:t>
        </w:r>
      </w:hyperlink>
      <w:r>
        <w:t xml:space="preserve"> </w:t>
      </w:r>
      <w:r>
        <w:t xml:space="preserve">and also to</w:t>
      </w:r>
      <w:r>
        <w:t xml:space="preserve"> </w:t>
      </w:r>
      <w:r>
        <w:rPr>
          <w:b/>
          <w:bCs/>
        </w:rPr>
        <w:t xml:space="preserve">mixed metals/alloys</w:t>
      </w:r>
      <w:r>
        <w:t xml:space="preserve"> </w:t>
      </w:r>
      <w:r>
        <w:t xml:space="preserve">(e.g., brass/bronze traditions in some contexts). This matters because Ag–Hg and Ag–Zn behave differently.</w:t>
      </w:r>
    </w:p>
    <w:p>
      <w:pPr>
        <w:pStyle w:val="BodyText"/>
      </w:pPr>
      <w:r>
        <w:rPr>
          <w:b/>
          <w:bCs/>
        </w:rPr>
        <w:t xml:space="preserve">Ag–Hg (silver–mercury):</w:t>
      </w:r>
      <w:r>
        <w:t xml:space="preserve"> </w:t>
      </w:r>
      <w:r>
        <w:t xml:space="preserve">The Ag–Hg system is a well-known amalgam system. A critical review of Ag–Hg and Cu–Hg notes that Ag–Hg includes an fcc solution phase stable over a substantial composition range (reported up to 37.3 at.% Hg), plus intermetallic phases in the diagram.</w:t>
      </w:r>
      <w:r>
        <w:t xml:space="preserve"> </w:t>
      </w:r>
      <w:hyperlink r:id="rId38">
        <w:r>
          <w:rPr>
            <w:rStyle w:val="Hyperlink"/>
          </w:rPr>
          <w:t xml:space="preserve">[24]</w:t>
        </w:r>
      </w:hyperlink>
      <w:r>
        <w:br/>
      </w:r>
      <w:r>
        <w:t xml:space="preserve">In practical amalgams (e.g., dental), crystallographic work identifies specific compounds such as</w:t>
      </w:r>
      <w:r>
        <w:t xml:space="preserve"> </w:t>
      </w:r>
      <w:r>
        <w:rPr>
          <w:b/>
          <w:bCs/>
        </w:rPr>
        <w:t xml:space="preserve">Ag₂Hg₃</w:t>
      </w:r>
      <w:r>
        <w:t xml:space="preserve"> </w:t>
      </w:r>
      <w:r>
        <w:t xml:space="preserve">among phases found in amalgam systems.</w:t>
      </w:r>
      <w:r>
        <w:t xml:space="preserve"> </w:t>
      </w:r>
      <w:hyperlink r:id="rId48">
        <w:r>
          <w:rPr>
            <w:rStyle w:val="Hyperlink"/>
          </w:rPr>
          <w:t xml:space="preserve">[25]</w:t>
        </w:r>
      </w:hyperlink>
    </w:p>
    <w:p>
      <w:pPr>
        <w:pStyle w:val="BodyText"/>
      </w:pPr>
      <w:r>
        <w:t xml:space="preserve">This already suggests an “asymmetry analog”: mercury is famously capable of</w:t>
      </w:r>
      <w:r>
        <w:t xml:space="preserve"> </w:t>
      </w:r>
      <w:r>
        <w:rPr>
          <w:b/>
          <w:bCs/>
        </w:rPr>
        <w:t xml:space="preserve">dissolving</w:t>
      </w:r>
      <w:r>
        <w:t xml:space="preserve"> </w:t>
      </w:r>
      <w:r>
        <w:t xml:space="preserve">(amalgamating) many metals to form new phases, which is direction-like in processing and setting reactions in amalgams. In dental-structure descriptions, mercury penetrates alloy particles and reaction products (intermetallic matrix phases) form.</w:t>
      </w:r>
      <w:r>
        <w:t xml:space="preserve"> </w:t>
      </w:r>
      <w:hyperlink r:id="rId49">
        <w:r>
          <w:rPr>
            <w:rStyle w:val="Hyperlink"/>
          </w:rPr>
          <w:t xml:space="preserve">[26]</w:t>
        </w:r>
      </w:hyperlink>
    </w:p>
    <w:p>
      <w:pPr>
        <w:pStyle w:val="BodyText"/>
      </w:pPr>
      <w:r>
        <w:rPr>
          <w:b/>
          <w:bCs/>
        </w:rPr>
        <w:t xml:space="preserve">Ag–Zn (silver–zinc):</w:t>
      </w:r>
      <w:r>
        <w:t xml:space="preserve"> </w:t>
      </w:r>
      <w:r>
        <w:t xml:space="preserve">The Ag–Zn evaluated system description notes fcc Ag and modified hexagonal Zn, with</w:t>
      </w:r>
      <w:r>
        <w:t xml:space="preserve"> </w:t>
      </w:r>
      <w:r>
        <w:rPr>
          <w:b/>
          <w:bCs/>
        </w:rPr>
        <w:t xml:space="preserve">complete solubility in the liquid</w:t>
      </w:r>
      <w:r>
        <w:t xml:space="preserve"> </w:t>
      </w:r>
      <w:r>
        <w:t xml:space="preserve">and multiple intermediate phases formed through peritectic transformations; solid solubility is</w:t>
      </w:r>
      <w:r>
        <w:t xml:space="preserve"> </w:t>
      </w:r>
      <w:r>
        <w:rPr>
          <w:b/>
          <w:bCs/>
        </w:rPr>
        <w:t xml:space="preserve">highly asymmetric</w:t>
      </w:r>
      <w:r>
        <w:t xml:space="preserve"> </w:t>
      </w:r>
      <w:r>
        <w:t xml:space="preserve">(“large” Zn solubility in fcc Ag, but only a few percent Ag in hex‑Zn).</w:t>
      </w:r>
      <w:r>
        <w:t xml:space="preserve"> </w:t>
      </w:r>
      <w:hyperlink r:id="rId50">
        <w:r>
          <w:rPr>
            <w:rStyle w:val="Hyperlink"/>
          </w:rPr>
          <w:t xml:space="preserve">[27]</w:t>
        </w:r>
      </w:hyperlink>
      <w:r>
        <w:br/>
      </w:r>
      <w:r>
        <w:t xml:space="preserve">Recent diffusion-couple interface work explicitly identifies intermetallic compounds at Ag/Zn interfaces (β‑AgZn, γ‑Ag₅Zn₈, ε‑AgZn₃), reinforcing that “specific ratios” generate distinct compounds and kinetics.</w:t>
      </w:r>
      <w:r>
        <w:t xml:space="preserve"> </w:t>
      </w:r>
      <w:hyperlink r:id="rId51">
        <w:r>
          <w:rPr>
            <w:rStyle w:val="Hyperlink"/>
          </w:rPr>
          <w:t xml:space="preserve">[28]</w:t>
        </w:r>
      </w:hyperlink>
    </w:p>
    <w:p>
      <w:pPr>
        <w:pStyle w:val="BodyText"/>
      </w:pPr>
      <w:r>
        <w:rPr>
          <w:b/>
          <w:bCs/>
        </w:rPr>
        <w:t xml:space="preserve">Interpretation:</w:t>
      </w:r>
      <w:r>
        <w:t xml:space="preserve"> </w:t>
      </w:r>
      <w:r>
        <w:t xml:space="preserve">Moon–Mercury in BPHS is not mutual; the material systems here also display</w:t>
      </w:r>
      <w:r>
        <w:t xml:space="preserve"> </w:t>
      </w:r>
      <w:r>
        <w:rPr>
          <w:b/>
          <w:bCs/>
        </w:rPr>
        <w:t xml:space="preserve">directionality and compound formation</w:t>
      </w:r>
      <w:r>
        <w:t xml:space="preserve"> </w:t>
      </w:r>
      <w:r>
        <w:t xml:space="preserve">rather than a simple “mix vs don’t mix” story. The analogy to BPHS asymmetry is not proof of anything, but this pair does provide multiple real material mechanisms that are inherently asymmetric (solubility asymmetry in Ag–Zn, and “Hg dissolves Ag” processing directionality in amalgamation).</w:t>
      </w:r>
      <w:r>
        <w:t xml:space="preserve"> </w:t>
      </w:r>
      <w:hyperlink r:id="rId50">
        <w:r>
          <w:rPr>
            <w:rStyle w:val="Hyperlink"/>
          </w:rPr>
          <w:t xml:space="preserve">[29]</w:t>
        </w:r>
      </w:hyperlink>
    </w:p>
    <w:bookmarkEnd w:id="52"/>
    <w:bookmarkStart w:id="56" w:name="jupitermercury-asymmetry-and-snhg-snzn"/>
    <w:p>
      <w:pPr>
        <w:pStyle w:val="Heading3"/>
      </w:pPr>
      <w:r>
        <w:t xml:space="preserve">Jupiter–Mercury asymmetry and Sn–Hg / Sn–Zn</w:t>
      </w:r>
    </w:p>
    <w:p>
      <w:pPr>
        <w:pStyle w:val="FirstParagraph"/>
      </w:pPr>
      <w:r>
        <w:t xml:space="preserve">BPHS makes Jupiter–Mercury asymmetric: Jupiter calls Mercury an enemy; Mercury calls Jupiter neutral/equal.</w:t>
      </w:r>
      <w:r>
        <w:t xml:space="preserve"> </w:t>
      </w:r>
      <w:hyperlink r:id="rId24">
        <w:r>
          <w:rPr>
            <w:rStyle w:val="Hyperlink"/>
          </w:rPr>
          <w:t xml:space="preserve">[4]</w:t>
        </w:r>
      </w:hyperlink>
    </w:p>
    <w:p>
      <w:pPr>
        <w:pStyle w:val="BodyText"/>
      </w:pPr>
      <w:r>
        <w:rPr>
          <w:b/>
          <w:bCs/>
        </w:rPr>
        <w:t xml:space="preserve">Sn–Hg (tin–mercury):</w:t>
      </w:r>
      <w:r>
        <w:t xml:space="preserve"> </w:t>
      </w:r>
      <w:r>
        <w:t xml:space="preserve">A Landolt–Börnstein critical-data chapter exists specifically for Hg–Sn, summarizing thermodynamic properties, mixing behavior, and providing a calculated phase diagram plus phase/structure tables—highlighting that this is a technically significant binary system with deep data.</w:t>
      </w:r>
      <w:r>
        <w:t xml:space="preserve"> </w:t>
      </w:r>
      <w:hyperlink r:id="rId39">
        <w:r>
          <w:rPr>
            <w:rStyle w:val="Hyperlink"/>
          </w:rPr>
          <w:t xml:space="preserve">[30]</w:t>
        </w:r>
      </w:hyperlink>
      <w:r>
        <w:br/>
      </w:r>
      <w:r>
        <w:t xml:space="preserve">In applied metallurgy/dentistry contexts, tin–mercury phases are central: descriptions of conventional amalgam setting reactions explicitly name a tin–mercury phase</w:t>
      </w:r>
      <w:r>
        <w:t xml:space="preserve"> </w:t>
      </w:r>
      <w:r>
        <w:rPr>
          <w:b/>
          <w:bCs/>
        </w:rPr>
        <w:t xml:space="preserve">Sn₈Hg</w:t>
      </w:r>
      <w:r>
        <w:t xml:space="preserve"> </w:t>
      </w:r>
      <w:r>
        <w:t xml:space="preserve">(the “γ₂” phase) as a reaction product alongside Ag–Hg phases.</w:t>
      </w:r>
      <w:r>
        <w:t xml:space="preserve"> </w:t>
      </w:r>
      <w:hyperlink r:id="rId49">
        <w:r>
          <w:rPr>
            <w:rStyle w:val="Hyperlink"/>
          </w:rPr>
          <w:t xml:space="preserve">[26]</w:t>
        </w:r>
      </w:hyperlink>
      <w:r>
        <w:br/>
      </w:r>
      <w:r>
        <w:t xml:space="preserve">Electrochemical study of γ₂ (Sn₈Hg) reports its behavior and corrosion relevance in aqueous buffer environments, underscoring that some Sn–Hg intermetallic constituents can be</w:t>
      </w:r>
      <w:r>
        <w:t xml:space="preserve"> </w:t>
      </w:r>
      <w:r>
        <w:rPr>
          <w:b/>
          <w:bCs/>
        </w:rPr>
        <w:t xml:space="preserve">corrosion-active/problematic</w:t>
      </w:r>
      <w:r>
        <w:t xml:space="preserve">.</w:t>
      </w:r>
      <w:r>
        <w:t xml:space="preserve"> </w:t>
      </w:r>
      <w:hyperlink r:id="rId53">
        <w:r>
          <w:rPr>
            <w:rStyle w:val="Hyperlink"/>
          </w:rPr>
          <w:t xml:space="preserve">[31]</w:t>
        </w:r>
      </w:hyperlink>
    </w:p>
    <w:p>
      <w:pPr>
        <w:pStyle w:val="BodyText"/>
      </w:pPr>
      <w:r>
        <w:rPr>
          <w:b/>
          <w:bCs/>
        </w:rPr>
        <w:t xml:space="preserve">Sn–Zn (tin–zinc):</w:t>
      </w:r>
      <w:r>
        <w:t xml:space="preserve"> </w:t>
      </w:r>
      <w:r>
        <w:t xml:space="preserve">Sn–Zn is widely discussed as a lead‑free solder candidate. A peer‑reviewed solder study notes Sn–Zn solders as promising partly due to melting temperature around</w:t>
      </w:r>
      <w:r>
        <w:t xml:space="preserve"> </w:t>
      </w:r>
      <w:r>
        <w:rPr>
          <w:b/>
          <w:bCs/>
        </w:rPr>
        <w:t xml:space="preserve">198 °C</w:t>
      </w:r>
      <w:r>
        <w:t xml:space="preserve">, near Sn–Pb eutectic.</w:t>
      </w:r>
      <w:r>
        <w:t xml:space="preserve"> </w:t>
      </w:r>
      <w:hyperlink r:id="rId54">
        <w:r>
          <w:rPr>
            <w:rStyle w:val="Hyperlink"/>
          </w:rPr>
          <w:t xml:space="preserve">[32]</w:t>
        </w:r>
      </w:hyperlink>
      <w:r>
        <w:br/>
      </w:r>
      <w:r>
        <w:t xml:space="preserve">An engineering report on the Sn–Zn eutectic emphasizes a melting point around</w:t>
      </w:r>
      <w:r>
        <w:t xml:space="preserve"> </w:t>
      </w:r>
      <w:r>
        <w:rPr>
          <w:b/>
          <w:bCs/>
        </w:rPr>
        <w:t xml:space="preserve">199 °C</w:t>
      </w:r>
      <w:r>
        <w:t xml:space="preserve"> </w:t>
      </w:r>
      <w:r>
        <w:t xml:space="preserve">and describes the eutectic as approximately</w:t>
      </w:r>
      <w:r>
        <w:t xml:space="preserve"> </w:t>
      </w:r>
      <w:r>
        <w:rPr>
          <w:b/>
          <w:bCs/>
        </w:rPr>
        <w:t xml:space="preserve">Sn ~9% Zn</w:t>
      </w:r>
      <w:r>
        <w:t xml:space="preserve"> </w:t>
      </w:r>
      <w:r>
        <w:t xml:space="preserve">(composition-wise), which is a practical-industrial framing of the eutectic point rather than a full thermodynamic evaluation.</w:t>
      </w:r>
      <w:r>
        <w:t xml:space="preserve"> </w:t>
      </w:r>
      <w:hyperlink r:id="rId55">
        <w:r>
          <w:rPr>
            <w:rStyle w:val="Hyperlink"/>
          </w:rPr>
          <w:t xml:space="preserve">[33]</w:t>
        </w:r>
      </w:hyperlink>
    </w:p>
    <w:p>
      <w:pPr>
        <w:pStyle w:val="BodyText"/>
      </w:pPr>
      <w:r>
        <w:rPr>
          <w:b/>
          <w:bCs/>
        </w:rPr>
        <w:t xml:space="preserve">Interpretation:</w:t>
      </w:r>
      <w:r>
        <w:t xml:space="preserve"> </w:t>
      </w:r>
      <w:r>
        <w:t xml:space="preserve">Jupiter–Mercury does not map cleanly to “won’t combine.” Sn–Zn is technologically useful (strong “functional compatibility”), whereas Sn–Hg includes phases that are known to be corrosion-susceptible in some contexts (a plausible “conflict” analog). The pair therefore yields a</w:t>
      </w:r>
      <w:r>
        <w:t xml:space="preserve"> </w:t>
      </w:r>
      <w:r>
        <w:rPr>
          <w:i/>
          <w:iCs/>
        </w:rPr>
        <w:t xml:space="preserve">mixed</w:t>
      </w:r>
      <w:r>
        <w:t xml:space="preserve"> </w:t>
      </w:r>
      <w:r>
        <w:t xml:space="preserve">result.</w:t>
      </w:r>
    </w:p>
    <w:bookmarkEnd w:id="56"/>
    <w:bookmarkEnd w:id="57"/>
    <w:bookmarkStart w:id="63" w:name="Xc6ea64ced9593c52e113a54dbb16e495e644ebf"/>
    <w:p>
      <w:pPr>
        <w:pStyle w:val="Heading2"/>
      </w:pPr>
      <w:r>
        <w:t xml:space="preserve">Rasashastra processing protocols and whether “enemy metals” are treated differently</w:t>
      </w:r>
    </w:p>
    <w:bookmarkStart w:id="60" w:name="X36b9fd929cc5692cbe48d55a808bb2a8af1380f"/>
    <w:p>
      <w:pPr>
        <w:pStyle w:val="Heading3"/>
      </w:pPr>
      <w:r>
        <w:t xml:space="preserve">What rasashastra texts emphasize about metals and purification</w:t>
      </w:r>
    </w:p>
    <w:p>
      <w:pPr>
        <w:pStyle w:val="FirstParagraph"/>
      </w:pPr>
      <w:r>
        <w:t xml:space="preserve">Rasaśāstra’s central practical concern is</w:t>
      </w:r>
      <w:r>
        <w:t xml:space="preserve"> </w:t>
      </w:r>
      <w:r>
        <w:rPr>
          <w:b/>
          <w:bCs/>
        </w:rPr>
        <w:t xml:space="preserve">transforming metals/minerals into therapeutically usable forms</w:t>
      </w:r>
      <w:r>
        <w:t xml:space="preserve"> </w:t>
      </w:r>
      <w:r>
        <w:t xml:space="preserve">through processing steps like</w:t>
      </w:r>
      <w:r>
        <w:t xml:space="preserve"> </w:t>
      </w:r>
      <w:r>
        <w:rPr>
          <w:b/>
          <w:bCs/>
        </w:rPr>
        <w:t xml:space="preserve">śodhana</w:t>
      </w:r>
      <w:r>
        <w:t xml:space="preserve"> </w:t>
      </w:r>
      <w:r>
        <w:t xml:space="preserve">(purification) and</w:t>
      </w:r>
      <w:r>
        <w:t xml:space="preserve"> </w:t>
      </w:r>
      <w:r>
        <w:rPr>
          <w:b/>
          <w:bCs/>
        </w:rPr>
        <w:t xml:space="preserve">māraṇa</w:t>
      </w:r>
      <w:r>
        <w:t xml:space="preserve"> </w:t>
      </w:r>
      <w:r>
        <w:t xml:space="preserve">(incineration/calcination), with śodhana treated as essential preparation for later steps.</w:t>
      </w:r>
      <w:r>
        <w:t xml:space="preserve"> </w:t>
      </w:r>
      <w:hyperlink r:id="rId58">
        <w:r>
          <w:rPr>
            <w:rStyle w:val="Hyperlink"/>
          </w:rPr>
          <w:t xml:space="preserve">[34]</w:t>
        </w:r>
      </w:hyperlink>
      <w:r>
        <w:br/>
      </w:r>
      <w:r>
        <w:t xml:space="preserve">Classical rasa literature also classifies metals into categories such as</w:t>
      </w:r>
      <w:r>
        <w:t xml:space="preserve"> </w:t>
      </w:r>
      <w:r>
        <w:rPr>
          <w:b/>
          <w:bCs/>
        </w:rPr>
        <w:t xml:space="preserve">śuddha loha</w:t>
      </w:r>
      <w:r>
        <w:t xml:space="preserve"> </w:t>
      </w:r>
      <w:r>
        <w:t xml:space="preserve">(pure metals like gold, silver, copper, iron) and</w:t>
      </w:r>
      <w:r>
        <w:t xml:space="preserve"> </w:t>
      </w:r>
      <w:r>
        <w:rPr>
          <w:b/>
          <w:bCs/>
        </w:rPr>
        <w:t xml:space="preserve">pūti loha</w:t>
      </w:r>
      <w:r>
        <w:t xml:space="preserve"> </w:t>
      </w:r>
      <w:r>
        <w:t xml:space="preserve">(e.g., lead, tin), with mixed/alloy categories as well—showing a framework based on metallurgical/medical taxonomy rather than graha friendship logic.</w:t>
      </w:r>
      <w:r>
        <w:t xml:space="preserve"> </w:t>
      </w:r>
      <w:hyperlink r:id="rId59">
        <w:r>
          <w:rPr>
            <w:rStyle w:val="Hyperlink"/>
          </w:rPr>
          <w:t xml:space="preserve">[35]</w:t>
        </w:r>
      </w:hyperlink>
    </w:p>
    <w:p>
      <w:pPr>
        <w:pStyle w:val="BodyText"/>
      </w:pPr>
      <w:r>
        <w:t xml:space="preserve">A practical review of śodhana methods describes multiple distinct operations (e.g., heating/quenching “nirvāpaṇa,” melting and quenching “dhālaṇa,” distillation/sublimation “ūrdhva/adhah-pātana,” trituration “bhāvanā”), and explicitly notes that</w:t>
      </w:r>
      <w:r>
        <w:t xml:space="preserve"> </w:t>
      </w:r>
      <w:r>
        <w:rPr>
          <w:b/>
          <w:bCs/>
        </w:rPr>
        <w:t xml:space="preserve">lead (nāga), tin (vaṅga), and zinc (yāśadā)</w:t>
      </w:r>
      <w:r>
        <w:t xml:space="preserve"> </w:t>
      </w:r>
      <w:r>
        <w:t xml:space="preserve">are purified using dhālaṇa—often into lime‑water—while mercury can be purified via distillation-type methods and other samskāras.</w:t>
      </w:r>
      <w:r>
        <w:t xml:space="preserve"> </w:t>
      </w:r>
      <w:hyperlink r:id="rId58">
        <w:r>
          <w:rPr>
            <w:rStyle w:val="Hyperlink"/>
          </w:rPr>
          <w:t xml:space="preserve">[34]</w:t>
        </w:r>
      </w:hyperlink>
    </w:p>
    <w:bookmarkEnd w:id="60"/>
    <w:bookmarkStart w:id="62" w:name="Xa6c5bd529fbd1fa4fb4c17a67cc6eff1731c98f"/>
    <w:p>
      <w:pPr>
        <w:pStyle w:val="Heading3"/>
      </w:pPr>
      <w:r>
        <w:t xml:space="preserve">Do rasaśāstra protocols encode graha friendship/enmity?</w:t>
      </w:r>
    </w:p>
    <w:p>
      <w:pPr>
        <w:pStyle w:val="FirstParagraph"/>
      </w:pPr>
      <w:r>
        <w:t xml:space="preserve">Based on the sources above, rasaśāstra’s differentiation of processing is best explained by</w:t>
      </w:r>
      <w:r>
        <w:t xml:space="preserve"> </w:t>
      </w:r>
      <w:r>
        <w:rPr>
          <w:b/>
          <w:bCs/>
        </w:rPr>
        <w:t xml:space="preserve">materials behavior and toxicity control</w:t>
      </w:r>
      <w:r>
        <w:t xml:space="preserve"> </w:t>
      </w:r>
      <w:r>
        <w:t xml:space="preserve">(melting points, brittleness, solubility of impurities into the chosen medium, volatilization behavior, etc.), not by the BPHS graha friendship scheme (which is rāśi/mūlatrikoṇa-derived).</w:t>
      </w:r>
      <w:r>
        <w:t xml:space="preserve"> </w:t>
      </w:r>
      <w:hyperlink r:id="rId58">
        <w:r>
          <w:rPr>
            <w:rStyle w:val="Hyperlink"/>
          </w:rPr>
          <w:t xml:space="preserve">[36]</w:t>
        </w:r>
      </w:hyperlink>
    </w:p>
    <w:p>
      <w:pPr>
        <w:pStyle w:val="BodyText"/>
      </w:pPr>
      <w:r>
        <w:t xml:space="preserve">Moreover, rasaśāstra formulation practice often involves</w:t>
      </w:r>
      <w:r>
        <w:t xml:space="preserve"> </w:t>
      </w:r>
      <w:r>
        <w:rPr>
          <w:b/>
          <w:bCs/>
        </w:rPr>
        <w:t xml:space="preserve">intentional combination</w:t>
      </w:r>
      <w:r>
        <w:t xml:space="preserve"> </w:t>
      </w:r>
      <w:r>
        <w:t xml:space="preserve">of substances that, under a graha-friendship lens, might be “friendly” or “unfriendly.” For example, tin (vaṅga) literature discusses formulations and preparations (and broader rasa traditions involve mercury-centric processes) without framing those compatibilities as “planetary enmity constraints” in the way BPHS defines natural relationships.</w:t>
      </w:r>
      <w:r>
        <w:t xml:space="preserve"> </w:t>
      </w:r>
      <w:hyperlink r:id="rId61">
        <w:r>
          <w:rPr>
            <w:rStyle w:val="Hyperlink"/>
          </w:rPr>
          <w:t xml:space="preserve">[37]</w:t>
        </w:r>
      </w:hyperlink>
    </w:p>
    <w:p>
      <w:pPr>
        <w:pStyle w:val="BodyText"/>
      </w:pPr>
      <w:r>
        <w:rPr>
          <w:b/>
          <w:bCs/>
        </w:rPr>
        <w:t xml:space="preserve">Bottom line:</w:t>
      </w:r>
      <w:r>
        <w:t xml:space="preserve"> </w:t>
      </w:r>
      <w:r>
        <w:t xml:space="preserve">With the evidence surfaced here, there is no strong documentary basis to say “enemy-graha metals require different śodhana because they are enemies.” The differentiation exists, but it appears to track</w:t>
      </w:r>
      <w:r>
        <w:t xml:space="preserve"> </w:t>
      </w:r>
      <w:r>
        <w:rPr>
          <w:b/>
          <w:bCs/>
        </w:rPr>
        <w:t xml:space="preserve">physical/chemical handling needs</w:t>
      </w:r>
      <w:r>
        <w:t xml:space="preserve"> </w:t>
      </w:r>
      <w:r>
        <w:t xml:space="preserve">(e.g., distillation-oriented operations for volatile substances; melt/quench operations for low-melting metals), not jyotiṣa friendship tables.</w:t>
      </w:r>
      <w:r>
        <w:t xml:space="preserve"> </w:t>
      </w:r>
      <w:hyperlink r:id="rId58">
        <w:r>
          <w:rPr>
            <w:rStyle w:val="Hyperlink"/>
          </w:rPr>
          <w:t xml:space="preserve">[36]</w:t>
        </w:r>
      </w:hyperlink>
    </w:p>
    <w:bookmarkEnd w:id="62"/>
    <w:bookmarkEnd w:id="63"/>
    <w:bookmarkStart w:id="68" w:name="X4bf46ea8b9c9af572ad645828323a6566277405"/>
    <w:p>
      <w:pPr>
        <w:pStyle w:val="Heading2"/>
      </w:pPr>
      <w:r>
        <w:t xml:space="preserve">Gems: what “interaction” is actually evidenced</w:t>
      </w:r>
    </w:p>
    <w:bookmarkStart w:id="65" w:name="Xea439cf5e2a67105c544f99ca04387c6e2ab26e"/>
    <w:p>
      <w:pPr>
        <w:pStyle w:val="Heading3"/>
      </w:pPr>
      <w:r>
        <w:t xml:space="preserve">Hardness-driven abrasion is the most concrete “interaction” mechanism</w:t>
      </w:r>
    </w:p>
    <w:p>
      <w:pPr>
        <w:pStyle w:val="FirstParagraph"/>
      </w:pPr>
      <w:r>
        <w:t xml:space="preserve">If you interpret “gem interactions” literally as what happens when gems are worn/stored together, the strongest documented behavior is</w:t>
      </w:r>
      <w:r>
        <w:t xml:space="preserve"> </w:t>
      </w:r>
      <w:r>
        <w:rPr>
          <w:b/>
          <w:bCs/>
        </w:rPr>
        <w:t xml:space="preserve">mechanical damage</w:t>
      </w:r>
      <w:r>
        <w:t xml:space="preserve"> </w:t>
      </w:r>
      <w:r>
        <w:t xml:space="preserve">due to hardness differences.</w:t>
      </w:r>
    </w:p>
    <w:p>
      <w:pPr>
        <w:pStyle w:val="BodyText"/>
      </w:pPr>
      <w:r>
        <w:t xml:space="preserve">GIA states ruby/corundum is</w:t>
      </w:r>
      <w:r>
        <w:t xml:space="preserve"> </w:t>
      </w:r>
      <w:r>
        <w:rPr>
          <w:b/>
          <w:bCs/>
        </w:rPr>
        <w:t xml:space="preserve">Mohs 9</w:t>
      </w:r>
      <w:r>
        <w:t xml:space="preserve">, emerald is</w:t>
      </w:r>
      <w:r>
        <w:t xml:space="preserve"> </w:t>
      </w:r>
      <w:r>
        <w:rPr>
          <w:b/>
          <w:bCs/>
        </w:rPr>
        <w:t xml:space="preserve">Mohs 7.5–8</w:t>
      </w:r>
      <w:r>
        <w:t xml:space="preserve">, pearl is extremely soft (GIA lists pearl at</w:t>
      </w:r>
      <w:r>
        <w:t xml:space="preserve"> </w:t>
      </w:r>
      <w:r>
        <w:rPr>
          <w:b/>
          <w:bCs/>
        </w:rPr>
        <w:t xml:space="preserve">Mohs ~2.5</w:t>
      </w:r>
      <w:r>
        <w:t xml:space="preserve">), and diamond is</w:t>
      </w:r>
      <w:r>
        <w:t xml:space="preserve"> </w:t>
      </w:r>
      <w:r>
        <w:rPr>
          <w:b/>
          <w:bCs/>
        </w:rPr>
        <w:t xml:space="preserve">Mohs 10</w:t>
      </w:r>
      <w:r>
        <w:t xml:space="preserve"> </w:t>
      </w:r>
      <w:r>
        <w:t xml:space="preserve">and can scratch precious metals in settings.</w:t>
      </w:r>
      <w:r>
        <w:t xml:space="preserve"> </w:t>
      </w:r>
      <w:hyperlink r:id="rId64">
        <w:r>
          <w:rPr>
            <w:rStyle w:val="Hyperlink"/>
          </w:rPr>
          <w:t xml:space="preserve">[38]</w:t>
        </w:r>
      </w:hyperlink>
      <w:r>
        <w:br/>
      </w:r>
      <w:r>
        <w:t xml:space="preserve">GIA also explicitly advises that pearls are easily scratched/abraded and therefore require special care.</w:t>
      </w:r>
      <w:r>
        <w:t xml:space="preserve"> </w:t>
      </w:r>
      <w:hyperlink r:id="rId32">
        <w:r>
          <w:rPr>
            <w:rStyle w:val="Hyperlink"/>
          </w:rPr>
          <w:t xml:space="preserve">[39]</w:t>
        </w:r>
      </w:hyperlink>
    </w:p>
    <w:p>
      <w:pPr>
        <w:pStyle w:val="BodyText"/>
      </w:pPr>
      <w:r>
        <w:t xml:space="preserve">This yields an important caution for the “friendship reflection” hypothesis: the archetypal Sun–Moon gemstone pair in modern jyotiṣa practice (ruby + pearl) would be mechanically</w:t>
      </w:r>
      <w:r>
        <w:t xml:space="preserve"> </w:t>
      </w:r>
      <w:r>
        <w:rPr>
          <w:b/>
          <w:bCs/>
        </w:rPr>
        <w:t xml:space="preserve">incompatible in contact</w:t>
      </w:r>
      <w:r>
        <w:t xml:space="preserve">, because corundum can easily scratch pearl. The physical world here does not automatically mirror BPHS friendship.</w:t>
      </w:r>
      <w:r>
        <w:t xml:space="preserve"> </w:t>
      </w:r>
      <w:hyperlink r:id="rId32">
        <w:r>
          <w:rPr>
            <w:rStyle w:val="Hyperlink"/>
          </w:rPr>
          <w:t xml:space="preserve">[40]</w:t>
        </w:r>
      </w:hyperlink>
    </w:p>
    <w:bookmarkEnd w:id="65"/>
    <w:bookmarkStart w:id="67" w:name="X5c14727c12b3e24264f4bde84b6f357b5dd35a3"/>
    <w:p>
      <w:pPr>
        <w:pStyle w:val="Heading3"/>
      </w:pPr>
      <w:r>
        <w:t xml:space="preserve">Chemical composition/stability does not imply notable pairwise effects in ordinary use</w:t>
      </w:r>
    </w:p>
    <w:p>
      <w:pPr>
        <w:pStyle w:val="FirstParagraph"/>
      </w:pPr>
      <w:r>
        <w:t xml:space="preserve">Pearl research summaries describe pearls as calcium carbonate (aragonite/calcite) with organic matrix; coral and pearl are biologically derived, while ruby/sapphire are crystalline Al₂O₃. These materials are chemically and structurally distinct, but in ordinary jewelry-wearing conditions they typically do not react with each other in the way metals can alloy.</w:t>
      </w:r>
      <w:r>
        <w:t xml:space="preserve"> </w:t>
      </w:r>
      <w:hyperlink r:id="rId66">
        <w:r>
          <w:rPr>
            <w:rStyle w:val="Hyperlink"/>
          </w:rPr>
          <w:t xml:space="preserve">[41]</w:t>
        </w:r>
      </w:hyperlink>
    </w:p>
    <w:p>
      <w:pPr>
        <w:pStyle w:val="BodyText"/>
      </w:pPr>
      <w:r>
        <w:t xml:space="preserve">Classical jyotiṣa works include gem chapters (e.g., Bṛhat Saṃhitā’s ratna-parīkṣā), but that establishes “gem science/gemology within jyotiṣa literature,” not an experimentally grounded literature of “gem pair interaction effects” analogous to alloy phase diagrams.</w:t>
      </w:r>
      <w:r>
        <w:t xml:space="preserve"> </w:t>
      </w:r>
      <w:hyperlink r:id="rId31">
        <w:r>
          <w:rPr>
            <w:rStyle w:val="Hyperlink"/>
          </w:rPr>
          <w:t xml:space="preserve">[7]</w:t>
        </w:r>
      </w:hyperlink>
    </w:p>
    <w:bookmarkEnd w:id="67"/>
    <w:bookmarkEnd w:id="68"/>
    <w:bookmarkStart w:id="74" w:name="X806b14483d26a4d14c502e0ba16d0f92cc7e506"/>
    <w:p>
      <w:pPr>
        <w:pStyle w:val="Heading2"/>
      </w:pPr>
      <w:r>
        <w:t xml:space="preserve">Synthesis: does materials science “reflect” BPHS graha friendship/enmity?</w:t>
      </w:r>
    </w:p>
    <w:bookmarkStart w:id="69" w:name="where-the-analogy-looks-genuinely-strong"/>
    <w:p>
      <w:pPr>
        <w:pStyle w:val="Heading3"/>
      </w:pPr>
      <w:r>
        <w:t xml:space="preserve">Where the analogy looks genuinely strong</w:t>
      </w:r>
    </w:p>
    <w:p>
      <w:pPr>
        <w:pStyle w:val="FirstParagraph"/>
      </w:pPr>
      <w:r>
        <w:t xml:space="preserve">Two of your metal pairs line up strikingly well with a “compatibility” heuristic:</w:t>
      </w:r>
    </w:p>
    <w:p>
      <w:pPr>
        <w:pStyle w:val="BodyText"/>
      </w:pPr>
      <w:r>
        <w:t xml:space="preserve">Au–Ag (Sun–Moon, friends) is</w:t>
      </w:r>
      <w:r>
        <w:t xml:space="preserve"> </w:t>
      </w:r>
      <w:r>
        <w:rPr>
          <w:b/>
          <w:bCs/>
        </w:rPr>
        <w:t xml:space="preserve">totally miscible</w:t>
      </w:r>
      <w:r>
        <w:t xml:space="preserve"> </w:t>
      </w:r>
      <w:r>
        <w:t xml:space="preserve">as a solid solution at bulk scale, a textbook “mix-friendly” binary noble alloy.</w:t>
      </w:r>
      <w:r>
        <w:t xml:space="preserve"> </w:t>
      </w:r>
      <w:hyperlink r:id="rId35">
        <w:r>
          <w:rPr>
            <w:rStyle w:val="Hyperlink"/>
          </w:rPr>
          <w:t xml:space="preserve">[42]</w:t>
        </w:r>
      </w:hyperlink>
      <w:r>
        <w:br/>
      </w:r>
      <w:r>
        <w:t xml:space="preserve">Au–Fe (Sun–Saturn, enemies) shows</w:t>
      </w:r>
      <w:r>
        <w:t xml:space="preserve"> </w:t>
      </w:r>
      <w:r>
        <w:rPr>
          <w:b/>
          <w:bCs/>
        </w:rPr>
        <w:t xml:space="preserve">strong non-ideality and miscibility-gap/phase-separation tendency</w:t>
      </w:r>
      <w:r>
        <w:t xml:space="preserve">, which can be read as “materials don’t want to stay together uniformly.”</w:t>
      </w:r>
      <w:r>
        <w:t xml:space="preserve"> </w:t>
      </w:r>
      <w:hyperlink r:id="rId36">
        <w:r>
          <w:rPr>
            <w:rStyle w:val="Hyperlink"/>
          </w:rPr>
          <w:t xml:space="preserve">[43]</w:t>
        </w:r>
      </w:hyperlink>
    </w:p>
    <w:p>
      <w:pPr>
        <w:pStyle w:val="BodyText"/>
      </w:pPr>
      <w:r>
        <w:t xml:space="preserve">If your criterion is specifically “friends form stable mixtures; enemies separate,” these are supportive.</w:t>
      </w:r>
    </w:p>
    <w:bookmarkEnd w:id="69"/>
    <w:bookmarkStart w:id="70" w:name="Xd6077c53de8bd9ebaf6332113521ac8279929af"/>
    <w:p>
      <w:pPr>
        <w:pStyle w:val="Heading3"/>
      </w:pPr>
      <w:r>
        <w:t xml:space="preserve">Where the analogy breaks or becomes ambiguous</w:t>
      </w:r>
    </w:p>
    <w:p>
      <w:pPr>
        <w:pStyle w:val="FirstParagraph"/>
      </w:pPr>
      <w:r>
        <w:t xml:space="preserve">Au–Cu (Sun–Venus) is not simply incompatible; it is an</w:t>
      </w:r>
      <w:r>
        <w:t xml:space="preserve"> </w:t>
      </w:r>
      <w:r>
        <w:rPr>
          <w:b/>
          <w:bCs/>
        </w:rPr>
        <w:t xml:space="preserve">ordering/phase-transition-rich</w:t>
      </w:r>
      <w:r>
        <w:t xml:space="preserve"> </w:t>
      </w:r>
      <w:r>
        <w:t xml:space="preserve">system where stable ordered phases appear and disappear with temperature and composition. That could be interpreted as “strong interaction” rather than “enmity,” depending on how you metaphorically map ordering (attraction) vs phase complexity (conflict).</w:t>
      </w:r>
      <w:r>
        <w:t xml:space="preserve"> </w:t>
      </w:r>
      <w:hyperlink r:id="rId37">
        <w:r>
          <w:rPr>
            <w:rStyle w:val="Hyperlink"/>
          </w:rPr>
          <w:t xml:space="preserve">[44]</w:t>
        </w:r>
      </w:hyperlink>
    </w:p>
    <w:p>
      <w:pPr>
        <w:pStyle w:val="BodyText"/>
      </w:pPr>
      <w:r>
        <w:t xml:space="preserve">Sn–Zn (Jupiter–Mercury by one mapping) is industrially valuable (Pb‑free solder), suggesting that “enmity” is not equivalent to “can’t make a useful alloy.”</w:t>
      </w:r>
      <w:r>
        <w:t xml:space="preserve"> </w:t>
      </w:r>
      <w:hyperlink r:id="rId54">
        <w:r>
          <w:rPr>
            <w:rStyle w:val="Hyperlink"/>
          </w:rPr>
          <w:t xml:space="preserve">[45]</w:t>
        </w:r>
      </w:hyperlink>
    </w:p>
    <w:p>
      <w:pPr>
        <w:pStyle w:val="BodyText"/>
      </w:pPr>
      <w:r>
        <w:t xml:space="preserve">Gem pairing “effects,” in the physically grounded sense, track</w:t>
      </w:r>
      <w:r>
        <w:t xml:space="preserve"> </w:t>
      </w:r>
      <w:r>
        <w:rPr>
          <w:b/>
          <w:bCs/>
        </w:rPr>
        <w:t xml:space="preserve">durability constraints</w:t>
      </w:r>
      <w:r>
        <w:t xml:space="preserve"> </w:t>
      </w:r>
      <w:r>
        <w:t xml:space="preserve">(scratching, chemical sensitivity), and those constraints do</w:t>
      </w:r>
      <w:r>
        <w:t xml:space="preserve"> </w:t>
      </w:r>
      <w:r>
        <w:rPr>
          <w:b/>
          <w:bCs/>
        </w:rPr>
        <w:t xml:space="preserve">not</w:t>
      </w:r>
      <w:r>
        <w:t xml:space="preserve"> </w:t>
      </w:r>
      <w:r>
        <w:t xml:space="preserve">obviously align with BPHS friendship tables (e.g., ruby vs pearl).</w:t>
      </w:r>
      <w:r>
        <w:t xml:space="preserve"> </w:t>
      </w:r>
      <w:hyperlink r:id="rId32">
        <w:r>
          <w:rPr>
            <w:rStyle w:val="Hyperlink"/>
          </w:rPr>
          <w:t xml:space="preserve">[40]</w:t>
        </w:r>
      </w:hyperlink>
    </w:p>
    <w:bookmarkEnd w:id="70"/>
    <w:bookmarkStart w:id="72" w:name="X0b57e2067bb1f736a267d3020784be070640014"/>
    <w:p>
      <w:pPr>
        <w:pStyle w:val="Heading3"/>
      </w:pPr>
      <w:r>
        <w:t xml:space="preserve">The one-way asymmetry question and a plausible material analog</w:t>
      </w:r>
    </w:p>
    <w:p>
      <w:pPr>
        <w:pStyle w:val="FirstParagraph"/>
      </w:pPr>
      <w:r>
        <w:t xml:space="preserve">BPHS explicitly contains asymmetric relationships (Moon→Mercury friend, Mercury→Moon enemy; Jupiter→Mercury enemy, Mercury→Jupiter neutral).</w:t>
      </w:r>
      <w:r>
        <w:t xml:space="preserve"> </w:t>
      </w:r>
      <w:hyperlink r:id="rId24">
        <w:r>
          <w:rPr>
            <w:rStyle w:val="Hyperlink"/>
          </w:rPr>
          <w:t xml:space="preserve">[4]</w:t>
        </w:r>
      </w:hyperlink>
      <w:r>
        <w:br/>
      </w:r>
      <w:r>
        <w:t xml:space="preserve">In materials science, there are real, well-documented</w:t>
      </w:r>
      <w:r>
        <w:t xml:space="preserve"> </w:t>
      </w:r>
      <w:r>
        <w:rPr>
          <w:b/>
          <w:bCs/>
        </w:rPr>
        <w:t xml:space="preserve">directional</w:t>
      </w:r>
      <w:r>
        <w:t xml:space="preserve"> </w:t>
      </w:r>
      <w:r>
        <w:t xml:space="preserve">analogs:</w:t>
      </w:r>
    </w:p>
    <w:p>
      <w:pPr>
        <w:pStyle w:val="Compact"/>
        <w:numPr>
          <w:ilvl w:val="0"/>
          <w:numId w:val="1002"/>
        </w:numPr>
      </w:pPr>
      <w:r>
        <w:rPr>
          <w:b/>
          <w:bCs/>
        </w:rPr>
        <w:t xml:space="preserve">Galvanic coupling</w:t>
      </w:r>
      <w:r>
        <w:t xml:space="preserve"> </w:t>
      </w:r>
      <w:r>
        <w:t xml:space="preserve">is directional: in an electrolyte, the less noble metal behaves anodically and preferentially corrodes when electrically connected to a more noble metal (a one-sided “harm”).</w:t>
      </w:r>
      <w:r>
        <w:t xml:space="preserve"> </w:t>
      </w:r>
      <w:hyperlink r:id="rId71">
        <w:r>
          <w:rPr>
            <w:rStyle w:val="Hyperlink"/>
          </w:rPr>
          <w:t xml:space="preserve">[46]</w:t>
        </w:r>
      </w:hyperlink>
    </w:p>
    <w:p>
      <w:pPr>
        <w:pStyle w:val="Compact"/>
        <w:numPr>
          <w:ilvl w:val="0"/>
          <w:numId w:val="1002"/>
        </w:numPr>
      </w:pPr>
      <w:r>
        <w:rPr>
          <w:b/>
          <w:bCs/>
        </w:rPr>
        <w:t xml:space="preserve">Solubility asymmetry</w:t>
      </w:r>
      <w:r>
        <w:t xml:space="preserve"> </w:t>
      </w:r>
      <w:r>
        <w:t xml:space="preserve">(e.g., Ag–Zn: much more Zn dissolves in fcc‑Ag than Ag dissolves in Zn).</w:t>
      </w:r>
      <w:r>
        <w:t xml:space="preserve"> </w:t>
      </w:r>
      <w:hyperlink r:id="rId50">
        <w:r>
          <w:rPr>
            <w:rStyle w:val="Hyperlink"/>
          </w:rPr>
          <w:t xml:space="preserve">[27]</w:t>
        </w:r>
      </w:hyperlink>
    </w:p>
    <w:p>
      <w:pPr>
        <w:pStyle w:val="Compact"/>
        <w:numPr>
          <w:ilvl w:val="0"/>
          <w:numId w:val="1002"/>
        </w:numPr>
      </w:pPr>
      <w:r>
        <w:rPr>
          <w:b/>
          <w:bCs/>
        </w:rPr>
        <w:t xml:space="preserve">Amalgamation directionality</w:t>
      </w:r>
      <w:r>
        <w:t xml:space="preserve"> </w:t>
      </w:r>
      <w:r>
        <w:t xml:space="preserve">in practical sense: mercury penetrates and reacts with alloy particles forming intermetallic matrices (as described for amalgams), which is operationally directional even when the final state is a “mixture.”</w:t>
      </w:r>
      <w:r>
        <w:t xml:space="preserve"> </w:t>
      </w:r>
      <w:hyperlink r:id="rId49">
        <w:r>
          <w:rPr>
            <w:rStyle w:val="Hyperlink"/>
          </w:rPr>
          <w:t xml:space="preserve">[47]</w:t>
        </w:r>
      </w:hyperlink>
    </w:p>
    <w:p>
      <w:pPr>
        <w:pStyle w:val="FirstParagraph"/>
      </w:pPr>
      <w:r>
        <w:t xml:space="preserve">These are not evidence of a jyotiṣa–materials causal link, but they do show that “one-way” relational metaphors have</w:t>
      </w:r>
      <w:r>
        <w:t xml:space="preserve"> </w:t>
      </w:r>
      <w:r>
        <w:rPr>
          <w:b/>
          <w:bCs/>
        </w:rPr>
        <w:t xml:space="preserve">nontrivial physical analogs</w:t>
      </w:r>
      <w:r>
        <w:t xml:space="preserve"> </w:t>
      </w:r>
      <w:r>
        <w:t xml:space="preserve">available in alloy science.</w:t>
      </w:r>
    </w:p>
    <w:bookmarkEnd w:id="72"/>
    <w:bookmarkStart w:id="73" w:name="overall-conclusion"/>
    <w:p>
      <w:pPr>
        <w:pStyle w:val="Heading3"/>
      </w:pPr>
      <w:r>
        <w:t xml:space="preserve">Overall conclusion</w:t>
      </w:r>
    </w:p>
    <w:p>
      <w:pPr>
        <w:pStyle w:val="FirstParagraph"/>
      </w:pPr>
      <w:r>
        <w:t xml:space="preserve">Using BPHS as the classical reference, the strongest evidence for “reflection” is</w:t>
      </w:r>
      <w:r>
        <w:t xml:space="preserve"> </w:t>
      </w:r>
      <w:r>
        <w:rPr>
          <w:b/>
          <w:bCs/>
        </w:rPr>
        <w:t xml:space="preserve">limited to analogical pattern-matching</w:t>
      </w:r>
      <w:r>
        <w:t xml:space="preserve"> </w:t>
      </w:r>
      <w:r>
        <w:t xml:space="preserve">in a few metal pairs (notably Au–Ag and Au–Fe).</w:t>
      </w:r>
      <w:r>
        <w:t xml:space="preserve"> </w:t>
      </w:r>
      <w:hyperlink r:id="rId24">
        <w:r>
          <w:rPr>
            <w:rStyle w:val="Hyperlink"/>
          </w:rPr>
          <w:t xml:space="preserve">[48]</w:t>
        </w:r>
      </w:hyperlink>
      <w:r>
        <w:br/>
      </w:r>
      <w:r>
        <w:t xml:space="preserve">Across the full set (especially when including gems), the alignment is</w:t>
      </w:r>
      <w:r>
        <w:t xml:space="preserve"> </w:t>
      </w:r>
      <w:r>
        <w:rPr>
          <w:b/>
          <w:bCs/>
        </w:rPr>
        <w:t xml:space="preserve">inconsistent</w:t>
      </w:r>
      <w:r>
        <w:t xml:space="preserve">: some “enemy” pairs form ordered compounds or useful eutectics, and some “friend” gem pairings are mechanically incompatible by hardness.</w:t>
      </w:r>
      <w:r>
        <w:t xml:space="preserve"> </w:t>
      </w:r>
      <w:hyperlink r:id="rId37">
        <w:r>
          <w:rPr>
            <w:rStyle w:val="Hyperlink"/>
          </w:rPr>
          <w:t xml:space="preserve">[49]</w:t>
        </w:r>
      </w:hyperlink>
      <w:r>
        <w:br/>
      </w:r>
      <w:r>
        <w:t xml:space="preserve">Rasaśāstra śodhana differences appear to track</w:t>
      </w:r>
      <w:r>
        <w:t xml:space="preserve"> </w:t>
      </w:r>
      <w:r>
        <w:rPr>
          <w:b/>
          <w:bCs/>
        </w:rPr>
        <w:t xml:space="preserve">materials handling and toxicity reduction</w:t>
      </w:r>
      <w:r>
        <w:t xml:space="preserve">, not graha friendship/enmity logic as BPHS defines it.</w:t>
      </w:r>
      <w:r>
        <w:t xml:space="preserve"> </w:t>
      </w:r>
      <w:hyperlink r:id="rId58">
        <w:r>
          <w:rPr>
            <w:rStyle w:val="Hyperlink"/>
          </w:rPr>
          <w:t xml:space="preserve">[36]</w:t>
        </w:r>
      </w:hyperlink>
    </w:p>
    <w:bookmarkEnd w:id="73"/>
    <w:bookmarkEnd w:id="74"/>
    <w:bookmarkEnd w:id="75"/>
    <w:bookmarkEnd w:id="76"/>
    <w:p>
      <w:r>
        <w:pict>
          <v:rect style="width:0;height:1.5pt" o:hralign="center" o:hrstd="t" o:hr="t"/>
        </w:pict>
      </w:r>
    </w:p>
    <w:bookmarkStart w:id="77" w:name="citations"/>
    <w:p>
      <w:pPr>
        <w:pStyle w:val="FirstParagraph"/>
      </w:pPr>
      <w:hyperlink r:id="rId21">
        <w:r>
          <w:rPr>
            <w:rStyle w:val="Hyperlink"/>
          </w:rPr>
          <w:t xml:space="preserve">[1]</w:t>
        </w:r>
      </w:hyperlink>
      <w:r>
        <w:t xml:space="preserve"> </w:t>
      </w:r>
      <w:hyperlink r:id="rId21">
        <w:r>
          <w:rPr>
            <w:rStyle w:val="Hyperlink"/>
          </w:rPr>
          <w:t xml:space="preserve">[16]</w:t>
        </w:r>
      </w:hyperlink>
      <w:r>
        <w:t xml:space="preserve"> </w:t>
      </w:r>
      <w:r>
        <w:t xml:space="preserve">https://link.springer.com/content/pdf/10.1007/bf02881183.pdf</w:t>
      </w:r>
    </w:p>
    <w:p>
      <w:pPr>
        <w:pStyle w:val="BodyText"/>
      </w:pPr>
      <w:hyperlink r:id="rId21">
        <w:r>
          <w:rPr>
            <w:rStyle w:val="Hyperlink"/>
          </w:rPr>
          <w:t xml:space="preserve">https://link.springer.com/content/pdf/10.1007/bf02881183.pdf</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r>
        <w:t xml:space="preserve">https://www.gia.edu/doc/Gemstone-Durability-Design-to-Display.pdf</w:t>
      </w:r>
    </w:p>
    <w:p>
      <w:pPr>
        <w:pStyle w:val="BodyText"/>
      </w:pPr>
      <w:hyperlink r:id="rId22">
        <w:r>
          <w:rPr>
            <w:rStyle w:val="Hyperlink"/>
          </w:rPr>
          <w:t xml:space="preserve">https://www.gia.edu/doc/Gemstone-Durability-Design-to-Display.pdf</w:t>
        </w:r>
      </w:hyperlink>
    </w:p>
    <w:p>
      <w:pPr>
        <w:pStyle w:val="BodyText"/>
      </w:pPr>
      <w:hyperlink r:id="rId24">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[48]</w:t>
        </w:r>
      </w:hyperlink>
      <w:r>
        <w:t xml:space="preserve"> </w:t>
      </w:r>
      <w:r>
        <w:t xml:space="preserve">https://archive.org/download/brihatparasarahorashastrabyr.santhanam/Brihat%20Par%C4%81%C5%9Bara%20Hor%C4%81%20%C5%9Ah%C4%81stra%20By%20R.%20Santhanam.pdf</w:t>
      </w:r>
    </w:p>
    <w:p>
      <w:pPr>
        <w:pStyle w:val="BodyText"/>
      </w:pPr>
      <w:hyperlink r:id="rId24">
        <w:r>
          <w:rPr>
            <w:rStyle w:val="Hyperlink"/>
          </w:rPr>
          <w:t xml:space="preserve">https://archive.org/download/brihatparasarahorashastrabyr.santhanam/Brihat%20Par%C4%81%C5%9Bara%20Hor%C4%81%20%C5%9Ah%C4%81stra%20By%20R.%20Santhanam.pdf</w:t>
        </w:r>
      </w:hyperlink>
    </w:p>
    <w:p>
      <w:pPr>
        <w:pStyle w:val="BodyText"/>
      </w:pPr>
      <w:hyperlink r:id="rId28">
        <w:r>
          <w:rPr>
            <w:rStyle w:val="Hyperlink"/>
          </w:rPr>
          <w:t xml:space="preserve">[5]</w:t>
        </w:r>
      </w:hyperlink>
      <w:r>
        <w:t xml:space="preserve"> </w:t>
      </w:r>
      <w:r>
        <w:t xml:space="preserve">https://en.wikipedia.org/wiki/Alchemical_symbol</w:t>
      </w:r>
    </w:p>
    <w:p>
      <w:pPr>
        <w:pStyle w:val="BodyText"/>
      </w:pPr>
      <w:hyperlink r:id="rId28">
        <w:r>
          <w:rPr>
            <w:rStyle w:val="Hyperlink"/>
          </w:rPr>
          <w:t xml:space="preserve">https://en.wikipedia.org/wiki/Alchemical_symbol</w:t>
        </w:r>
      </w:hyperlink>
    </w:p>
    <w:p>
      <w:pPr>
        <w:pStyle w:val="BodyText"/>
      </w:pPr>
      <w:hyperlink r:id="rId29">
        <w:r>
          <w:rPr>
            <w:rStyle w:val="Hyperlink"/>
          </w:rPr>
          <w:t xml:space="preserve">[6]</w:t>
        </w:r>
      </w:hyperlink>
      <w:r>
        <w:t xml:space="preserve"> </w:t>
      </w:r>
      <w:r>
        <w:t xml:space="preserve">https://www.wisdomlib.org/definition/navagraha</w:t>
      </w:r>
    </w:p>
    <w:p>
      <w:pPr>
        <w:pStyle w:val="BodyText"/>
      </w:pPr>
      <w:hyperlink r:id="rId29">
        <w:r>
          <w:rPr>
            <w:rStyle w:val="Hyperlink"/>
          </w:rPr>
          <w:t xml:space="preserve">https://www.wisdomlib.org/definition/navagraha</w:t>
        </w:r>
      </w:hyperlink>
    </w:p>
    <w:p>
      <w:pPr>
        <w:pStyle w:val="BodyText"/>
      </w:pPr>
      <w:hyperlink r:id="rId31">
        <w:r>
          <w:rPr>
            <w:rStyle w:val="Hyperlink"/>
          </w:rPr>
          <w:t xml:space="preserve">[7]</w:t>
        </w:r>
      </w:hyperlink>
      <w:r>
        <w:t xml:space="preserve"> </w:t>
      </w:r>
      <w:r>
        <w:t xml:space="preserve">https://www.wisdomlib.org/hinduism/book/brihat-samhita/d/doc229343.html</w:t>
      </w:r>
    </w:p>
    <w:p>
      <w:pPr>
        <w:pStyle w:val="BodyText"/>
      </w:pPr>
      <w:hyperlink r:id="rId31">
        <w:r>
          <w:rPr>
            <w:rStyle w:val="Hyperlink"/>
          </w:rPr>
          <w:t xml:space="preserve">https://www.wisdomlib.org/hinduism/book/brihat-samhita/d/doc229343.html</w:t>
        </w:r>
      </w:hyperlink>
    </w:p>
    <w:p>
      <w:pPr>
        <w:pStyle w:val="BodyText"/>
      </w:pPr>
      <w:hyperlink r:id="rId32">
        <w:r>
          <w:rPr>
            <w:rStyle w:val="Hyperlink"/>
          </w:rPr>
          <w:t xml:space="preserve">[9]</w:t>
        </w:r>
      </w:hyperlink>
      <w:r>
        <w:t xml:space="preserve"> </w:t>
      </w:r>
      <w:hyperlink r:id="rId32">
        <w:r>
          <w:rPr>
            <w:rStyle w:val="Hyperlink"/>
          </w:rPr>
          <w:t xml:space="preserve">[39]</w:t>
        </w:r>
      </w:hyperlink>
      <w:r>
        <w:t xml:space="preserve"> </w:t>
      </w:r>
      <w:hyperlink r:id="rId32">
        <w:r>
          <w:rPr>
            <w:rStyle w:val="Hyperlink"/>
          </w:rPr>
          <w:t xml:space="preserve">[40]</w:t>
        </w:r>
      </w:hyperlink>
      <w:r>
        <w:t xml:space="preserve"> </w:t>
      </w:r>
      <w:r>
        <w:t xml:space="preserve">https://www.gia.edu/pearl-care-cleaning</w:t>
      </w:r>
    </w:p>
    <w:p>
      <w:pPr>
        <w:pStyle w:val="BodyText"/>
      </w:pPr>
      <w:hyperlink r:id="rId32">
        <w:r>
          <w:rPr>
            <w:rStyle w:val="Hyperlink"/>
          </w:rPr>
          <w:t xml:space="preserve">https://www.gia.edu/pearl-care-cleaning</w:t>
        </w:r>
      </w:hyperlink>
    </w:p>
    <w:p>
      <w:pPr>
        <w:pStyle w:val="BodyText"/>
      </w:pPr>
      <w:hyperlink r:id="rId35">
        <w:r>
          <w:rPr>
            <w:rStyle w:val="Hyperlink"/>
          </w:rPr>
          <w:t xml:space="preserve">[10]</w:t>
        </w:r>
      </w:hyperlink>
      <w:r>
        <w:t xml:space="preserve"> </w:t>
      </w:r>
      <w:hyperlink r:id="rId35">
        <w:r>
          <w:rPr>
            <w:rStyle w:val="Hyperlink"/>
          </w:rPr>
          <w:t xml:space="preserve">[15]</w:t>
        </w:r>
      </w:hyperlink>
      <w:r>
        <w:t xml:space="preserve"> </w:t>
      </w:r>
      <w:hyperlink r:id="rId35">
        <w:r>
          <w:rPr>
            <w:rStyle w:val="Hyperlink"/>
          </w:rPr>
          <w:t xml:space="preserve">[17]</w:t>
        </w:r>
      </w:hyperlink>
      <w:r>
        <w:t xml:space="preserve"> </w:t>
      </w:r>
      <w:hyperlink r:id="rId35">
        <w:r>
          <w:rPr>
            <w:rStyle w:val="Hyperlink"/>
          </w:rPr>
          <w:t xml:space="preserve">[42]</w:t>
        </w:r>
      </w:hyperlink>
      <w:r>
        <w:t xml:space="preserve"> </w:t>
      </w:r>
      <w:r>
        <w:t xml:space="preserve">https://europepmc.org/article/pmc/4734609</w:t>
      </w:r>
    </w:p>
    <w:p>
      <w:pPr>
        <w:pStyle w:val="BodyText"/>
      </w:pPr>
      <w:hyperlink r:id="rId35">
        <w:r>
          <w:rPr>
            <w:rStyle w:val="Hyperlink"/>
          </w:rPr>
          <w:t xml:space="preserve">https://europepmc.org/article/pmc/4734609</w:t>
        </w:r>
      </w:hyperlink>
    </w:p>
    <w:p>
      <w:pPr>
        <w:pStyle w:val="BodyText"/>
      </w:pPr>
      <w:hyperlink r:id="rId36">
        <w:r>
          <w:rPr>
            <w:rStyle w:val="Hyperlink"/>
          </w:rPr>
          <w:t xml:space="preserve">[11]</w:t>
        </w:r>
      </w:hyperlink>
      <w:r>
        <w:t xml:space="preserve"> </w:t>
      </w:r>
      <w:hyperlink r:id="rId36">
        <w:r>
          <w:rPr>
            <w:rStyle w:val="Hyperlink"/>
          </w:rPr>
          <w:t xml:space="preserve">[18]</w:t>
        </w:r>
      </w:hyperlink>
      <w:r>
        <w:t xml:space="preserve"> </w:t>
      </w:r>
      <w:hyperlink r:id="rId36">
        <w:r>
          <w:rPr>
            <w:rStyle w:val="Hyperlink"/>
          </w:rPr>
          <w:t xml:space="preserve">[43]</w:t>
        </w:r>
      </w:hyperlink>
      <w:r>
        <w:t xml:space="preserve"> </w:t>
      </w:r>
      <w:r>
        <w:t xml:space="preserve">https://rd.springer.com/content/pdf/10.1007/BF03377648.pdf</w:t>
      </w:r>
    </w:p>
    <w:p>
      <w:pPr>
        <w:pStyle w:val="BodyText"/>
      </w:pPr>
      <w:hyperlink r:id="rId36">
        <w:r>
          <w:rPr>
            <w:rStyle w:val="Hyperlink"/>
          </w:rPr>
          <w:t xml:space="preserve">https://rd.springer.com/content/pdf/10.1007/BF03377648.pdf</w:t>
        </w:r>
      </w:hyperlink>
    </w:p>
    <w:p>
      <w:pPr>
        <w:pStyle w:val="BodyText"/>
      </w:pPr>
      <w:hyperlink r:id="rId37">
        <w:r>
          <w:rPr>
            <w:rStyle w:val="Hyperlink"/>
          </w:rPr>
          <w:t xml:space="preserve">[12]</w:t>
        </w:r>
      </w:hyperlink>
      <w:r>
        <w:t xml:space="preserve"> </w:t>
      </w:r>
      <w:hyperlink r:id="rId37">
        <w:r>
          <w:rPr>
            <w:rStyle w:val="Hyperlink"/>
          </w:rPr>
          <w:t xml:space="preserve">[20]</w:t>
        </w:r>
      </w:hyperlink>
      <w:r>
        <w:t xml:space="preserve"> </w:t>
      </w:r>
      <w:hyperlink r:id="rId37">
        <w:r>
          <w:rPr>
            <w:rStyle w:val="Hyperlink"/>
          </w:rPr>
          <w:t xml:space="preserve">[44]</w:t>
        </w:r>
      </w:hyperlink>
      <w:r>
        <w:t xml:space="preserve"> </w:t>
      </w:r>
      <w:hyperlink r:id="rId37">
        <w:r>
          <w:rPr>
            <w:rStyle w:val="Hyperlink"/>
          </w:rPr>
          <w:t xml:space="preserve">[49]</w:t>
        </w:r>
      </w:hyperlink>
      <w:r>
        <w:t xml:space="preserve"> </w:t>
      </w:r>
      <w:r>
        <w:t xml:space="preserve">https://link.springer.com/content/pdf/10.1007/BF02893155.pdf?pdf=inline+link</w:t>
      </w:r>
    </w:p>
    <w:p>
      <w:pPr>
        <w:pStyle w:val="BodyText"/>
      </w:pPr>
      <w:hyperlink r:id="rId37">
        <w:r>
          <w:rPr>
            <w:rStyle w:val="Hyperlink"/>
          </w:rPr>
          <w:t xml:space="preserve">https://link.springer.com/content/pdf/10.1007/BF02893155.pdf?pdf=inline+link</w:t>
        </w:r>
      </w:hyperlink>
    </w:p>
    <w:p>
      <w:pPr>
        <w:pStyle w:val="BodyText"/>
      </w:pPr>
      <w:hyperlink r:id="rId38">
        <w:r>
          <w:rPr>
            <w:rStyle w:val="Hyperlink"/>
          </w:rPr>
          <w:t xml:space="preserve">[13]</w:t>
        </w:r>
      </w:hyperlink>
      <w:r>
        <w:t xml:space="preserve"> </w:t>
      </w:r>
      <w:hyperlink r:id="rId38">
        <w:r>
          <w:rPr>
            <w:rStyle w:val="Hyperlink"/>
          </w:rPr>
          <w:t xml:space="preserve">[24]</w:t>
        </w:r>
      </w:hyperlink>
      <w:r>
        <w:t xml:space="preserve"> </w:t>
      </w:r>
      <w:r>
        <w:t xml:space="preserve">https://www.sciencedirect.com/science/article/pii/S0040603112003929</w:t>
      </w:r>
    </w:p>
    <w:p>
      <w:pPr>
        <w:pStyle w:val="BodyText"/>
      </w:pPr>
      <w:hyperlink r:id="rId38">
        <w:r>
          <w:rPr>
            <w:rStyle w:val="Hyperlink"/>
          </w:rPr>
          <w:t xml:space="preserve">https://www.sciencedirect.com/science/article/pii/S0040603112003929</w:t>
        </w:r>
      </w:hyperlink>
    </w:p>
    <w:p>
      <w:pPr>
        <w:pStyle w:val="BodyText"/>
      </w:pPr>
      <w:hyperlink r:id="rId39">
        <w:r>
          <w:rPr>
            <w:rStyle w:val="Hyperlink"/>
          </w:rPr>
          <w:t xml:space="preserve">[14]</w:t>
        </w:r>
      </w:hyperlink>
      <w:r>
        <w:t xml:space="preserve"> </w:t>
      </w:r>
      <w:hyperlink r:id="rId39">
        <w:r>
          <w:rPr>
            <w:rStyle w:val="Hyperlink"/>
          </w:rPr>
          <w:t xml:space="preserve">[30]</w:t>
        </w:r>
      </w:hyperlink>
      <w:r>
        <w:t xml:space="preserve"> </w:t>
      </w:r>
      <w:r>
        <w:t xml:space="preserve">https://link.springer.com/content/pdf/10.1007/978-3-540-45280-5_73</w:t>
      </w:r>
    </w:p>
    <w:p>
      <w:pPr>
        <w:pStyle w:val="BodyText"/>
      </w:pPr>
      <w:hyperlink r:id="rId39">
        <w:r>
          <w:rPr>
            <w:rStyle w:val="Hyperlink"/>
          </w:rPr>
          <w:t xml:space="preserve">https://link.springer.com/content/pdf/10.1007/978-3-540-45280-5_73</w:t>
        </w:r>
      </w:hyperlink>
    </w:p>
    <w:p>
      <w:pPr>
        <w:pStyle w:val="BodyText"/>
      </w:pPr>
      <w:hyperlink r:id="rId42">
        <w:r>
          <w:rPr>
            <w:rStyle w:val="Hyperlink"/>
          </w:rPr>
          <w:t xml:space="preserve">[19]</w:t>
        </w:r>
      </w:hyperlink>
      <w:r>
        <w:t xml:space="preserve"> </w:t>
      </w:r>
      <w:r>
        <w:t xml:space="preserve">https://infoscience.epfl.ch/bitstreams/2f6b500a-5101-4c5f-9962-bcfa8a720ef6/download</w:t>
      </w:r>
    </w:p>
    <w:p>
      <w:pPr>
        <w:pStyle w:val="BodyText"/>
      </w:pPr>
      <w:hyperlink r:id="rId42">
        <w:r>
          <w:rPr>
            <w:rStyle w:val="Hyperlink"/>
          </w:rPr>
          <w:t xml:space="preserve">https://infoscience.epfl.ch/bitstreams/2f6b500a-5101-4c5f-9962-bcfa8a720ef6/download</w:t>
        </w:r>
      </w:hyperlink>
    </w:p>
    <w:p>
      <w:pPr>
        <w:pStyle w:val="BodyText"/>
      </w:pPr>
      <w:hyperlink r:id="rId44">
        <w:r>
          <w:rPr>
            <w:rStyle w:val="Hyperlink"/>
          </w:rPr>
          <w:t xml:space="preserve">[21]</w:t>
        </w:r>
      </w:hyperlink>
      <w:r>
        <w:t xml:space="preserve"> </w:t>
      </w:r>
      <w:r>
        <w:t xml:space="preserve">https://www.jstage.jst.go.jp/article/matertrans/50/3/50_MER2008410/_pdf</w:t>
      </w:r>
    </w:p>
    <w:p>
      <w:pPr>
        <w:pStyle w:val="BodyText"/>
      </w:pPr>
      <w:hyperlink r:id="rId44">
        <w:r>
          <w:rPr>
            <w:rStyle w:val="Hyperlink"/>
          </w:rPr>
          <w:t xml:space="preserve">https://www.jstage.jst.go.jp/article/matertrans/50/3/50_MER2008410/_pdf</w:t>
        </w:r>
      </w:hyperlink>
    </w:p>
    <w:p>
      <w:pPr>
        <w:pStyle w:val="BodyText"/>
      </w:pPr>
      <w:hyperlink r:id="rId45">
        <w:r>
          <w:rPr>
            <w:rStyle w:val="Hyperlink"/>
          </w:rPr>
          <w:t xml:space="preserve">[22]</w:t>
        </w:r>
      </w:hyperlink>
      <w:r>
        <w:t xml:space="preserve"> </w:t>
      </w:r>
      <w:r>
        <w:t xml:space="preserve">https://www.sciencedirect.com/science/article/pii/S0925838818329670</w:t>
      </w:r>
    </w:p>
    <w:p>
      <w:pPr>
        <w:pStyle w:val="BodyText"/>
      </w:pPr>
      <w:hyperlink r:id="rId45">
        <w:r>
          <w:rPr>
            <w:rStyle w:val="Hyperlink"/>
          </w:rPr>
          <w:t xml:space="preserve">https://www.sciencedirect.com/science/article/pii/S0925838818329670</w:t>
        </w:r>
      </w:hyperlink>
    </w:p>
    <w:p>
      <w:pPr>
        <w:pStyle w:val="BodyText"/>
      </w:pPr>
      <w:hyperlink r:id="rId46">
        <w:r>
          <w:rPr>
            <w:rStyle w:val="Hyperlink"/>
          </w:rPr>
          <w:t xml:space="preserve">[23]</w:t>
        </w:r>
      </w:hyperlink>
      <w:r>
        <w:t xml:space="preserve"> </w:t>
      </w:r>
      <w:r>
        <w:t xml:space="preserve">Rose Gold Alloy: Copper Ratio &amp; Why It Turns Pink | Metalorix</w:t>
      </w:r>
    </w:p>
    <w:p>
      <w:pPr>
        <w:pStyle w:val="BodyText"/>
      </w:pPr>
      <w:hyperlink r:id="rId46">
        <w:r>
          <w:rPr>
            <w:rStyle w:val="Hyperlink"/>
          </w:rPr>
          <w:t xml:space="preserve">https://metalorix.com/en/learn/fundamentals/rose-gold-composition-the-copper-gold-alloy?utm_source=chatgpt.com</w:t>
        </w:r>
      </w:hyperlink>
    </w:p>
    <w:p>
      <w:pPr>
        <w:pStyle w:val="BodyText"/>
      </w:pPr>
      <w:hyperlink r:id="rId48">
        <w:r>
          <w:rPr>
            <w:rStyle w:val="Hyperlink"/>
          </w:rPr>
          <w:t xml:space="preserve">[25]</w:t>
        </w:r>
      </w:hyperlink>
      <w:r>
        <w:t xml:space="preserve"> </w:t>
      </w:r>
      <w:r>
        <w:t xml:space="preserve">https://journals.iucr.org/b/issues/1972/02/00/a08847/a08847.pdf</w:t>
      </w:r>
    </w:p>
    <w:p>
      <w:pPr>
        <w:pStyle w:val="BodyText"/>
      </w:pPr>
      <w:hyperlink r:id="rId48">
        <w:r>
          <w:rPr>
            <w:rStyle w:val="Hyperlink"/>
          </w:rPr>
          <w:t xml:space="preserve">https://journals.iucr.org/b/issues/1972/02/00/a08847/a08847.pdf</w:t>
        </w:r>
      </w:hyperlink>
    </w:p>
    <w:p>
      <w:pPr>
        <w:pStyle w:val="BodyText"/>
      </w:pPr>
      <w:hyperlink r:id="rId49">
        <w:r>
          <w:rPr>
            <w:rStyle w:val="Hyperlink"/>
          </w:rPr>
          <w:t xml:space="preserve">[26]</w:t>
        </w:r>
      </w:hyperlink>
      <w:r>
        <w:t xml:space="preserve"> </w:t>
      </w:r>
      <w:hyperlink r:id="rId49">
        <w:r>
          <w:rPr>
            <w:rStyle w:val="Hyperlink"/>
          </w:rPr>
          <w:t xml:space="preserve">[47]</w:t>
        </w:r>
      </w:hyperlink>
      <w:r>
        <w:t xml:space="preserve"> </w:t>
      </w:r>
      <w:r>
        <w:t xml:space="preserve">https://pocketdentistry.com/5-dental-amalgam-2/</w:t>
      </w:r>
    </w:p>
    <w:p>
      <w:pPr>
        <w:pStyle w:val="BodyText"/>
      </w:pPr>
      <w:hyperlink r:id="rId49">
        <w:r>
          <w:rPr>
            <w:rStyle w:val="Hyperlink"/>
          </w:rPr>
          <w:t xml:space="preserve">https://pocketdentistry.com/5-dental-amalgam-2/</w:t>
        </w:r>
      </w:hyperlink>
    </w:p>
    <w:p>
      <w:pPr>
        <w:pStyle w:val="BodyText"/>
      </w:pPr>
      <w:hyperlink r:id="rId50">
        <w:r>
          <w:rPr>
            <w:rStyle w:val="Hyperlink"/>
          </w:rPr>
          <w:t xml:space="preserve">[27]</w:t>
        </w:r>
      </w:hyperlink>
      <w:r>
        <w:t xml:space="preserve"> </w:t>
      </w:r>
      <w:hyperlink r:id="rId50">
        <w:r>
          <w:rPr>
            <w:rStyle w:val="Hyperlink"/>
          </w:rPr>
          <w:t xml:space="preserve">[29]</w:t>
        </w:r>
      </w:hyperlink>
      <w:r>
        <w:t xml:space="preserve"> </w:t>
      </w:r>
      <w:r>
        <w:t xml:space="preserve">https://link.springer.com/content/pdf/10.1007/10655491_23.pdf</w:t>
      </w:r>
    </w:p>
    <w:p>
      <w:pPr>
        <w:pStyle w:val="BodyText"/>
      </w:pPr>
      <w:hyperlink r:id="rId50">
        <w:r>
          <w:rPr>
            <w:rStyle w:val="Hyperlink"/>
          </w:rPr>
          <w:t xml:space="preserve">https://link.springer.com/content/pdf/10.1007/10655491_23.pdf</w:t>
        </w:r>
      </w:hyperlink>
    </w:p>
    <w:p>
      <w:pPr>
        <w:pStyle w:val="BodyText"/>
      </w:pPr>
      <w:hyperlink r:id="rId51">
        <w:r>
          <w:rPr>
            <w:rStyle w:val="Hyperlink"/>
          </w:rPr>
          <w:t xml:space="preserve">[28]</w:t>
        </w:r>
      </w:hyperlink>
      <w:r>
        <w:t xml:space="preserve"> </w:t>
      </w:r>
      <w:r>
        <w:t xml:space="preserve">https://www.sciencedirect.com/science/article/pii/S0966979524001973</w:t>
      </w:r>
    </w:p>
    <w:p>
      <w:pPr>
        <w:pStyle w:val="BodyText"/>
      </w:pPr>
      <w:hyperlink r:id="rId51">
        <w:r>
          <w:rPr>
            <w:rStyle w:val="Hyperlink"/>
          </w:rPr>
          <w:t xml:space="preserve">https://www.sciencedirect.com/science/article/pii/S0966979524001973</w:t>
        </w:r>
      </w:hyperlink>
    </w:p>
    <w:p>
      <w:pPr>
        <w:pStyle w:val="BodyText"/>
      </w:pPr>
      <w:hyperlink r:id="rId53">
        <w:r>
          <w:rPr>
            <w:rStyle w:val="Hyperlink"/>
          </w:rPr>
          <w:t xml:space="preserve">[31]</w:t>
        </w:r>
      </w:hyperlink>
      <w:r>
        <w:t xml:space="preserve"> </w:t>
      </w:r>
      <w:r>
        <w:t xml:space="preserve">https://www.sciencedirect.com/science/article/pii/0013468680900377</w:t>
      </w:r>
    </w:p>
    <w:p>
      <w:pPr>
        <w:pStyle w:val="BodyText"/>
      </w:pPr>
      <w:hyperlink r:id="rId53">
        <w:r>
          <w:rPr>
            <w:rStyle w:val="Hyperlink"/>
          </w:rPr>
          <w:t xml:space="preserve">https://www.sciencedirect.com/science/article/pii/0013468680900377</w:t>
        </w:r>
      </w:hyperlink>
    </w:p>
    <w:p>
      <w:pPr>
        <w:pStyle w:val="BodyText"/>
      </w:pPr>
      <w:hyperlink r:id="rId54">
        <w:r>
          <w:rPr>
            <w:rStyle w:val="Hyperlink"/>
          </w:rPr>
          <w:t xml:space="preserve">[32]</w:t>
        </w:r>
      </w:hyperlink>
      <w:r>
        <w:t xml:space="preserve"> </w:t>
      </w:r>
      <w:hyperlink r:id="rId54">
        <w:r>
          <w:rPr>
            <w:rStyle w:val="Hyperlink"/>
          </w:rPr>
          <w:t xml:space="preserve">[45]</w:t>
        </w:r>
      </w:hyperlink>
      <w:r>
        <w:t xml:space="preserve"> </w:t>
      </w:r>
      <w:r>
        <w:t xml:space="preserve">https://link.springer.com/article/10.1007/s12666-015-0517-9</w:t>
      </w:r>
    </w:p>
    <w:p>
      <w:pPr>
        <w:pStyle w:val="BodyText"/>
      </w:pPr>
      <w:hyperlink r:id="rId54">
        <w:r>
          <w:rPr>
            <w:rStyle w:val="Hyperlink"/>
          </w:rPr>
          <w:t xml:space="preserve">https://link.springer.com/article/10.1007/s12666-015-0517-9</w:t>
        </w:r>
      </w:hyperlink>
    </w:p>
    <w:p>
      <w:pPr>
        <w:pStyle w:val="BodyText"/>
      </w:pPr>
      <w:hyperlink r:id="rId55">
        <w:r>
          <w:rPr>
            <w:rStyle w:val="Hyperlink"/>
          </w:rPr>
          <w:t xml:space="preserve">[33]</w:t>
        </w:r>
      </w:hyperlink>
      <w:r>
        <w:t xml:space="preserve"> </w:t>
      </w:r>
      <w:r>
        <w:t xml:space="preserve">https://www.electronics.org/system/files/technical_resource/E6%26S32_01.pdf</w:t>
      </w:r>
    </w:p>
    <w:p>
      <w:pPr>
        <w:pStyle w:val="BodyText"/>
      </w:pPr>
      <w:hyperlink r:id="rId55">
        <w:r>
          <w:rPr>
            <w:rStyle w:val="Hyperlink"/>
          </w:rPr>
          <w:t xml:space="preserve">https://www.electronics.org/system/files/technical_resource/E6%26S32_01.pdf</w:t>
        </w:r>
      </w:hyperlink>
    </w:p>
    <w:p>
      <w:pPr>
        <w:pStyle w:val="BodyText"/>
      </w:pPr>
      <w:hyperlink r:id="rId58">
        <w:r>
          <w:rPr>
            <w:rStyle w:val="Hyperlink"/>
          </w:rPr>
          <w:t xml:space="preserve">[34]</w:t>
        </w:r>
      </w:hyperlink>
      <w:r>
        <w:t xml:space="preserve"> </w:t>
      </w:r>
      <w:hyperlink r:id="rId58">
        <w:r>
          <w:rPr>
            <w:rStyle w:val="Hyperlink"/>
          </w:rPr>
          <w:t xml:space="preserve">[36]</w:t>
        </w:r>
      </w:hyperlink>
      <w:r>
        <w:t xml:space="preserve"> </w:t>
      </w:r>
      <w:r>
        <w:t xml:space="preserve">https://docslib.org/doc/6634695/ayurvedic-shodhana-treatments-and-their-applied-aspect-with-special-reference-to-loha</w:t>
      </w:r>
    </w:p>
    <w:p>
      <w:pPr>
        <w:pStyle w:val="BodyText"/>
      </w:pPr>
      <w:hyperlink r:id="rId58">
        <w:r>
          <w:rPr>
            <w:rStyle w:val="Hyperlink"/>
          </w:rPr>
          <w:t xml:space="preserve">https://docslib.org/doc/6634695/ayurvedic-shodhana-treatments-and-their-applied-aspect-with-special-reference-to-loha</w:t>
        </w:r>
      </w:hyperlink>
    </w:p>
    <w:p>
      <w:pPr>
        <w:pStyle w:val="BodyText"/>
      </w:pPr>
      <w:hyperlink r:id="rId59">
        <w:r>
          <w:rPr>
            <w:rStyle w:val="Hyperlink"/>
          </w:rPr>
          <w:t xml:space="preserve">[35]</w:t>
        </w:r>
      </w:hyperlink>
      <w:r>
        <w:t xml:space="preserve"> </w:t>
      </w:r>
      <w:r>
        <w:t xml:space="preserve">https://www.wisdomlib.org/hinduism/essay/minerals-and-metals-in-sanskrit-literature/d/doc1474435.html</w:t>
      </w:r>
    </w:p>
    <w:p>
      <w:pPr>
        <w:pStyle w:val="BodyText"/>
      </w:pPr>
      <w:hyperlink r:id="rId59">
        <w:r>
          <w:rPr>
            <w:rStyle w:val="Hyperlink"/>
          </w:rPr>
          <w:t xml:space="preserve">https://www.wisdomlib.org/hinduism/essay/minerals-and-metals-in-sanskrit-literature/d/doc1474435.html</w:t>
        </w:r>
      </w:hyperlink>
    </w:p>
    <w:p>
      <w:pPr>
        <w:pStyle w:val="BodyText"/>
      </w:pPr>
      <w:hyperlink r:id="rId61">
        <w:r>
          <w:rPr>
            <w:rStyle w:val="Hyperlink"/>
          </w:rPr>
          <w:t xml:space="preserve">[37]</w:t>
        </w:r>
      </w:hyperlink>
      <w:r>
        <w:t xml:space="preserve"> </w:t>
      </w:r>
      <w:r>
        <w:t xml:space="preserve">https://biomedpharmajournal.org/vol3no1/vanga-in-ayurvedic-literature/</w:t>
      </w:r>
    </w:p>
    <w:p>
      <w:pPr>
        <w:pStyle w:val="BodyText"/>
      </w:pPr>
      <w:hyperlink r:id="rId61">
        <w:r>
          <w:rPr>
            <w:rStyle w:val="Hyperlink"/>
          </w:rPr>
          <w:t xml:space="preserve">https://biomedpharmajournal.org/vol3no1/vanga-in-ayurvedic-literature/</w:t>
        </w:r>
      </w:hyperlink>
    </w:p>
    <w:p>
      <w:pPr>
        <w:pStyle w:val="BodyText"/>
      </w:pPr>
      <w:hyperlink r:id="rId64">
        <w:r>
          <w:rPr>
            <w:rStyle w:val="Hyperlink"/>
          </w:rPr>
          <w:t xml:space="preserve">[38]</w:t>
        </w:r>
      </w:hyperlink>
      <w:r>
        <w:t xml:space="preserve"> </w:t>
      </w:r>
      <w:r>
        <w:t xml:space="preserve">https://www.gia.edu/ruby-care-cleaning</w:t>
      </w:r>
    </w:p>
    <w:p>
      <w:pPr>
        <w:pStyle w:val="BodyText"/>
      </w:pPr>
      <w:hyperlink r:id="rId64">
        <w:r>
          <w:rPr>
            <w:rStyle w:val="Hyperlink"/>
          </w:rPr>
          <w:t xml:space="preserve">https://www.gia.edu/ruby-care-cleaning</w:t>
        </w:r>
      </w:hyperlink>
    </w:p>
    <w:p>
      <w:pPr>
        <w:pStyle w:val="BodyText"/>
      </w:pPr>
      <w:hyperlink r:id="rId66">
        <w:r>
          <w:rPr>
            <w:rStyle w:val="Hyperlink"/>
          </w:rPr>
          <w:t xml:space="preserve">[41]</w:t>
        </w:r>
      </w:hyperlink>
      <w:r>
        <w:t xml:space="preserve"> </w:t>
      </w:r>
      <w:r>
        <w:t xml:space="preserve">https://www.gia.edu/pearl-research</w:t>
      </w:r>
    </w:p>
    <w:p>
      <w:pPr>
        <w:pStyle w:val="BodyText"/>
      </w:pPr>
      <w:hyperlink r:id="rId66">
        <w:r>
          <w:rPr>
            <w:rStyle w:val="Hyperlink"/>
          </w:rPr>
          <w:t xml:space="preserve">https://www.gia.edu/pearl-research</w:t>
        </w:r>
      </w:hyperlink>
    </w:p>
    <w:p>
      <w:pPr>
        <w:pStyle w:val="BodyText"/>
      </w:pPr>
      <w:hyperlink r:id="rId71">
        <w:r>
          <w:rPr>
            <w:rStyle w:val="Hyperlink"/>
          </w:rPr>
          <w:t xml:space="preserve">[46]</w:t>
        </w:r>
      </w:hyperlink>
      <w:r>
        <w:t xml:space="preserve"> </w:t>
      </w:r>
      <w:r>
        <w:t xml:space="preserve">https://en.wikipedia.org/wiki/Galvanic_series</w:t>
      </w:r>
    </w:p>
    <w:p>
      <w:pPr>
        <w:pStyle w:val="BodyText"/>
      </w:pPr>
      <w:hyperlink r:id="rId71">
        <w:r>
          <w:rPr>
            <w:rStyle w:val="Hyperlink"/>
          </w:rPr>
          <w:t xml:space="preserve">https://en.wikipedia.org/wiki/Galvanic_series</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rchive.org/download/brihatparasarahorashastrabyr.santhanam/Brihat%20Par%C4%81%C5%9Bara%20Hor%C4%81%20%C5%9Ah%C4%81stra%20By%20R.%20Santhanam.pdf" TargetMode="External" /><Relationship Type="http://schemas.openxmlformats.org/officeDocument/2006/relationships/hyperlink" Id="rId61" Target="https://biomedpharmajournal.org/vol3no1/vanga-in-ayurvedic-literature/" TargetMode="External" /><Relationship Type="http://schemas.openxmlformats.org/officeDocument/2006/relationships/hyperlink" Id="rId58" Target="https://docslib.org/doc/6634695/ayurvedic-shodhana-treatments-and-their-applied-aspect-with-special-reference-to-loha" TargetMode="External" /><Relationship Type="http://schemas.openxmlformats.org/officeDocument/2006/relationships/hyperlink" Id="rId28" Target="https://en.wikipedia.org/wiki/Alchemical_symbol" TargetMode="External" /><Relationship Type="http://schemas.openxmlformats.org/officeDocument/2006/relationships/hyperlink" Id="rId71" Target="https://en.wikipedia.org/wiki/Galvanic_series" TargetMode="External" /><Relationship Type="http://schemas.openxmlformats.org/officeDocument/2006/relationships/hyperlink" Id="rId35" Target="https://europepmc.org/article/pmc/4734609" TargetMode="External" /><Relationship Type="http://schemas.openxmlformats.org/officeDocument/2006/relationships/hyperlink" Id="rId42" Target="https://infoscience.epfl.ch/bitstreams/2f6b500a-5101-4c5f-9962-bcfa8a720ef6/download" TargetMode="External" /><Relationship Type="http://schemas.openxmlformats.org/officeDocument/2006/relationships/hyperlink" Id="rId48" Target="https://journals.iucr.org/b/issues/1972/02/00/a08847/a08847.pdf" TargetMode="External" /><Relationship Type="http://schemas.openxmlformats.org/officeDocument/2006/relationships/hyperlink" Id="rId54" Target="https://link.springer.com/article/10.1007/s12666-015-0517-9" TargetMode="External" /><Relationship Type="http://schemas.openxmlformats.org/officeDocument/2006/relationships/hyperlink" Id="rId50" Target="https://link.springer.com/content/pdf/10.1007/10655491_23.pdf" TargetMode="External" /><Relationship Type="http://schemas.openxmlformats.org/officeDocument/2006/relationships/hyperlink" Id="rId39" Target="https://link.springer.com/content/pdf/10.1007/978-3-540-45280-5_73" TargetMode="External" /><Relationship Type="http://schemas.openxmlformats.org/officeDocument/2006/relationships/hyperlink" Id="rId37" Target="https://link.springer.com/content/pdf/10.1007/BF02893155.pdf?pdf=inline+link" TargetMode="External" /><Relationship Type="http://schemas.openxmlformats.org/officeDocument/2006/relationships/hyperlink" Id="rId21" Target="https://link.springer.com/content/pdf/10.1007/bf02881183.pdf" TargetMode="External" /><Relationship Type="http://schemas.openxmlformats.org/officeDocument/2006/relationships/hyperlink" Id="rId46" Target="https://metalorix.com/en/learn/fundamentals/rose-gold-composition-the-copper-gold-alloy?utm_source=chatgpt.com" TargetMode="External" /><Relationship Type="http://schemas.openxmlformats.org/officeDocument/2006/relationships/hyperlink" Id="rId49" Target="https://pocketdentistry.com/5-dental-amalgam-2/" TargetMode="External" /><Relationship Type="http://schemas.openxmlformats.org/officeDocument/2006/relationships/hyperlink" Id="rId36" Target="https://rd.springer.com/content/pdf/10.1007/BF03377648.pdf" TargetMode="External" /><Relationship Type="http://schemas.openxmlformats.org/officeDocument/2006/relationships/hyperlink" Id="rId55" Target="https://www.electronics.org/system/files/technical_resource/E6%26S32_01.pdf" TargetMode="External" /><Relationship Type="http://schemas.openxmlformats.org/officeDocument/2006/relationships/hyperlink" Id="rId22" Target="https://www.gia.edu/doc/Gemstone-Durability-Design-to-Display.pdf" TargetMode="External" /><Relationship Type="http://schemas.openxmlformats.org/officeDocument/2006/relationships/hyperlink" Id="rId32" Target="https://www.gia.edu/pearl-care-cleaning" TargetMode="External" /><Relationship Type="http://schemas.openxmlformats.org/officeDocument/2006/relationships/hyperlink" Id="rId66" Target="https://www.gia.edu/pearl-research" TargetMode="External" /><Relationship Type="http://schemas.openxmlformats.org/officeDocument/2006/relationships/hyperlink" Id="rId64" Target="https://www.gia.edu/ruby-care-cleaning" TargetMode="External" /><Relationship Type="http://schemas.openxmlformats.org/officeDocument/2006/relationships/hyperlink" Id="rId44" Target="https://www.jstage.jst.go.jp/article/matertrans/50/3/50_MER2008410/_pdf" TargetMode="External" /><Relationship Type="http://schemas.openxmlformats.org/officeDocument/2006/relationships/hyperlink" Id="rId53" Target="https://www.sciencedirect.com/science/article/pii/0013468680900377" TargetMode="External" /><Relationship Type="http://schemas.openxmlformats.org/officeDocument/2006/relationships/hyperlink" Id="rId38" Target="https://www.sciencedirect.com/science/article/pii/S0040603112003929" TargetMode="External" /><Relationship Type="http://schemas.openxmlformats.org/officeDocument/2006/relationships/hyperlink" Id="rId45" Target="https://www.sciencedirect.com/science/article/pii/S0925838818329670" TargetMode="External" /><Relationship Type="http://schemas.openxmlformats.org/officeDocument/2006/relationships/hyperlink" Id="rId51" Target="https://www.sciencedirect.com/science/article/pii/S0966979524001973" TargetMode="External" /><Relationship Type="http://schemas.openxmlformats.org/officeDocument/2006/relationships/hyperlink" Id="rId29" Target="https://www.wisdomlib.org/definition/navagraha" TargetMode="External" /><Relationship Type="http://schemas.openxmlformats.org/officeDocument/2006/relationships/hyperlink" Id="rId31" Target="https://www.wisdomlib.org/hinduism/book/brihat-samhita/d/doc229343.html" TargetMode="External" /><Relationship Type="http://schemas.openxmlformats.org/officeDocument/2006/relationships/hyperlink" Id="rId59" Target="https://www.wisdomlib.org/hinduism/essay/minerals-and-metals-in-sanskrit-literature/d/doc1474435.html" TargetMode="External" /></Relationships>
</file>

<file path=word/_rels/footnotes.xml.rels><?xml version="1.0" encoding="UTF-8"?><Relationships xmlns="http://schemas.openxmlformats.org/package/2006/relationships"><Relationship Type="http://schemas.openxmlformats.org/officeDocument/2006/relationships/hyperlink" Id="rId24" Target="https://archive.org/download/brihatparasarahorashastrabyr.santhanam/Brihat%20Par%C4%81%C5%9Bara%20Hor%C4%81%20%C5%9Ah%C4%81stra%20By%20R.%20Santhanam.pdf" TargetMode="External" /><Relationship Type="http://schemas.openxmlformats.org/officeDocument/2006/relationships/hyperlink" Id="rId61" Target="https://biomedpharmajournal.org/vol3no1/vanga-in-ayurvedic-literature/" TargetMode="External" /><Relationship Type="http://schemas.openxmlformats.org/officeDocument/2006/relationships/hyperlink" Id="rId58" Target="https://docslib.org/doc/6634695/ayurvedic-shodhana-treatments-and-their-applied-aspect-with-special-reference-to-loha" TargetMode="External" /><Relationship Type="http://schemas.openxmlformats.org/officeDocument/2006/relationships/hyperlink" Id="rId28" Target="https://en.wikipedia.org/wiki/Alchemical_symbol" TargetMode="External" /><Relationship Type="http://schemas.openxmlformats.org/officeDocument/2006/relationships/hyperlink" Id="rId71" Target="https://en.wikipedia.org/wiki/Galvanic_series" TargetMode="External" /><Relationship Type="http://schemas.openxmlformats.org/officeDocument/2006/relationships/hyperlink" Id="rId35" Target="https://europepmc.org/article/pmc/4734609" TargetMode="External" /><Relationship Type="http://schemas.openxmlformats.org/officeDocument/2006/relationships/hyperlink" Id="rId42" Target="https://infoscience.epfl.ch/bitstreams/2f6b500a-5101-4c5f-9962-bcfa8a720ef6/download" TargetMode="External" /><Relationship Type="http://schemas.openxmlformats.org/officeDocument/2006/relationships/hyperlink" Id="rId48" Target="https://journals.iucr.org/b/issues/1972/02/00/a08847/a08847.pdf" TargetMode="External" /><Relationship Type="http://schemas.openxmlformats.org/officeDocument/2006/relationships/hyperlink" Id="rId54" Target="https://link.springer.com/article/10.1007/s12666-015-0517-9" TargetMode="External" /><Relationship Type="http://schemas.openxmlformats.org/officeDocument/2006/relationships/hyperlink" Id="rId50" Target="https://link.springer.com/content/pdf/10.1007/10655491_23.pdf" TargetMode="External" /><Relationship Type="http://schemas.openxmlformats.org/officeDocument/2006/relationships/hyperlink" Id="rId39" Target="https://link.springer.com/content/pdf/10.1007/978-3-540-45280-5_73" TargetMode="External" /><Relationship Type="http://schemas.openxmlformats.org/officeDocument/2006/relationships/hyperlink" Id="rId37" Target="https://link.springer.com/content/pdf/10.1007/BF02893155.pdf?pdf=inline+link" TargetMode="External" /><Relationship Type="http://schemas.openxmlformats.org/officeDocument/2006/relationships/hyperlink" Id="rId21" Target="https://link.springer.com/content/pdf/10.1007/bf02881183.pdf" TargetMode="External" /><Relationship Type="http://schemas.openxmlformats.org/officeDocument/2006/relationships/hyperlink" Id="rId46" Target="https://metalorix.com/en/learn/fundamentals/rose-gold-composition-the-copper-gold-alloy?utm_source=chatgpt.com" TargetMode="External" /><Relationship Type="http://schemas.openxmlformats.org/officeDocument/2006/relationships/hyperlink" Id="rId49" Target="https://pocketdentistry.com/5-dental-amalgam-2/" TargetMode="External" /><Relationship Type="http://schemas.openxmlformats.org/officeDocument/2006/relationships/hyperlink" Id="rId36" Target="https://rd.springer.com/content/pdf/10.1007/BF03377648.pdf" TargetMode="External" /><Relationship Type="http://schemas.openxmlformats.org/officeDocument/2006/relationships/hyperlink" Id="rId55" Target="https://www.electronics.org/system/files/technical_resource/E6%26S32_01.pdf" TargetMode="External" /><Relationship Type="http://schemas.openxmlformats.org/officeDocument/2006/relationships/hyperlink" Id="rId22" Target="https://www.gia.edu/doc/Gemstone-Durability-Design-to-Display.pdf" TargetMode="External" /><Relationship Type="http://schemas.openxmlformats.org/officeDocument/2006/relationships/hyperlink" Id="rId32" Target="https://www.gia.edu/pearl-care-cleaning" TargetMode="External" /><Relationship Type="http://schemas.openxmlformats.org/officeDocument/2006/relationships/hyperlink" Id="rId66" Target="https://www.gia.edu/pearl-research" TargetMode="External" /><Relationship Type="http://schemas.openxmlformats.org/officeDocument/2006/relationships/hyperlink" Id="rId64" Target="https://www.gia.edu/ruby-care-cleaning" TargetMode="External" /><Relationship Type="http://schemas.openxmlformats.org/officeDocument/2006/relationships/hyperlink" Id="rId44" Target="https://www.jstage.jst.go.jp/article/matertrans/50/3/50_MER2008410/_pdf" TargetMode="External" /><Relationship Type="http://schemas.openxmlformats.org/officeDocument/2006/relationships/hyperlink" Id="rId53" Target="https://www.sciencedirect.com/science/article/pii/0013468680900377" TargetMode="External" /><Relationship Type="http://schemas.openxmlformats.org/officeDocument/2006/relationships/hyperlink" Id="rId38" Target="https://www.sciencedirect.com/science/article/pii/S0040603112003929" TargetMode="External" /><Relationship Type="http://schemas.openxmlformats.org/officeDocument/2006/relationships/hyperlink" Id="rId45" Target="https://www.sciencedirect.com/science/article/pii/S0925838818329670" TargetMode="External" /><Relationship Type="http://schemas.openxmlformats.org/officeDocument/2006/relationships/hyperlink" Id="rId51" Target="https://www.sciencedirect.com/science/article/pii/S0966979524001973" TargetMode="External" /><Relationship Type="http://schemas.openxmlformats.org/officeDocument/2006/relationships/hyperlink" Id="rId29" Target="https://www.wisdomlib.org/definition/navagraha" TargetMode="External" /><Relationship Type="http://schemas.openxmlformats.org/officeDocument/2006/relationships/hyperlink" Id="rId31" Target="https://www.wisdomlib.org/hinduism/book/brihat-samhita/d/doc229343.html" TargetMode="External" /><Relationship Type="http://schemas.openxmlformats.org/officeDocument/2006/relationships/hyperlink" Id="rId59" Target="https://www.wisdomlib.org/hinduism/essay/minerals-and-metals-in-sanskrit-literature/d/doc1474435.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2026-04-09T14:07:47Z</dcterms:created>
  <dcterms:modified xsi:type="dcterms:W3CDTF">2026-04-09T14:07:47Z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