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2E"/>
          <w:sz w:val="52"/>
          <w:szCs w:val="52"/>
        </w:rPr>
        <w:t xml:space="preserve">Toroidal Vortex Engine</w:t>
      </w:r>
    </w:p>
    <w:p>
      <w:pPr>
        <w:spacing w:after="80" w:before="0"/>
      </w:pPr>
      <w:r>
        <w:rPr>
          <w:rFonts w:ascii="Arial" w:cs="Arial" w:eastAsia="Arial" w:hAnsi="Arial"/>
          <w:i/>
          <w:iCs/>
          <w:color w:val="888780"/>
          <w:sz w:val="24"/>
          <w:szCs w:val="24"/>
        </w:rPr>
        <w:t xml:space="preserve">Brahmanda Cosmological Model · Schauberger Fluid Dynamics · Vaimānika Inference</w:t>
      </w:r>
    </w:p>
    <w:p>
      <w:pPr>
        <w:pBdr>
          <w:bottom w:val="single" w:color="B87B1A" w:sz="8" w:space="4"/>
        </w:pBdr>
        <w:spacing w:after="60" w:before="0"/>
      </w:pPr>
      <w:r>
        <w:rPr>
          <w:rFonts w:ascii="Arial" w:cs="Arial" w:eastAsia="Arial" w:hAnsi="Arial"/>
          <w:color w:val="888780"/>
          <w:sz w:val="18"/>
          <w:szCs w:val="18"/>
        </w:rPr>
        <w:t xml:space="preserve">Atlas Research Seed  ·  authority: guru  ·  stability: experimental  ·  attestation: SYNTHESIS</w:t>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2C4A" w:sz="8"/>
              <w:left w:val="single" w:color="2C2C4A" w:sz="16"/>
              <w:bottom w:val="none" w:color="FFFFFF" w:sz="0"/>
              <w:right w:val="none" w:color="FFFFFF" w:sz="0"/>
            </w:tcBorders>
            <w:shd w:fill="F0F0F8" w:val="clear"/>
            <w:tcMar>
              <w:top w:type="dxa" w:w="120"/>
              <w:left w:type="dxa" w:w="200"/>
              <w:bottom w:type="dxa" w:w="120"/>
              <w:right w:type="dxa" w:w="120"/>
            </w:tcMar>
          </w:tcPr>
          <w:p>
            <w:r>
              <w:rPr>
                <w:rFonts w:ascii="Arial" w:cs="Arial" w:eastAsia="Arial" w:hAnsi="Arial"/>
                <w:b/>
                <w:bCs/>
                <w:caps/>
                <w:color w:val="1A1A2E"/>
                <w:sz w:val="18"/>
                <w:szCs w:val="18"/>
              </w:rPr>
              <w:t xml:space="preserve">framing note</w:t>
            </w:r>
          </w:p>
          <w:p>
            <w:pPr>
              <w:spacing w:before="60"/>
            </w:pPr>
            <w:r>
              <w:rPr>
                <w:rFonts w:ascii="Arial" w:cs="Arial" w:eastAsia="Arial" w:hAnsi="Arial"/>
                <w:i/>
                <w:iCs/>
                <w:color w:val="1A1A2E"/>
                <w:sz w:val="21"/>
                <w:szCs w:val="21"/>
              </w:rPr>
              <w:t xml:space="preserve">This document records an inference chain, not a proven account. The geometric correspondences are real and precise. The historical claims are not attested. The physics is documented. The synthesis is the author's. Each claim is marked accordingly.</w:t>
            </w:r>
          </w:p>
        </w:tc>
      </w:tr>
    </w:tbl>
    <w:p>
      <w:pPr>
        <w:spacing w:after="0" w:before="240"/>
      </w:pPr>
    </w:p>
    <w:p>
      <w:pPr>
        <w:pStyle w:val="Heading1"/>
        <w:spacing w:after="160" w:before="400"/>
      </w:pPr>
      <w:r>
        <w:rPr>
          <w:rFonts w:ascii="Arial" w:cs="Arial" w:eastAsia="Arial" w:hAnsi="Arial"/>
          <w:b/>
          <w:bCs/>
          <w:color w:val="1A1A2E"/>
          <w:sz w:val="32"/>
          <w:szCs w:val="32"/>
        </w:rPr>
        <w:t xml:space="preserve">1. The Brahmanda Toroidal Model</w:t>
      </w:r>
    </w:p>
    <w:p>
      <w:pPr>
        <w:spacing w:after="120" w:before="80" w:line="320"/>
      </w:pPr>
      <w:r>
        <w:rPr>
          <w:rFonts w:ascii="Arial" w:cs="Arial" w:eastAsia="Arial" w:hAnsi="Arial"/>
          <w:b w:val="false"/>
          <w:bCs w:val="false"/>
          <w:i w:val="false"/>
          <w:iCs w:val="false"/>
          <w:color w:val="2C2C2A"/>
          <w:sz w:val="22"/>
          <w:szCs w:val="22"/>
        </w:rPr>
        <w:t xml:space="preserve">The Brahmanda — the cosmic egg — is not a static container. In this model the egg shell is formed by two entwined serpent bodies descending from the creation pole toward the dissolution pole. The serpent paths are the boundary function: the egg's shape is the trace of their double helix. One kalpa is one traversal. Time and form are identical.</w:t>
      </w:r>
    </w:p>
    <w:p>
      <w:pPr>
        <w:spacing w:after="0" w:before="120"/>
      </w:pPr>
    </w:p>
    <w:p>
      <w:pPr>
        <w:spacing w:after="120" w:before="80" w:line="320"/>
      </w:pPr>
      <w:r>
        <w:rPr>
          <w:rFonts w:ascii="Arial" w:cs="Arial" w:eastAsia="Arial" w:hAnsi="Arial"/>
          <w:b w:val="false"/>
          <w:bCs w:val="false"/>
          <w:i w:val="false"/>
          <w:iCs w:val="false"/>
          <w:color w:val="2C2C2A"/>
          <w:sz w:val="22"/>
          <w:szCs w:val="22"/>
        </w:rPr>
        <w:t xml:space="preserve">Each serpent body is a chain of toroidal ball-nodes. Each node contains three toroidal forces spinning in tandem — the trigunic triad enacted as geometry. The three tori within each node are never separable: what is perceived is their resultant influence, not any single force in isolation. This is the physical ground of the doctrine that the gunas are always present together, only their dominance varying.</w:t>
      </w:r>
    </w:p>
    <w:p>
      <w:pPr>
        <w:spacing w:after="0" w:before="120"/>
      </w:pPr>
    </w:p>
    <w:p>
      <w:pPr>
        <w:pStyle w:val="Heading2"/>
        <w:pBdr>
          <w:bottom w:val="single" w:color="B87B1A" w:sz="4" w:space="4"/>
        </w:pBdr>
        <w:spacing w:after="120" w:before="320"/>
      </w:pPr>
      <w:r>
        <w:rPr>
          <w:rFonts w:ascii="Arial" w:cs="Arial" w:eastAsia="Arial" w:hAnsi="Arial"/>
          <w:b/>
          <w:bCs/>
          <w:color w:val="2C2C4A"/>
          <w:sz w:val="26"/>
          <w:szCs w:val="26"/>
        </w:rPr>
        <w:t xml:space="preserve">1.1 The Triadic Torus Node</w:t>
      </w:r>
    </w:p>
    <w:p>
      <w:pPr>
        <w:spacing w:after="120" w:before="80" w:line="320"/>
      </w:pPr>
      <w:r>
        <w:rPr>
          <w:rFonts w:ascii="Arial" w:cs="Arial" w:eastAsia="Arial" w:hAnsi="Arial"/>
          <w:b w:val="false"/>
          <w:bCs w:val="false"/>
          <w:i w:val="false"/>
          <w:iCs w:val="false"/>
          <w:color w:val="2C2C2A"/>
          <w:sz w:val="22"/>
          <w:szCs w:val="22"/>
        </w:rPr>
        <w:t xml:space="preserve">A single node on the serpent chain consists of three toroidal vortices arranged at approximately 120° offset around a shared axis. Their phase relationships determine the local gunic signature of that node. As the chain descends from Satya Yuga (creation pole) toward Kali Yuga (dissolution pole), the polarity of each node rotates — slowly, continuously — until at the base the matter-serpent faces the antimatter-serpent.</w:t>
      </w:r>
    </w:p>
    <w:p>
      <w:pPr>
        <w:spacing w:after="0" w:before="120"/>
      </w:pPr>
    </w:p>
    <w:p>
      <w:pPr>
        <w:pStyle w:val="ListParagraph"/>
        <w:numPr>
          <w:ilvl w:val="0"/>
          <w:numId w:val="2"/>
        </w:numPr>
        <w:spacing w:after="60" w:before="60" w:line="300"/>
      </w:pPr>
      <w:r>
        <w:rPr>
          <w:rFonts w:ascii="Arial" w:cs="Arial" w:eastAsia="Arial" w:hAnsi="Arial"/>
          <w:i w:val="false"/>
          <w:iCs w:val="false"/>
          <w:color w:val="2C2C2A"/>
          <w:sz w:val="22"/>
          <w:szCs w:val="22"/>
        </w:rPr>
        <w:t xml:space="preserve">Three tori per node — triguṇa as geometry, not metaphor</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Phase offset ~120° — produces a null at the shared axis</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Polarity rotates with descent — encodes the yuga transition in the field</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Yantra geometry is inscribed into the serpent body as it descends — the body is the accumulator</w:t>
      </w:r>
    </w:p>
    <w:p>
      <w:pPr>
        <w:spacing w:after="0" w:before="160"/>
      </w:pPr>
    </w:p>
    <w:p>
      <w:pPr>
        <w:pStyle w:val="Heading2"/>
        <w:pBdr>
          <w:bottom w:val="single" w:color="B87B1A" w:sz="4" w:space="4"/>
        </w:pBdr>
        <w:spacing w:after="120" w:before="320"/>
      </w:pPr>
      <w:r>
        <w:rPr>
          <w:rFonts w:ascii="Arial" w:cs="Arial" w:eastAsia="Arial" w:hAnsi="Arial"/>
          <w:b/>
          <w:bCs/>
          <w:color w:val="2C2C4A"/>
          <w:sz w:val="26"/>
          <w:szCs w:val="26"/>
        </w:rPr>
        <w:t xml:space="preserve">1.2 The Confluence Zone</w:t>
      </w:r>
    </w:p>
    <w:p>
      <w:pPr>
        <w:spacing w:after="120" w:before="80" w:line="320"/>
      </w:pPr>
      <w:r>
        <w:rPr>
          <w:rFonts w:ascii="Arial" w:cs="Arial" w:eastAsia="Arial" w:hAnsi="Arial"/>
          <w:b w:val="false"/>
          <w:bCs w:val="false"/>
          <w:i w:val="false"/>
          <w:iCs w:val="false"/>
          <w:color w:val="2C2C2A"/>
          <w:sz w:val="22"/>
          <w:szCs w:val="22"/>
        </w:rPr>
        <w:t xml:space="preserve">At the dissolution pole the two serpent chains do not meet each other directly. They meet the interface — the zone where space and counterspace interpenetrate. This is not a region inside either serpent, nor outside the egg. It is the membrane between the two, where neither matter nor antimatter dominates.</w:t>
      </w:r>
    </w:p>
    <w:p>
      <w:pPr>
        <w:spacing w:after="0" w:before="120"/>
      </w:pPr>
    </w:p>
    <w:p>
      <w:pPr>
        <w:spacing w:after="120" w:before="80" w:line="320"/>
      </w:pPr>
      <w:r>
        <w:rPr>
          <w:rFonts w:ascii="Arial" w:cs="Arial" w:eastAsia="Arial" w:hAnsi="Arial"/>
          <w:b w:val="false"/>
          <w:bCs w:val="false"/>
          <w:i w:val="false"/>
          <w:iCs w:val="false"/>
          <w:color w:val="2C2C2A"/>
          <w:sz w:val="22"/>
          <w:szCs w:val="22"/>
        </w:rPr>
        <w:t xml:space="preserve">A vortex forms at this interface — not matter, not antimatter, but the resultant of their meeting. In the language of Tantric geometry this is the bindu at the confluence of two triangles: not produced by either, but arising at their interpenetration. The egg collapses into it. The next egg unfolds from it. The bija of the next kalpa is the standing vortex at the dissolution point.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7B1A" w:sz="8"/>
              <w:left w:val="single" w:color="B87B1A" w:sz="16"/>
              <w:bottom w:val="none" w:color="FFFFFF" w:sz="0"/>
              <w:right w:val="none" w:color="FFFFFF" w:sz="0"/>
            </w:tcBorders>
            <w:shd w:fill="F5E6C0" w:val="clear"/>
            <w:tcMar>
              <w:top w:type="dxa" w:w="120"/>
              <w:left w:type="dxa" w:w="200"/>
              <w:bottom w:type="dxa" w:w="120"/>
              <w:right w:type="dxa" w:w="120"/>
            </w:tcMar>
          </w:tcPr>
          <w:p>
            <w:r>
              <w:rPr>
                <w:rFonts w:ascii="Arial" w:cs="Arial" w:eastAsia="Arial" w:hAnsi="Arial"/>
                <w:b/>
                <w:bCs/>
                <w:caps/>
                <w:color w:val="1A1A2E"/>
                <w:sz w:val="18"/>
                <w:szCs w:val="18"/>
              </w:rPr>
              <w:t xml:space="preserve">atlas graph relations</w:t>
            </w:r>
          </w:p>
          <w:p>
            <w:pPr>
              <w:spacing w:before="60"/>
            </w:pPr>
            <w:r>
              <w:rPr>
                <w:rFonts w:ascii="Arial" w:cs="Arial" w:eastAsia="Arial" w:hAnsi="Arial"/>
                <w:i/>
                <w:iCs/>
                <w:color w:val="1A1A2E"/>
                <w:sz w:val="21"/>
                <w:szCs w:val="21"/>
              </w:rPr>
              <w:t xml:space="preserve">triguṇa → instantiates_as → triadic_torus_cluster (cosmological scale)
triguṇa → instantiates_as → tridoṣa (biological scale)
confluence_zone → structurally_resembles → śrīcakra_bindu
alpha_parameter → measures → descent_position_on_kalpa_axis</w:t>
            </w:r>
          </w:p>
        </w:tc>
      </w:tr>
    </w:tbl>
    <w:p>
      <w:pPr>
        <w:spacing w:after="0" w:before="240"/>
      </w:pPr>
    </w:p>
    <w:p>
      <w:pPr>
        <w:pStyle w:val="Heading1"/>
        <w:spacing w:after="160" w:before="400"/>
      </w:pPr>
      <w:r>
        <w:rPr>
          <w:rFonts w:ascii="Arial" w:cs="Arial" w:eastAsia="Arial" w:hAnsi="Arial"/>
          <w:b/>
          <w:bCs/>
          <w:color w:val="1A1A2E"/>
          <w:sz w:val="32"/>
          <w:szCs w:val="32"/>
        </w:rPr>
        <w:t xml:space="preserve">2. The Mercury Vortex Chamber</w:t>
      </w:r>
    </w:p>
    <w:p>
      <w:pPr>
        <w:spacing w:after="120" w:before="80" w:line="320"/>
      </w:pPr>
      <w:r>
        <w:rPr>
          <w:rFonts w:ascii="Arial" w:cs="Arial" w:eastAsia="Arial" w:hAnsi="Arial"/>
          <w:b w:val="false"/>
          <w:bCs w:val="false"/>
          <w:i w:val="false"/>
          <w:iCs w:val="false"/>
          <w:color w:val="2C2C2A"/>
          <w:sz w:val="22"/>
          <w:szCs w:val="22"/>
        </w:rPr>
        <w:t xml:space="preserve">A toroidal chamber containing a conducting fluid driven into coherent rotation generates a poloidal magnetic field through the same mechanism as the Earth's liquid iron outer core and as a tokamak plasma. The fluid follows a closed toroidal path: hot fluid rises through the outer annular channel, cools at the apex, descends through the inner return path. The rotating conducting mass generates a field threading the torus axis.</w:t>
      </w:r>
    </w:p>
    <w:p>
      <w:pPr>
        <w:spacing w:after="0" w:before="120"/>
      </w:pPr>
    </w:p>
    <w:p>
      <w:pPr>
        <w:spacing w:after="120" w:before="80" w:line="320"/>
      </w:pPr>
      <w:r>
        <w:rPr>
          <w:rFonts w:ascii="Arial" w:cs="Arial" w:eastAsia="Arial" w:hAnsi="Arial"/>
          <w:b w:val="false"/>
          <w:bCs w:val="false"/>
          <w:i w:val="false"/>
          <w:iCs w:val="false"/>
          <w:color w:val="2C2C2A"/>
          <w:sz w:val="22"/>
          <w:szCs w:val="22"/>
        </w:rPr>
        <w:t xml:space="preserve">Mercury (Hg) is the optimal conducting fluid for this application. It is liquid at room temperature, has high electrical conductivity (~1.04 × 10⁶ S/m), low viscosity, and high density (13,534 kg/m³). These properties make it an efficient toroidal conductor at relatively low rotation velocities.</w:t>
      </w:r>
    </w:p>
    <w:p>
      <w:pPr>
        <w:spacing w:after="0" w:before="120"/>
      </w:pPr>
    </w:p>
    <w:p>
      <w:pPr>
        <w:pStyle w:val="Heading2"/>
        <w:pBdr>
          <w:bottom w:val="single" w:color="B87B1A" w:sz="4" w:space="4"/>
        </w:pBdr>
        <w:spacing w:after="120" w:before="320"/>
      </w:pPr>
      <w:r>
        <w:rPr>
          <w:rFonts w:ascii="Arial" w:cs="Arial" w:eastAsia="Arial" w:hAnsi="Arial"/>
          <w:b/>
          <w:bCs/>
          <w:color w:val="2C2C4A"/>
          <w:sz w:val="26"/>
          <w:szCs w:val="26"/>
        </w:rPr>
        <w:t xml:space="preserve">2.1 Schauberger Groove Geometry</w:t>
      </w:r>
    </w:p>
    <w:p>
      <w:pPr>
        <w:spacing w:after="120" w:before="80" w:line="320"/>
      </w:pPr>
      <w:r>
        <w:rPr>
          <w:rFonts w:ascii="Arial" w:cs="Arial" w:eastAsia="Arial" w:hAnsi="Arial"/>
          <w:b w:val="false"/>
          <w:bCs w:val="false"/>
          <w:i w:val="false"/>
          <w:iCs w:val="false"/>
          <w:color w:val="2C2C2A"/>
          <w:sz w:val="22"/>
          <w:szCs w:val="22"/>
        </w:rPr>
        <w:t xml:space="preserve">Viktor Schauberger's central observation was that natural vortex paths are not cylindrical but logarithmically inward-tightening — implosion geometry rather than explosion geometry. A fluid moving through a logarithmic spiral groove accelerates inward toward the axis, concentrating energy rather than dispersing it. This is the opposite of a turbine.</w:t>
      </w:r>
    </w:p>
    <w:p>
      <w:pPr>
        <w:spacing w:after="0" w:before="120"/>
      </w:pPr>
    </w:p>
    <w:p>
      <w:pPr>
        <w:spacing w:after="120" w:before="80" w:line="320"/>
      </w:pPr>
      <w:r>
        <w:rPr>
          <w:rFonts w:ascii="Arial" w:cs="Arial" w:eastAsia="Arial" w:hAnsi="Arial"/>
          <w:b w:val="false"/>
          <w:bCs w:val="false"/>
          <w:i w:val="false"/>
          <w:iCs w:val="false"/>
          <w:color w:val="2C2C2A"/>
          <w:sz w:val="22"/>
          <w:szCs w:val="22"/>
        </w:rPr>
        <w:t xml:space="preserve">Applied to the mercury chamber, the inner wall surface is grooved in a logarithmic spiral. The groove cross-section is egg-shaped, not round. This distinction is physically critical:</w:t>
      </w:r>
    </w:p>
    <w:p>
      <w:pPr>
        <w:spacing w:after="0" w:before="120"/>
      </w:pPr>
    </w:p>
    <w:p>
      <w:pPr>
        <w:pStyle w:val="ListParagraph"/>
        <w:numPr>
          <w:ilvl w:val="0"/>
          <w:numId w:val="2"/>
        </w:numPr>
        <w:spacing w:after="60" w:before="60" w:line="300"/>
      </w:pPr>
      <w:r>
        <w:rPr>
          <w:rFonts w:ascii="Arial" w:cs="Arial" w:eastAsia="Arial" w:hAnsi="Arial"/>
          <w:i w:val="false"/>
          <w:iCs w:val="false"/>
          <w:color w:val="2C2C2A"/>
          <w:sz w:val="22"/>
          <w:szCs w:val="22"/>
        </w:rPr>
        <w:t xml:space="preserve">A round groove creates a secondary vortex within the groove — the fluid spins inside the groove itself and breaks into turbulence</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An egg-shaped groove breaks this symmetry — the fluid presses against the outer curved wall of the groove, follows it cleanly, and exits back into the main chamber without turbulent breakdown</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Laminar flow through the groove = coherent conducting vortex = stable, clean poloidal field generation</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Turbulent flow = incoherent field = noise</w:t>
      </w:r>
    </w:p>
    <w:p>
      <w:pPr>
        <w:spacing w:after="0" w:before="160"/>
      </w:pPr>
    </w:p>
    <w:p>
      <w:pPr>
        <w:pStyle w:val="Heading3"/>
        <w:spacing w:after="100" w:before="240"/>
      </w:pPr>
      <w:r>
        <w:rPr>
          <w:rFonts w:ascii="Arial" w:cs="Arial" w:eastAsia="Arial" w:hAnsi="Arial"/>
          <w:b/>
          <w:bCs/>
          <w:color w:val="1A7A6E"/>
          <w:sz w:val="22"/>
          <w:szCs w:val="22"/>
        </w:rPr>
        <w:t xml:space="preserve">The pressure null axis</w:t>
      </w:r>
    </w:p>
    <w:p>
      <w:pPr>
        <w:spacing w:after="120" w:before="80" w:line="320"/>
      </w:pPr>
      <w:r>
        <w:rPr>
          <w:rFonts w:ascii="Arial" w:cs="Arial" w:eastAsia="Arial" w:hAnsi="Arial"/>
          <w:b w:val="false"/>
          <w:bCs w:val="false"/>
          <w:i w:val="false"/>
          <w:iCs w:val="false"/>
          <w:color w:val="2C2C2A"/>
          <w:sz w:val="22"/>
          <w:szCs w:val="22"/>
        </w:rPr>
        <w:t xml:space="preserve">As the logarithmic spiral tightens inward, the fluid accelerates and centrifugal force evacuates the torus axis. A genuine low-pressure thread forms along the center of the torus — what Schauberger called the hyperbolic cone of suction. This is not a byproduct: the groove geometry enforces it. An inward-tightening vortex cannot form without a pressure minimum at its axis.</w:t>
      </w:r>
    </w:p>
    <w:p>
      <w:pPr>
        <w:spacing w:after="0" w:before="120"/>
      </w:pPr>
    </w:p>
    <w:p>
      <w:pPr>
        <w:spacing w:after="120" w:before="80" w:line="320"/>
      </w:pPr>
      <w:r>
        <w:rPr>
          <w:rFonts w:ascii="Arial" w:cs="Arial" w:eastAsia="Arial" w:hAnsi="Arial"/>
          <w:b w:val="false"/>
          <w:bCs w:val="false"/>
          <w:i w:val="false"/>
          <w:iCs w:val="false"/>
          <w:color w:val="2C2C2A"/>
          <w:sz w:val="22"/>
          <w:szCs w:val="22"/>
        </w:rPr>
        <w:t xml:space="preserve">This pressure null on the torus axis is physically identical in structure to the field null produced by three-source electromagnetic interference at the cluster center. Same śūnya, reached by two different paths: fluid mechanics and electromagnetic geometry.</w:t>
      </w:r>
    </w:p>
    <w:p>
      <w:pPr>
        <w:spacing w:after="0" w:before="120"/>
      </w:pPr>
    </w:p>
    <w:p>
      <w:pPr>
        <w:pStyle w:val="Heading2"/>
        <w:pBdr>
          <w:bottom w:val="single" w:color="B87B1A" w:sz="4" w:space="4"/>
        </w:pBdr>
        <w:spacing w:after="120" w:before="320"/>
      </w:pPr>
      <w:r>
        <w:rPr>
          <w:rFonts w:ascii="Arial" w:cs="Arial" w:eastAsia="Arial" w:hAnsi="Arial"/>
          <w:b/>
          <w:bCs/>
          <w:color w:val="2C2C4A"/>
          <w:sz w:val="26"/>
          <w:szCs w:val="26"/>
        </w:rPr>
        <w:t xml:space="preserve">2.2 The Triadic Cluster</w:t>
      </w:r>
    </w:p>
    <w:p>
      <w:pPr>
        <w:spacing w:after="120" w:before="80" w:line="320"/>
      </w:pPr>
      <w:r>
        <w:rPr>
          <w:rFonts w:ascii="Arial" w:cs="Arial" w:eastAsia="Arial" w:hAnsi="Arial"/>
          <w:b w:val="false"/>
          <w:bCs w:val="false"/>
          <w:i w:val="false"/>
          <w:iCs w:val="false"/>
          <w:color w:val="2C2C2A"/>
          <w:sz w:val="22"/>
          <w:szCs w:val="22"/>
        </w:rPr>
        <w:t xml:space="preserve">Three mercury chambers arranged at 120° offset around a shared vertical axis produce three phase-offset poloidal fields. Their exterior interference has the following topology:</w:t>
      </w:r>
    </w:p>
    <w:p>
      <w:pPr>
        <w:spacing w:after="0" w:before="120"/>
      </w:pPr>
    </w:p>
    <w:p>
      <w:pPr>
        <w:pStyle w:val="ListParagraph"/>
        <w:numPr>
          <w:ilvl w:val="0"/>
          <w:numId w:val="2"/>
        </w:numPr>
        <w:spacing w:after="60" w:before="60" w:line="300"/>
      </w:pPr>
      <w:r>
        <w:rPr>
          <w:rFonts w:ascii="Arial" w:cs="Arial" w:eastAsia="Arial" w:hAnsi="Arial"/>
          <w:i w:val="false"/>
          <w:iCs w:val="false"/>
          <w:color w:val="2C2C2A"/>
          <w:sz w:val="22"/>
          <w:szCs w:val="22"/>
        </w:rPr>
        <w:t xml:space="preserve">Six nodes of constructive interference at 60° intervals in the exterior field</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A null at the shared center axis where all three fields cancel</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A structured exterior field with 6-fold angular symmetry</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Secondary interference nodes forming an inner hexagonal ring</w:t>
      </w:r>
    </w:p>
    <w:p>
      <w:pPr>
        <w:spacing w:after="0" w:before="160"/>
      </w:pPr>
    </w:p>
    <w:p>
      <w:pPr>
        <w:spacing w:after="120" w:before="80" w:line="320"/>
      </w:pPr>
      <w:r>
        <w:rPr>
          <w:rFonts w:ascii="Arial" w:cs="Arial" w:eastAsia="Arial" w:hAnsi="Arial"/>
          <w:b w:val="false"/>
          <w:bCs w:val="false"/>
          <w:i w:val="false"/>
          <w:iCs w:val="false"/>
          <w:color w:val="2C2C2A"/>
          <w:sz w:val="22"/>
          <w:szCs w:val="22"/>
        </w:rPr>
        <w:t xml:space="preserve">The exterior field geometry — six primary nodes, six secondary nodes, central null, concentric ring structure — is the physical topology that a yantra describes in drawn form. The yantra is not imposed on the field: it is what the field is. The śrīyantra, the ṣaḍkoṇa, and related geometric forms express the interference topology of a triadic toroidal field source mapped onto a plane.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7B1A" w:sz="8"/>
              <w:left w:val="single" w:color="B87B1A" w:sz="16"/>
              <w:bottom w:val="none" w:color="FFFFFF" w:sz="0"/>
              <w:right w:val="none" w:color="FFFFFF" w:sz="0"/>
            </w:tcBorders>
            <w:shd w:fill="F5E6C0" w:val="clear"/>
            <w:tcMar>
              <w:top w:type="dxa" w:w="120"/>
              <w:left w:type="dxa" w:w="200"/>
              <w:bottom w:type="dxa" w:w="120"/>
              <w:right w:type="dxa" w:w="120"/>
            </w:tcMar>
          </w:tcPr>
          <w:p>
            <w:r>
              <w:rPr>
                <w:rFonts w:ascii="Arial" w:cs="Arial" w:eastAsia="Arial" w:hAnsi="Arial"/>
                <w:b/>
                <w:bCs/>
                <w:caps/>
                <w:color w:val="1A1A2E"/>
                <w:sz w:val="18"/>
                <w:szCs w:val="18"/>
              </w:rPr>
              <w:t xml:space="preserve">key inference</w:t>
            </w:r>
          </w:p>
          <w:p>
            <w:pPr>
              <w:spacing w:before="60"/>
            </w:pPr>
            <w:r>
              <w:rPr>
                <w:rFonts w:ascii="Arial" w:cs="Arial" w:eastAsia="Arial" w:hAnsi="Arial"/>
                <w:i/>
                <w:iCs/>
                <w:color w:val="1A1A2E"/>
                <w:sz w:val="21"/>
                <w:szCs w:val="21"/>
              </w:rPr>
              <w:t xml:space="preserve">The exterior field of three phase-offset toroidal conductors produces angular interference with 6-fold symmetry and a null center. A yantra encodes this topology as drawn geometry. The correspondence is precise and physically grounded. Whether the tradition arrived at this form by measurement, by direct perception of the field, or by other means is not established.</w:t>
            </w:r>
          </w:p>
        </w:tc>
      </w:tr>
    </w:tbl>
    <w:p>
      <w:pPr>
        <w:spacing w:after="0" w:before="240"/>
      </w:pPr>
    </w:p>
    <w:p>
      <w:pPr>
        <w:pStyle w:val="Heading1"/>
        <w:spacing w:after="160" w:before="400"/>
      </w:pPr>
      <w:r>
        <w:rPr>
          <w:rFonts w:ascii="Arial" w:cs="Arial" w:eastAsia="Arial" w:hAnsi="Arial"/>
          <w:b/>
          <w:bCs/>
          <w:color w:val="1A1A2E"/>
          <w:sz w:val="32"/>
          <w:szCs w:val="32"/>
        </w:rPr>
        <w:t xml:space="preserve">3. Vaimānika Śāstra — The Inference</w:t>
      </w:r>
    </w:p>
    <w:p>
      <w:pPr>
        <w:spacing w:after="120" w:before="80" w:line="320"/>
      </w:pPr>
      <w:r>
        <w:rPr>
          <w:rFonts w:ascii="Arial" w:cs="Arial" w:eastAsia="Arial" w:hAnsi="Arial"/>
          <w:b w:val="false"/>
          <w:bCs w:val="false"/>
          <w:i w:val="false"/>
          <w:iCs w:val="false"/>
          <w:color w:val="2C2C2A"/>
          <w:sz w:val="22"/>
          <w:szCs w:val="22"/>
        </w:rPr>
        <w:t xml:space="preserve">The Vaimānika Śāstra describes mercury set into a spinning vortex inside a chambered vessel, with heat applied below, generating a field effect used for aerial propulsion. The text is of disputed provenance — claimed ancient transmission, committed to writing in the early 20th century, with no corroborating archaeological evidence.</w:t>
      </w:r>
    </w:p>
    <w:p>
      <w:pPr>
        <w:spacing w:after="0" w:before="120"/>
      </w:pPr>
    </w:p>
    <w:p>
      <w:pPr>
        <w:spacing w:after="120" w:before="80" w:line="320"/>
      </w:pPr>
      <w:r>
        <w:rPr>
          <w:rFonts w:ascii="Arial" w:cs="Arial" w:eastAsia="Arial" w:hAnsi="Arial"/>
          <w:b w:val="false"/>
          <w:bCs w:val="false"/>
          <w:i w:val="false"/>
          <w:iCs w:val="false"/>
          <w:color w:val="2C2C2A"/>
          <w:sz w:val="22"/>
          <w:szCs w:val="22"/>
        </w:rPr>
        <w:t xml:space="preserve">The inference being made here is structural, not historical:</w:t>
      </w:r>
    </w:p>
    <w:p>
      <w:pPr>
        <w:spacing w:after="0" w:before="120"/>
      </w:pPr>
    </w:p>
    <w:p>
      <w:pPr>
        <w:pStyle w:val="ListParagraph"/>
        <w:numPr>
          <w:ilvl w:val="0"/>
          <w:numId w:val="2"/>
        </w:numPr>
        <w:spacing w:after="60" w:before="60" w:line="300"/>
      </w:pPr>
      <w:r>
        <w:rPr>
          <w:rFonts w:ascii="Arial" w:cs="Arial" w:eastAsia="Arial" w:hAnsi="Arial"/>
          <w:i w:val="false"/>
          <w:iCs w:val="false"/>
          <w:color w:val="2C2C2A"/>
          <w:sz w:val="22"/>
          <w:szCs w:val="22"/>
        </w:rPr>
        <w:t xml:space="preserve">The mercury chamber described in the Vaimānika Śāstra is geometrically consistent with a toroidal conducting fluid vortex</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A toroidal mercury vortex generates a real electromagnetic field through documented physics</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The craft described would, if the chamber functions as a toroidal conductor, be a mobile toroidal field device — a micro-Brahmanda operating on the same geometric principles as the cosmological model</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Mercury in Jyotiṣa governs Budha — communication, speed, the connective principle. As a conducting fluid in a torus it physically mediates between electrical and mechanical registers. The substance is appropriate to the role in multiple simultaneous frameworks.</w:t>
      </w:r>
    </w:p>
    <w:p>
      <w:pPr>
        <w:spacing w:after="0" w:before="160"/>
      </w:pPr>
    </w:p>
    <w:p>
      <w:pPr>
        <w:spacing w:after="120" w:before="80" w:line="320"/>
      </w:pPr>
      <w:r>
        <w:rPr>
          <w:rFonts w:ascii="Arial" w:cs="Arial" w:eastAsia="Arial" w:hAnsi="Arial"/>
          <w:b w:val="false"/>
          <w:bCs w:val="false"/>
          <w:i w:val="false"/>
          <w:iCs w:val="false"/>
          <w:color w:val="2C2C2A"/>
          <w:sz w:val="22"/>
          <w:szCs w:val="22"/>
        </w:rPr>
        <w:t xml:space="preserve">This inference cannot be promoted beyond SYNTHESIS without textual evidence of the groove geometry, the triadic chamber arrangement, or explicit field-generation intent in the source material. The geometric correspondence is real. The historical claim is not established.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88780" w:sz="8"/>
              <w:left w:val="single" w:color="888780" w:sz="16"/>
              <w:bottom w:val="none" w:color="FFFFFF" w:sz="0"/>
              <w:right w:val="none" w:color="FFFFFF" w:sz="0"/>
            </w:tcBorders>
            <w:shd w:fill="F0F0F0" w:val="clear"/>
            <w:tcMar>
              <w:top w:type="dxa" w:w="120"/>
              <w:left w:type="dxa" w:w="200"/>
              <w:bottom w:type="dxa" w:w="120"/>
              <w:right w:type="dxa" w:w="120"/>
            </w:tcMar>
          </w:tcPr>
          <w:p>
            <w:r>
              <w:rPr>
                <w:rFonts w:ascii="Arial" w:cs="Arial" w:eastAsia="Arial" w:hAnsi="Arial"/>
                <w:b/>
                <w:bCs/>
                <w:caps/>
                <w:color w:val="1A1A2E"/>
                <w:sz w:val="18"/>
                <w:szCs w:val="18"/>
              </w:rPr>
              <w:t xml:space="preserve">what is not being claimed</w:t>
            </w:r>
          </w:p>
          <w:p>
            <w:pPr>
              <w:spacing w:before="60"/>
            </w:pPr>
            <w:r>
              <w:rPr>
                <w:rFonts w:ascii="Arial" w:cs="Arial" w:eastAsia="Arial" w:hAnsi="Arial"/>
                <w:i/>
                <w:iCs/>
                <w:color w:val="1A1A2E"/>
                <w:sz w:val="21"/>
                <w:szCs w:val="21"/>
              </w:rPr>
              <w:t xml:space="preserve">That the Vaimānika Śāstra is an ancient text. That vimanas were real flying craft. That the triadic chamber arrangement was known or intended. That any mercury vortex device was ever built for this purpose. These are not attested and are not the point of this note.</w:t>
            </w:r>
          </w:p>
        </w:tc>
      </w:tr>
    </w:tbl>
    <w:p>
      <w:pPr>
        <w:spacing w:after="0" w:before="240"/>
      </w:pPr>
    </w:p>
    <w:p>
      <w:pPr>
        <w:pStyle w:val="Heading1"/>
        <w:spacing w:after="160" w:before="400"/>
      </w:pPr>
      <w:r>
        <w:rPr>
          <w:rFonts w:ascii="Arial" w:cs="Arial" w:eastAsia="Arial" w:hAnsi="Arial"/>
          <w:b/>
          <w:bCs/>
          <w:color w:val="1A1A2E"/>
          <w:sz w:val="32"/>
          <w:szCs w:val="32"/>
        </w:rPr>
        <w:t xml:space="preserve">4. Scale Correspondences</w:t>
      </w:r>
    </w:p>
    <w:p>
      <w:pPr>
        <w:spacing w:after="120" w:before="80" w:line="320"/>
      </w:pPr>
      <w:r>
        <w:rPr>
          <w:rFonts w:ascii="Arial" w:cs="Arial" w:eastAsia="Arial" w:hAnsi="Arial"/>
          <w:b w:val="false"/>
          <w:bCs w:val="false"/>
          <w:i w:val="false"/>
          <w:iCs w:val="false"/>
          <w:color w:val="2C2C2A"/>
          <w:sz w:val="22"/>
          <w:szCs w:val="22"/>
        </w:rPr>
        <w:t xml:space="preserve">The same triadic toroidal geometry appears at multiple scales in this model. This is not forced — it follows from the cosmological principle that the same relational structure repeats across scales of manifestation.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2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 output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4A"/>
                <w:sz w:val="20"/>
                <w:szCs w:val="20"/>
              </w:rPr>
              <w:t xml:space="preserve">Cosmological</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Triadic torus node on serpent chain</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Śūnya-bindu at cluster center</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Yantra in counterspace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4A"/>
                <w:sz w:val="20"/>
                <w:szCs w:val="20"/>
              </w:rPr>
              <w:t xml:space="preserve">Planetary</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Liquid iron outer core convection</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Inner core boundary</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Geomagnetic field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4A"/>
                <w:sz w:val="20"/>
                <w:szCs w:val="20"/>
              </w:rPr>
              <w:t xml:space="preserve">Engineered</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Three mercury vortex chambers</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Pressure null axis</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Structured exterior field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4A"/>
                <w:sz w:val="20"/>
                <w:szCs w:val="20"/>
              </w:rPr>
              <w:t xml:space="preserve">Biological</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Tridoṣa in living tissue</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Neutral prakṛti state</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Doṣic field expression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4A"/>
                <w:sz w:val="20"/>
                <w:szCs w:val="20"/>
              </w:rPr>
              <w:t xml:space="preserve">Knowledge</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Three-axis metadata (Atlas)</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Unmanifest node (S0)</w:t>
            </w:r>
          </w:p>
        </w:tc>
        <w:tc>
          <w:tcPr>
            <w:tcW w:type="dxa" w:w="23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2C2C2A"/>
                <w:sz w:val="20"/>
                <w:szCs w:val="20"/>
              </w:rPr>
              <w:t xml:space="preserve">Visualization / canonical form</w:t>
            </w:r>
          </w:p>
        </w:tc>
      </w:tr>
    </w:tbl>
    <w:p>
      <w:pPr>
        <w:spacing w:after="0" w:before="240"/>
      </w:pPr>
    </w:p>
    <w:p>
      <w:pPr>
        <w:pStyle w:val="Heading1"/>
        <w:spacing w:after="160" w:before="400"/>
      </w:pPr>
      <w:r>
        <w:rPr>
          <w:rFonts w:ascii="Arial" w:cs="Arial" w:eastAsia="Arial" w:hAnsi="Arial"/>
          <w:b/>
          <w:bCs/>
          <w:color w:val="1A1A2E"/>
          <w:sz w:val="32"/>
          <w:szCs w:val="32"/>
        </w:rPr>
        <w:t xml:space="preserve">5. Attestation Register</w:t>
      </w:r>
    </w:p>
    <w:p>
      <w:pPr>
        <w:spacing w:after="120" w:before="80" w:line="320"/>
      </w:pPr>
      <w:r>
        <w:rPr>
          <w:rFonts w:ascii="Arial" w:cs="Arial" w:eastAsia="Arial" w:hAnsi="Arial"/>
          <w:b w:val="false"/>
          <w:bCs w:val="false"/>
          <w:i w:val="false"/>
          <w:iCs w:val="false"/>
          <w:color w:val="2C2C2A"/>
          <w:sz w:val="22"/>
          <w:szCs w:val="22"/>
        </w:rPr>
        <w:t xml:space="preserve">All claims from this research session, classified by the Atlas attestation system: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Attestation</w:t>
            </w:r>
          </w:p>
        </w:tc>
        <w:tc>
          <w:tcPr>
            <w:tcW w:type="dxa" w:w="7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Claim</w:t>
            </w:r>
          </w:p>
        </w:tc>
      </w:tr>
      <w:tr>
        <w:tc>
          <w:tcPr>
            <w:tcW w:type="dxa" w:w="1800"/>
            <w:tcBorders>
              <w:top w:val="single" w:color="CCCCCC" w:sz="1"/>
              <w:left w:val="single" w:color="CCCCCC" w:sz="1"/>
              <w:bottom w:val="single" w:color="CCCCCC" w:sz="1"/>
              <w:right w:val="single" w:color="CCCCCC" w:sz="1"/>
            </w:tcBorders>
            <w:shd w:fill="D0EFEB" w:val="clear"/>
            <w:tcMar>
              <w:top w:type="dxa" w:w="80"/>
              <w:left w:type="dxa" w:w="120"/>
              <w:bottom w:type="dxa" w:w="80"/>
              <w:right w:type="dxa" w:w="120"/>
            </w:tcMar>
          </w:tcPr>
          <w:p>
            <w:r>
              <w:rPr>
                <w:rFonts w:ascii="Arial" w:cs="Arial" w:eastAsia="Arial" w:hAnsi="Arial"/>
                <w:b/>
                <w:bCs/>
                <w:color w:val="1A7A6E"/>
                <w:sz w:val="18"/>
                <w:szCs w:val="18"/>
              </w:rPr>
              <w:t xml:space="preserve">OBSERVED</w:t>
            </w:r>
          </w:p>
        </w:tc>
        <w:tc>
          <w:tcPr>
            <w:tcW w:type="dxa" w:w="7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Toroidal convection in conducting fluids generates poloidal magnetic field</w:t>
            </w:r>
          </w:p>
        </w:tc>
      </w:tr>
      <w:tr>
        <w:tc>
          <w:tcPr>
            <w:tcW w:type="dxa" w:w="1800"/>
            <w:tcBorders>
              <w:top w:val="single" w:color="CCCCCC" w:sz="1"/>
              <w:left w:val="single" w:color="CCCCCC" w:sz="1"/>
              <w:bottom w:val="single" w:color="CCCCCC" w:sz="1"/>
              <w:right w:val="single" w:color="CCCCCC" w:sz="1"/>
            </w:tcBorders>
            <w:shd w:fill="D0EFEB" w:val="clear"/>
            <w:tcMar>
              <w:top w:type="dxa" w:w="80"/>
              <w:left w:type="dxa" w:w="120"/>
              <w:bottom w:type="dxa" w:w="80"/>
              <w:right w:type="dxa" w:w="120"/>
            </w:tcMar>
          </w:tcPr>
          <w:p>
            <w:r>
              <w:rPr>
                <w:rFonts w:ascii="Arial" w:cs="Arial" w:eastAsia="Arial" w:hAnsi="Arial"/>
                <w:b/>
                <w:bCs/>
                <w:color w:val="1A7A6E"/>
                <w:sz w:val="18"/>
                <w:szCs w:val="18"/>
              </w:rPr>
              <w:t xml:space="preserve">OBSERVED</w:t>
            </w:r>
          </w:p>
        </w:tc>
        <w:tc>
          <w:tcPr>
            <w:tcW w:type="dxa" w:w="7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Three-source field interference produces angular null structure</w:t>
            </w:r>
          </w:p>
        </w:tc>
      </w:tr>
      <w:tr>
        <w:tc>
          <w:tcPr>
            <w:tcW w:type="dxa" w:w="1800"/>
            <w:tcBorders>
              <w:top w:val="single" w:color="CCCCCC" w:sz="1"/>
              <w:left w:val="single" w:color="CCCCCC" w:sz="1"/>
              <w:bottom w:val="single" w:color="CCCCCC" w:sz="1"/>
              <w:right w:val="single" w:color="CCCCCC" w:sz="1"/>
            </w:tcBorders>
            <w:shd w:fill="D0EFEB" w:val="clear"/>
            <w:tcMar>
              <w:top w:type="dxa" w:w="80"/>
              <w:left w:type="dxa" w:w="120"/>
              <w:bottom w:type="dxa" w:w="80"/>
              <w:right w:type="dxa" w:w="120"/>
            </w:tcMar>
          </w:tcPr>
          <w:p>
            <w:r>
              <w:rPr>
                <w:rFonts w:ascii="Arial" w:cs="Arial" w:eastAsia="Arial" w:hAnsi="Arial"/>
                <w:b/>
                <w:bCs/>
                <w:color w:val="1A7A6E"/>
                <w:sz w:val="18"/>
                <w:szCs w:val="18"/>
              </w:rPr>
              <w:t xml:space="preserve">OBSERVED</w:t>
            </w:r>
          </w:p>
        </w:tc>
        <w:tc>
          <w:tcPr>
            <w:tcW w:type="dxa" w:w="7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Schauberger logarithmic groove induces coherent laminar vortex</w:t>
            </w:r>
          </w:p>
        </w:tc>
      </w:tr>
      <w:tr>
        <w:tc>
          <w:tcPr>
            <w:tcW w:type="dxa" w:w="1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Arial" w:cs="Arial" w:eastAsia="Arial" w:hAnsi="Arial"/>
                <w:b/>
                <w:bCs/>
                <w:color w:val="B87B1A"/>
                <w:sz w:val="18"/>
                <w:szCs w:val="18"/>
              </w:rPr>
              <w:t xml:space="preserve">SYNTHESIS</w:t>
            </w:r>
          </w:p>
        </w:tc>
        <w:tc>
          <w:tcPr>
            <w:tcW w:type="dxa" w:w="7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Triadic torus cluster maps onto triguṇa at cosmological scale</w:t>
            </w:r>
          </w:p>
        </w:tc>
      </w:tr>
      <w:tr>
        <w:tc>
          <w:tcPr>
            <w:tcW w:type="dxa" w:w="1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Arial" w:cs="Arial" w:eastAsia="Arial" w:hAnsi="Arial"/>
                <w:b/>
                <w:bCs/>
                <w:color w:val="B87B1A"/>
                <w:sz w:val="18"/>
                <w:szCs w:val="18"/>
              </w:rPr>
              <w:t xml:space="preserve">SYNTHESIS</w:t>
            </w:r>
          </w:p>
        </w:tc>
        <w:tc>
          <w:tcPr>
            <w:tcW w:type="dxa" w:w="7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Exterior field interference topology corresponds to yantra geometry</w:t>
            </w:r>
          </w:p>
        </w:tc>
      </w:tr>
      <w:tr>
        <w:tc>
          <w:tcPr>
            <w:tcW w:type="dxa" w:w="1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Arial" w:cs="Arial" w:eastAsia="Arial" w:hAnsi="Arial"/>
                <w:b/>
                <w:bCs/>
                <w:color w:val="B87B1A"/>
                <w:sz w:val="18"/>
                <w:szCs w:val="18"/>
              </w:rPr>
              <w:t xml:space="preserve">SYNTHESIS</w:t>
            </w:r>
          </w:p>
        </w:tc>
        <w:tc>
          <w:tcPr>
            <w:tcW w:type="dxa" w:w="7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Vaimānika Śāstra mercury chamber structurally resembles toroidal conductor</w:t>
            </w:r>
          </w:p>
        </w:tc>
      </w:tr>
      <w:tr>
        <w:tc>
          <w:tcPr>
            <w:tcW w:type="dxa" w:w="1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E88830"/>
                <w:sz w:val="18"/>
                <w:szCs w:val="18"/>
              </w:rPr>
              <w:t xml:space="preserve">EXPERIMENTAL</w:t>
            </w:r>
          </w:p>
        </w:tc>
        <w:tc>
          <w:tcPr>
            <w:tcW w:type="dxa" w:w="7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Pressure null axis and field null share the same structural identity</w:t>
            </w:r>
          </w:p>
        </w:tc>
      </w:tr>
      <w:tr>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C4444"/>
                <w:sz w:val="18"/>
                <w:szCs w:val="18"/>
              </w:rPr>
              <w:t xml:space="preserve">FRINGE</w:t>
            </w:r>
          </w:p>
        </w:tc>
        <w:tc>
          <w:tcPr>
            <w:tcW w:type="dxa" w:w="7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Vimāna craft used triadic mercury vortex engines as described</w:t>
            </w:r>
          </w:p>
        </w:tc>
      </w:tr>
    </w:tbl>
    <w:p>
      <w:pPr>
        <w:spacing w:after="0" w:before="240"/>
      </w:pPr>
    </w:p>
    <w:p>
      <w:pPr>
        <w:pStyle w:val="Heading1"/>
        <w:spacing w:after="160" w:before="400"/>
      </w:pPr>
      <w:r>
        <w:rPr>
          <w:rFonts w:ascii="Arial" w:cs="Arial" w:eastAsia="Arial" w:hAnsi="Arial"/>
          <w:b/>
          <w:bCs/>
          <w:color w:val="1A1A2E"/>
          <w:sz w:val="32"/>
          <w:szCs w:val="32"/>
        </w:rPr>
        <w:t xml:space="preserve">6. Atlas Integration Notes</w:t>
      </w:r>
    </w:p>
    <w:p>
      <w:pPr>
        <w:pStyle w:val="Heading2"/>
        <w:pBdr>
          <w:bottom w:val="single" w:color="B87B1A" w:sz="4" w:space="4"/>
        </w:pBdr>
        <w:spacing w:after="120" w:before="320"/>
      </w:pPr>
      <w:r>
        <w:rPr>
          <w:rFonts w:ascii="Arial" w:cs="Arial" w:eastAsia="Arial" w:hAnsi="Arial"/>
          <w:b/>
          <w:bCs/>
          <w:color w:val="2C2C4A"/>
          <w:sz w:val="26"/>
          <w:szCs w:val="26"/>
        </w:rPr>
        <w:t xml:space="preserve">Proposed relations</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triadic_torus_cluster → structurally_resembles → mercury_vortex_chamber  [guru / experimental]</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mercury_vortex_chamber → generates → poloidal_magnetic_field  [shastra / stable]</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schauberger_groove → induces → coherent_laminar_vortex  [sadhu / working]</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exterior_field_interference → topology_matches → yantra_geometry  [guru / experimental]</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pressure_null_axis → corresponds_to → sunya_bindu  [guru / experimental]</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vaimanika_sastra_mercury_chamber → structurally_resembles → triadic_torus_cluster  [guru / experimental]</w:t>
      </w:r>
    </w:p>
    <w:p>
      <w:pPr>
        <w:spacing w:after="0" w:before="160"/>
      </w:pPr>
    </w:p>
    <w:p>
      <w:pPr>
        <w:pStyle w:val="Heading2"/>
        <w:pBdr>
          <w:bottom w:val="single" w:color="B87B1A" w:sz="4" w:space="4"/>
        </w:pBdr>
        <w:spacing w:after="120" w:before="320"/>
      </w:pPr>
      <w:r>
        <w:rPr>
          <w:rFonts w:ascii="Arial" w:cs="Arial" w:eastAsia="Arial" w:hAnsi="Arial"/>
          <w:b/>
          <w:bCs/>
          <w:color w:val="2C2C4A"/>
          <w:sz w:val="26"/>
          <w:szCs w:val="26"/>
        </w:rPr>
        <w:t xml:space="preserve">Proposed seed</w:t>
      </w:r>
    </w:p>
    <w:p>
      <w:pPr>
        <w:spacing w:after="120" w:before="80" w:line="320"/>
      </w:pPr>
      <w:r>
        <w:rPr>
          <w:rFonts w:ascii="Arial" w:cs="Arial" w:eastAsia="Arial" w:hAnsi="Arial"/>
          <w:b w:val="false"/>
          <w:bCs w:val="false"/>
          <w:i w:val="false"/>
          <w:iCs w:val="false"/>
          <w:color w:val="2C2C2A"/>
          <w:sz w:val="22"/>
          <w:szCs w:val="22"/>
        </w:rPr>
        <w:t xml:space="preserve">A seed should be filed under COSMIC_LAYER: S4 (geometry/yantra), EPISTEMIC_MODE: synthesis, THESIS_ROLE: structural_correspondence. The core thesis: the exterior electromagnetic field of a triadic toroidal conductor is physically identical in topology to the geometric structure encoded in classical yantra forms. If demonstrated computationally (e.g., via finite element field simulation of three toroidal sources), this would promote from SYNTHESIS to OBSERVED.</w:t>
      </w:r>
    </w:p>
    <w:p>
      <w:pPr>
        <w:spacing w:after="0" w:before="160"/>
      </w:pPr>
    </w:p>
    <w:p>
      <w:pPr>
        <w:pStyle w:val="Heading2"/>
        <w:pBdr>
          <w:bottom w:val="single" w:color="B87B1A" w:sz="4" w:space="4"/>
        </w:pBdr>
        <w:spacing w:after="120" w:before="320"/>
      </w:pPr>
      <w:r>
        <w:rPr>
          <w:rFonts w:ascii="Arial" w:cs="Arial" w:eastAsia="Arial" w:hAnsi="Arial"/>
          <w:b/>
          <w:bCs/>
          <w:color w:val="2C2C4A"/>
          <w:sz w:val="26"/>
          <w:szCs w:val="26"/>
        </w:rPr>
        <w:t xml:space="preserve">Next research directions</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Finite element simulation of three toroidal conductor field interference — map exterior field topology, compare to yantra geometry</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Schauberger egg-groove cross-section fluid dynamics — has laminar flow advantage been experimentally confirmed in published literature?</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Mercury as toroidal conductor — what rotation velocity required for measurable poloidal field at bench scale?</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Vaimānika Śāstra — locate any description of multiple chambers or angular arrangement between them</w:t>
      </w:r>
    </w:p>
    <w:p>
      <w:pPr>
        <w:pStyle w:val="ListParagraph"/>
        <w:numPr>
          <w:ilvl w:val="0"/>
          <w:numId w:val="2"/>
        </w:numPr>
        <w:spacing w:after="60" w:before="60" w:line="300"/>
      </w:pPr>
      <w:r>
        <w:rPr>
          <w:rFonts w:ascii="Arial" w:cs="Arial" w:eastAsia="Arial" w:hAnsi="Arial"/>
          <w:i w:val="false"/>
          <w:iCs w:val="false"/>
          <w:color w:val="2C2C2A"/>
          <w:sz w:val="22"/>
          <w:szCs w:val="22"/>
        </w:rPr>
        <w:t xml:space="preserve">CP-violation as dissolution asymmetry — matter/antimatter confluence leaving a residue — map to bija/seed doctrine</w:t>
      </w:r>
    </w:p>
    <w:p>
      <w:pPr>
        <w:spacing w:after="0" w:before="240"/>
      </w:pPr>
    </w:p>
    <w:p>
      <w:pPr>
        <w:pBdr>
          <w:bottom w:val="single" w:color="F1EFE8" w:sz="4" w:space="1"/>
        </w:pBdr>
        <w:spacing w:after="200" w:before="200"/>
      </w:pPr>
    </w:p>
    <w:p>
      <w:pPr>
        <w:spacing w:after="0" w:before="80"/>
      </w:pPr>
      <w:r>
        <w:rPr>
          <w:rFonts w:ascii="Arial" w:cs="Arial" w:eastAsia="Arial" w:hAnsi="Arial"/>
          <w:color w:val="888780"/>
          <w:sz w:val="18"/>
          <w:szCs w:val="18"/>
        </w:rPr>
        <w:t xml:space="preserve">Atlas Research  ·  </w:t>
      </w:r>
      <w:r>
        <w:rPr>
          <w:rFonts w:ascii="Arial" w:cs="Arial" w:eastAsia="Arial" w:hAnsi="Arial"/>
          <w:color w:val="888780"/>
          <w:sz w:val="18"/>
          <w:szCs w:val="18"/>
        </w:rPr>
        <w:t xml:space="preserve">authority: guru  ·  stability: experimental  ·  </w:t>
      </w:r>
      <w:r>
        <w:rPr>
          <w:rFonts w:ascii="Arial" w:cs="Arial" w:eastAsia="Arial" w:hAnsi="Arial"/>
          <w:i/>
          <w:iCs/>
          <w:color w:val="888780"/>
          <w:sz w:val="18"/>
          <w:szCs w:val="18"/>
        </w:rPr>
        <w:t xml:space="preserve">do not promote without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C2C4A"/>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2026-04-07T09:02:51.484Z</dcterms:created>
  <dcterms:modified xsi:type="dcterms:W3CDTF">2026-04-07T09:02:51.485Z</dcterms:modified>
</cp:coreProperties>
</file>

<file path=docProps/custom.xml><?xml version="1.0" encoding="utf-8"?>
<Properties xmlns="http://schemas.openxmlformats.org/officeDocument/2006/custom-properties" xmlns:vt="http://schemas.openxmlformats.org/officeDocument/2006/docPropsVTypes"/>
</file>