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Hi Chip,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sharing this update. While I am disappointed that the Ad Board has not yet approved my petition, I am encouraged that the Ad Board will reconsider my request at their next meeting. I am working on rewriting the relevant sections of my proposal. Do you have any availability to meet and discuss my updated proposal via Zoom sometime this week?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Specifically, I would be grateful for your guidance on how to best address the Ad Board’s feedback in my updated proposal. I am slightly confused about their concerns since I only have two classes left to complete my requirements for the Concurrent Master’s degree; thus, the Master’s requirements are already fulfilled in my proposed two semester schedule. All additional 2XXX classes that were included in the three-semester plan are in no way a requirement for the Concurrent Master’s degree; rather, I am interested in taking them to obtain the specialized knowledge necessary to conduct my thesis research.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my updated proposal, I will clarify that CS 2630, which is a required course for the Concurrent Master's, was only moved to Fall 2025 in the three-semester plan as a scheduling choice to provide more time for thesis research in Fall 2024. Doing so would also allow me to take the optional CS 2822R elective in Fall 2024, which covers interpretability topics that would be valuable for my thesis work. Thus, all differences between the two-semester and three-semester proposed course schedules are in service of my goal to complete a strong and impactful thesis. Whether or not my request for a ninth semester is approved will have no bearing on my ability to complete the Concurrent Master’s in CS degree.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would be very appreciative for your guidance on how to expand on these statements and/or if there is any additional language that I should include to address the Ad Board’s concern prior to their next meeting. Please let me know if you have availability to connect via Zoom this week. I look forward to discussing.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Sincerely,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Iñaki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