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Describe how you have overcome a personal or professional challenge. How has this prepared you for the Goldman Sachs Possibilities Summits program?</w:t>
      </w:r>
      <w:r w:rsidDel="00000000" w:rsidR="00000000" w:rsidRPr="00000000">
        <w:rPr>
          <w:rtl w:val="0"/>
        </w:rPr>
        <w:br w:type="textWrapping"/>
        <w:br w:type="textWrapping"/>
        <w:t xml:space="preserve">During my first two years of college, I navigated the challenge of managing a growing startup in my home country while maintaining strong academic performance. The time zone differences and distance necessitated exceptional time management and efficient work processes.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learned to delegate tasks effectively, communicate clearly, and prioritize my responsibilities diligently, ensuring both my educational commitments and business responsibilities received the attention they required. This experience not only honed my organizational and leadership skills but also taught me the importance of resilience and adaptability in high-pressure situations.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skills are directly transferable to the Goldman Sachs Possibilities Summits program, where I anticipate multiple weeks packed with events. I am now better equipped to navigate the program’s demands, actively participate in its networking and skill-building opportunities, and contribute meaningfully to the diverse community at Goldman Sachs. This challenge has undoubtedly prepared me to thrive in the Possibilities Summits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