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Please tell us how you have spent each year since graduating secondary (high) school. Exact dates for employment and extracurricular activities may be given later in the applications.</w:t>
      </w:r>
    </w:p>
    <w:p w:rsidR="00000000" w:rsidDel="00000000" w:rsidP="00000000" w:rsidRDefault="00000000" w:rsidRPr="00000000" w14:paraId="00000003">
      <w:pPr>
        <w:rPr>
          <w:highlight w:val="yellow"/>
        </w:rPr>
      </w:pPr>
      <w:r w:rsidDel="00000000" w:rsidR="00000000" w:rsidRPr="00000000">
        <w:rPr>
          <w:b w:val="1"/>
          <w:rtl w:val="0"/>
        </w:rPr>
        <w:t xml:space="preserve">Word limit</w:t>
      </w:r>
      <w:r w:rsidDel="00000000" w:rsidR="00000000" w:rsidRPr="00000000">
        <w:rPr>
          <w:rtl w:val="0"/>
        </w:rPr>
        <w:t xml:space="preserve">: </w:t>
      </w:r>
      <w:r w:rsidDel="00000000" w:rsidR="00000000" w:rsidRPr="00000000">
        <w:rPr>
          <w:highlight w:val="yellow"/>
          <w:rtl w:val="0"/>
        </w:rPr>
        <w:t xml:space="preserve">400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graduated from high school in December 2019, right before the onset of the pandemic. The US embassy scheduled my visa interview for well after the beginning of classes in September 2020, so I decided to defer and enter Rice University in the fall of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Right after graduating, I visited relatives in Neuquén. From there I went to Bahía Blanca, where I spent a month living with my 102-year-old grandmother.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I returned to Buenos Aires in February 2020, I underwent spinal fusion surgery as treatment for my worsening scoliosis condition. I used the time I had to spend at home to recover to continue developing an app that made it easier for parents in Argentina with children with disabilities to access health services. This app is now used by the founder and soon to be tested by ten families, five doctors, and a small insurance firm.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also started Recyco, a recycling SaaS startup. Big consumer product companies, like Coca-Cola and Nestlé, want to increase the recycled plastic content in their products but lack the empty used packaging required for the recycling process, and their attempts to collect plastic packaging were failing. We built a software platform that allowed companies to manage their collection efforts digitally. This was paired with a consumer-facing application that made recycling easier by providing instructions, locations of stands, and even a home pick-up 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Simultaneously, Recyco was accepted into Rice Ventures, an accelerator program hosted by Rice’s startup club. Through Rice Ventures I met a Marine veteran working on an app connecting veterans to resources not readily available to them. After interviewing other veterans to learn about their experience, I joined his startup, Rutd, as interim CTO and kickstarted the development of their veteran-facing app and their NGO management dashboard.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Towards the end of 2020, I started working remotely part-time as a Venture Fellow at Romulus Capital, a VC firm based in Boston. During that time I expanded my knowledge of the US startup ecosystem, as well as what a company's operational and financial lifecycle looks like.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May 2021 I was promoted at Romulus to a full-time associate. I leveraged my deal management experience to begin sourcing and running due diligence for companies in Construction Tech and Real Estate Tech.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July 2021 I moved to Houston and spent 2 weeks living with my relatives before starting my studies at Rice.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