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rPr/>
      </w:pPr>
      <w:r>
        <w:rPr/>
        <w:t>You can’t tell an AI to build the whole app in one go. The repo is set up so it gets built in 22 short sessions, one task per session, with you checking each one before the next starts. A task can only start once the previous one’s checks pass and its work is merged.</w:t>
      </w:r>
    </w:p>
    <w:p>
      <w:pPr>
        <w:pStyle w:val="Heading3"/>
        <w:bidi w:val="0"/>
        <w:ind w:hanging="0" w:start="0" w:end="0"/>
        <w:rPr/>
      </w:pPr>
      <w:r>
        <w:rPr/>
        <w:t>One-time setup (about an hour)</w:t>
      </w:r>
    </w:p>
    <w:p>
      <w:pPr>
        <w:pStyle w:val="BodyText"/>
        <w:numPr>
          <w:ilvl w:val="0"/>
          <w:numId w:val="1"/>
        </w:numPr>
        <w:tabs>
          <w:tab w:val="clear" w:pos="709"/>
          <w:tab w:val="left" w:pos="709" w:leader="none"/>
        </w:tabs>
        <w:bidi w:val="0"/>
        <w:spacing w:before="0" w:after="0"/>
        <w:ind w:hanging="283" w:start="709" w:end="0"/>
        <w:rPr/>
      </w:pPr>
      <w:r>
        <w:rPr>
          <w:rStyle w:val="Strong"/>
        </w:rPr>
        <w:t>Pick an AI tool that can work on the repo.</w:t>
      </w:r>
      <w:r>
        <w:rPr/>
        <w:t xml:space="preserve"> Claude Code, Codex or Gemini CLI, or an editor agent such as Cursor, will do. They read and write files and run the test commands, and </w:t>
      </w:r>
      <w:r>
        <w:rPr>
          <w:rStyle w:val="SourceText"/>
        </w:rPr>
        <w:t>AGENTS.md</w:t>
      </w:r>
      <w:r>
        <w:rPr/>
        <w:t xml:space="preserve"> and </w:t>
      </w:r>
      <w:r>
        <w:rPr>
          <w:rStyle w:val="SourceText"/>
        </w:rPr>
        <w:t>CLAUDE.md</w:t>
      </w:r>
      <w:r>
        <w:rPr/>
        <w:t xml:space="preserve"> load automatically. A plain chat window works, but you’d have to paste files in and apply the output yourself. </w:t>
      </w:r>
    </w:p>
    <w:p>
      <w:pPr>
        <w:pStyle w:val="BodyText"/>
        <w:numPr>
          <w:ilvl w:val="0"/>
          <w:numId w:val="1"/>
        </w:numPr>
        <w:tabs>
          <w:tab w:val="clear" w:pos="709"/>
          <w:tab w:val="left" w:pos="709" w:leader="none"/>
        </w:tabs>
        <w:bidi w:val="0"/>
        <w:spacing w:before="0" w:after="0"/>
        <w:ind w:hanging="283" w:start="709"/>
        <w:rPr/>
      </w:pPr>
      <w:r>
        <w:rPr>
          <w:rStyle w:val="Strong"/>
        </w:rPr>
        <w:t>Install on your computer:</w:t>
      </w:r>
      <w:r>
        <w:rPr/>
        <w:t xml:space="preserve"> Node.js (current LTS), Git, Docker (for local Supabase), and the Supabase and Wrangler command-line tools. </w:t>
      </w:r>
    </w:p>
    <w:p>
      <w:pPr>
        <w:pStyle w:val="BodyText"/>
        <w:numPr>
          <w:ilvl w:val="0"/>
          <w:numId w:val="1"/>
        </w:numPr>
        <w:tabs>
          <w:tab w:val="clear" w:pos="709"/>
          <w:tab w:val="left" w:pos="709" w:leader="none"/>
        </w:tabs>
        <w:bidi w:val="0"/>
        <w:spacing w:before="0" w:after="0"/>
        <w:ind w:hanging="283" w:start="709"/>
        <w:rPr/>
      </w:pPr>
      <w:r>
        <w:rPr>
          <w:rStyle w:val="Strong"/>
        </w:rPr>
        <w:t>Create the accounts you’ll need later:</w:t>
      </w:r>
      <w:r>
        <w:rPr/>
        <w:t xml:space="preserve"> </w:t>
      </w:r>
    </w:p>
    <w:p>
      <w:pPr>
        <w:pStyle w:val="BodyText"/>
        <w:numPr>
          <w:ilvl w:val="1"/>
          <w:numId w:val="1"/>
        </w:numPr>
        <w:tabs>
          <w:tab w:val="clear" w:pos="709"/>
          <w:tab w:val="left" w:pos="1418" w:leader="none"/>
        </w:tabs>
        <w:bidi w:val="0"/>
        <w:spacing w:before="0" w:after="0"/>
        <w:ind w:hanging="283" w:start="1418" w:end="0"/>
        <w:rPr/>
      </w:pPr>
      <w:r>
        <w:rPr/>
        <w:t xml:space="preserve">Supabase (choose an EU region). </w:t>
      </w:r>
    </w:p>
    <w:p>
      <w:pPr>
        <w:pStyle w:val="BodyText"/>
        <w:numPr>
          <w:ilvl w:val="1"/>
          <w:numId w:val="1"/>
        </w:numPr>
        <w:tabs>
          <w:tab w:val="clear" w:pos="709"/>
          <w:tab w:val="left" w:pos="1418" w:leader="none"/>
        </w:tabs>
        <w:bidi w:val="0"/>
        <w:spacing w:before="0" w:after="0"/>
        <w:ind w:hanging="283" w:start="1418"/>
        <w:rPr/>
      </w:pPr>
      <w:r>
        <w:rPr/>
        <w:t xml:space="preserve">Cloudflare. </w:t>
      </w:r>
    </w:p>
    <w:p>
      <w:pPr>
        <w:pStyle w:val="BodyText"/>
        <w:numPr>
          <w:ilvl w:val="1"/>
          <w:numId w:val="1"/>
        </w:numPr>
        <w:tabs>
          <w:tab w:val="clear" w:pos="709"/>
          <w:tab w:val="left" w:pos="1418" w:leader="none"/>
        </w:tabs>
        <w:bidi w:val="0"/>
        <w:spacing w:before="0" w:after="0"/>
        <w:ind w:hanging="283" w:start="1418"/>
        <w:rPr/>
      </w:pPr>
      <w:r>
        <w:rPr/>
        <w:t xml:space="preserve">A Tesla developer account. Start this early, because approval and cost are unknown until TASK-00 researches them. </w:t>
      </w:r>
    </w:p>
    <w:p>
      <w:pPr>
        <w:pStyle w:val="BodyText"/>
        <w:numPr>
          <w:ilvl w:val="0"/>
          <w:numId w:val="1"/>
        </w:numPr>
        <w:tabs>
          <w:tab w:val="clear" w:pos="709"/>
          <w:tab w:val="left" w:pos="709" w:leader="none"/>
        </w:tabs>
        <w:bidi w:val="0"/>
        <w:spacing w:before="0" w:after="0"/>
        <w:ind w:hanging="283" w:start="709" w:end="0"/>
        <w:rPr/>
      </w:pPr>
      <w:r>
        <w:rPr>
          <w:rStyle w:val="Strong"/>
        </w:rPr>
        <w:t xml:space="preserve">Protect </w:t>
      </w:r>
      <w:r>
        <w:rPr>
          <w:rStyle w:val="SourceText"/>
        </w:rPr>
        <w:t>main</w:t>
      </w:r>
      <w:r>
        <w:rPr>
          <w:rStyle w:val="Strong"/>
        </w:rPr>
        <w:t xml:space="preserve"> on GitHub.</w:t>
      </w:r>
      <w:r>
        <w:rPr/>
        <w:t xml:space="preserve"> Require pull requests and passing checks, and turn on private vulnerability reporting. </w:t>
      </w:r>
    </w:p>
    <w:p>
      <w:pPr>
        <w:pStyle w:val="BodyText"/>
        <w:numPr>
          <w:ilvl w:val="0"/>
          <w:numId w:val="1"/>
        </w:numPr>
        <w:tabs>
          <w:tab w:val="clear" w:pos="709"/>
          <w:tab w:val="left" w:pos="709" w:leader="none"/>
        </w:tabs>
        <w:bidi w:val="0"/>
        <w:ind w:hanging="283" w:start="709"/>
        <w:rPr/>
      </w:pPr>
      <w:r>
        <w:rPr>
          <w:rStyle w:val="Strong"/>
        </w:rPr>
        <w:t>Clone the repo</w:t>
      </w:r>
      <w:r>
        <w:rPr/>
        <w:t xml:space="preserve"> and open the AI tool in the repo root. </w:t>
      </w:r>
    </w:p>
    <w:p>
      <w:pPr>
        <w:pStyle w:val="Heading3"/>
        <w:bidi w:val="0"/>
        <w:ind w:hanging="0" w:start="0" w:end="0"/>
        <w:rPr/>
      </w:pPr>
      <w:r>
        <w:rPr/>
        <w:t>The loop for every task</w:t>
      </w:r>
    </w:p>
    <w:p>
      <w:pPr>
        <w:pStyle w:val="BodyText"/>
        <w:numPr>
          <w:ilvl w:val="0"/>
          <w:numId w:val="2"/>
        </w:numPr>
        <w:tabs>
          <w:tab w:val="clear" w:pos="709"/>
          <w:tab w:val="left" w:pos="709" w:leader="none"/>
        </w:tabs>
        <w:bidi w:val="0"/>
        <w:spacing w:before="0" w:after="0"/>
        <w:ind w:hanging="283" w:start="709" w:end="0"/>
        <w:rPr/>
      </w:pPr>
      <w:r>
        <w:rPr/>
        <w:t xml:space="preserve">Start a </w:t>
      </w:r>
      <w:r>
        <w:rPr>
          <w:rStyle w:val="Strong"/>
        </w:rPr>
        <w:t>fresh AI session</w:t>
      </w:r>
      <w:r>
        <w:rPr/>
        <w:t xml:space="preserve"> in the repo root. Don’t continue from the previous task’s chat. </w:t>
      </w:r>
    </w:p>
    <w:p>
      <w:pPr>
        <w:pStyle w:val="BodyText"/>
        <w:numPr>
          <w:ilvl w:val="0"/>
          <w:numId w:val="2"/>
        </w:numPr>
        <w:tabs>
          <w:tab w:val="clear" w:pos="709"/>
          <w:tab w:val="left" w:pos="709" w:leader="none"/>
        </w:tabs>
        <w:bidi w:val="0"/>
        <w:ind w:hanging="283" w:start="709"/>
        <w:rPr/>
      </w:pPr>
      <w:r>
        <w:rPr/>
        <w:t xml:space="preserve">Give it this, changing the task number: </w:t>
      </w:r>
    </w:p>
    <w:p>
      <w:pPr>
        <w:pStyle w:val="BlockQuotation"/>
        <w:numPr>
          <w:ilvl w:val="0"/>
          <w:numId w:val="0"/>
        </w:numPr>
        <w:bidi w:val="0"/>
        <w:ind w:hanging="0" w:start="567" w:end="567"/>
        <w:rPr/>
      </w:pPr>
      <w:r>
        <w:rPr/>
        <w:t xml:space="preserve">Do TASK-00. Read </w:t>
      </w:r>
      <w:r>
        <w:rPr>
          <w:rStyle w:val="SourceText"/>
        </w:rPr>
        <w:t>AGENTS.md</w:t>
      </w:r>
      <w:r>
        <w:rPr/>
        <w:t xml:space="preserve">, </w:t>
      </w:r>
      <w:r>
        <w:rPr>
          <w:rStyle w:val="SourceText"/>
        </w:rPr>
        <w:t>docs/ai-build-kit/02-PROJECT-CONTEXT.md</w:t>
      </w:r>
      <w:r>
        <w:rPr/>
        <w:t xml:space="preserve">, </w:t>
      </w:r>
      <w:r>
        <w:rPr>
          <w:rStyle w:val="SourceText"/>
        </w:rPr>
        <w:t>docs/ai-build-kit/04-REPO-STRUCTURE.md</w:t>
      </w:r>
      <w:r>
        <w:rPr/>
        <w:t xml:space="preserve">, the task file </w:t>
      </w:r>
      <w:r>
        <w:rPr>
          <w:rStyle w:val="SourceText"/>
        </w:rPr>
        <w:t>docs/ai-build-kit/tasks/TASK-00-tesla-feasibility-spike.md</w:t>
      </w:r>
      <w:r>
        <w:rPr/>
        <w:t xml:space="preserve"> and the previous handoff in </w:t>
      </w:r>
      <w:r>
        <w:rPr>
          <w:rStyle w:val="SourceText"/>
        </w:rPr>
        <w:t>docs/handoffs/</w:t>
      </w:r>
      <w:r>
        <w:rPr/>
        <w:t>. Start with the plan step and stop if a stop condition triggers.</w:t>
      </w:r>
    </w:p>
    <w:p>
      <w:pPr>
        <w:pStyle w:val="BodyText"/>
        <w:numPr>
          <w:ilvl w:val="0"/>
          <w:numId w:val="2"/>
        </w:numPr>
        <w:tabs>
          <w:tab w:val="clear" w:pos="709"/>
          <w:tab w:val="left" w:pos="709" w:leader="none"/>
        </w:tabs>
        <w:bidi w:val="0"/>
        <w:spacing w:before="0" w:after="0"/>
        <w:ind w:hanging="283" w:start="709"/>
        <w:rPr/>
      </w:pPr>
      <w:r>
        <w:rPr>
          <w:rStyle w:val="Strong"/>
        </w:rPr>
        <w:t>Read its plan before it writes code.</w:t>
      </w:r>
      <w:r>
        <w:rPr/>
        <w:t xml:space="preserve"> If the plan touches files outside the task’s listed paths or invents anything, correct it. </w:t>
      </w:r>
    </w:p>
    <w:p>
      <w:pPr>
        <w:pStyle w:val="BodyText"/>
        <w:numPr>
          <w:ilvl w:val="0"/>
          <w:numId w:val="2"/>
        </w:numPr>
        <w:tabs>
          <w:tab w:val="clear" w:pos="709"/>
          <w:tab w:val="left" w:pos="709" w:leader="none"/>
        </w:tabs>
        <w:bidi w:val="0"/>
        <w:spacing w:before="0" w:after="0"/>
        <w:ind w:hanging="283" w:start="709" w:end="0"/>
        <w:rPr/>
      </w:pPr>
      <w:r>
        <w:rPr>
          <w:rStyle w:val="Strong"/>
        </w:rPr>
        <w:t>Let it work, then run the checks yourself</w:t>
      </w:r>
      <w:r>
        <w:rPr/>
        <w:t xml:space="preserve"> (</w:t>
      </w:r>
      <w:r>
        <w:rPr>
          <w:rStyle w:val="SourceText"/>
        </w:rPr>
        <w:t>npm run typecheck</w:t>
      </w:r>
      <w:r>
        <w:rPr/>
        <w:t xml:space="preserve">, </w:t>
      </w:r>
      <w:r>
        <w:rPr>
          <w:rStyle w:val="SourceText"/>
        </w:rPr>
        <w:t>lint</w:t>
      </w:r>
      <w:r>
        <w:rPr/>
        <w:t xml:space="preserve">, </w:t>
      </w:r>
      <w:r>
        <w:rPr>
          <w:rStyle w:val="SourceText"/>
        </w:rPr>
        <w:t>test</w:t>
      </w:r>
      <w:r>
        <w:rPr/>
        <w:t xml:space="preserve">, </w:t>
      </w:r>
      <w:r>
        <w:rPr>
          <w:rStyle w:val="SourceText"/>
        </w:rPr>
        <w:t>build</w:t>
      </w:r>
      <w:r>
        <w:rPr/>
        <w:t xml:space="preserve">). Don’t accept “tests pass” without seeing the output. </w:t>
      </w:r>
    </w:p>
    <w:p>
      <w:pPr>
        <w:pStyle w:val="BodyText"/>
        <w:numPr>
          <w:ilvl w:val="0"/>
          <w:numId w:val="2"/>
        </w:numPr>
        <w:tabs>
          <w:tab w:val="clear" w:pos="709"/>
          <w:tab w:val="left" w:pos="709" w:leader="none"/>
        </w:tabs>
        <w:bidi w:val="0"/>
        <w:spacing w:before="0" w:after="0"/>
        <w:ind w:hanging="283" w:start="709" w:end="0"/>
        <w:rPr/>
      </w:pPr>
      <w:r>
        <w:rPr>
          <w:rStyle w:val="Strong"/>
        </w:rPr>
        <w:t>Have it open a pull request</w:t>
      </w:r>
      <w:r>
        <w:rPr/>
        <w:t xml:space="preserve"> from a </w:t>
      </w:r>
      <w:r>
        <w:rPr>
          <w:rStyle w:val="SourceText"/>
        </w:rPr>
        <w:t>task-NN-&lt;slug&gt;</w:t>
      </w:r>
      <w:r>
        <w:rPr/>
        <w:t xml:space="preserve"> branch. Review the PR, merge it, and tag </w:t>
      </w:r>
      <w:r>
        <w:rPr>
          <w:rStyle w:val="SourceText"/>
        </w:rPr>
        <w:t>task-NN-done</w:t>
      </w:r>
      <w:r>
        <w:rPr/>
        <w:t xml:space="preserve">. </w:t>
      </w:r>
    </w:p>
    <w:p>
      <w:pPr>
        <w:pStyle w:val="BodyText"/>
        <w:numPr>
          <w:ilvl w:val="0"/>
          <w:numId w:val="2"/>
        </w:numPr>
        <w:tabs>
          <w:tab w:val="clear" w:pos="709"/>
          <w:tab w:val="left" w:pos="709" w:leader="none"/>
        </w:tabs>
        <w:bidi w:val="0"/>
        <w:ind w:hanging="283" w:start="709" w:end="0"/>
        <w:rPr/>
      </w:pPr>
      <w:r>
        <w:rPr>
          <w:rStyle w:val="Strong"/>
        </w:rPr>
        <w:t>Move to the next task.</w:t>
      </w:r>
      <w:r>
        <w:rPr/>
        <w:t xml:space="preserve"> Tick the tracker in </w:t>
      </w:r>
      <w:r>
        <w:rPr>
          <w:rStyle w:val="SourceText"/>
        </w:rPr>
        <w:t>docs/ai-build-kit/00-README.md</w:t>
      </w:r>
      <w:r>
        <w:rPr/>
        <w:t xml:space="preserve">. </w:t>
      </w:r>
    </w:p>
    <w:p>
      <w:pPr>
        <w:pStyle w:val="Heading3"/>
        <w:bidi w:val="0"/>
        <w:ind w:hanging="0" w:start="0" w:end="0"/>
        <w:rPr/>
      </w:pPr>
      <w:r>
        <w:rPr/>
        <w:t>Order, and where you must step in</w:t>
      </w:r>
    </w:p>
    <w:tbl>
      <w:tblPr>
        <w:tblW w:w="9972" w:type="dxa"/>
        <w:jc w:val="start"/>
        <w:tblInd w:w="0" w:type="dxa"/>
        <w:tblLayout w:type="fixed"/>
        <w:tblCellMar>
          <w:top w:w="28" w:type="dxa"/>
          <w:start w:w="28" w:type="dxa"/>
          <w:bottom w:w="28" w:type="dxa"/>
          <w:end w:w="28" w:type="dxa"/>
        </w:tblCellMar>
      </w:tblPr>
      <w:tblGrid>
        <w:gridCol w:w="709"/>
        <w:gridCol w:w="2729"/>
        <w:gridCol w:w="6534"/>
      </w:tblGrid>
      <w:tr>
        <w:trPr>
          <w:tblHeader w:val="true"/>
        </w:trPr>
        <w:tc>
          <w:tcPr>
            <w:tcW w:w="709" w:type="dxa"/>
            <w:tcBorders/>
            <w:vAlign w:val="center"/>
          </w:tcPr>
          <w:p>
            <w:pPr>
              <w:pStyle w:val="TableHeading"/>
              <w:suppressLineNumbers/>
              <w:bidi w:val="0"/>
              <w:jc w:val="center"/>
              <w:rPr/>
            </w:pPr>
            <w:r>
              <w:rPr/>
              <w:t>Tasks</w:t>
            </w:r>
          </w:p>
        </w:tc>
        <w:tc>
          <w:tcPr>
            <w:tcW w:w="2729" w:type="dxa"/>
            <w:tcBorders/>
            <w:vAlign w:val="center"/>
          </w:tcPr>
          <w:p>
            <w:pPr>
              <w:pStyle w:val="TableHeading"/>
              <w:suppressLineNumbers/>
              <w:bidi w:val="0"/>
              <w:jc w:val="center"/>
              <w:rPr/>
            </w:pPr>
            <w:r>
              <w:rPr/>
              <w:t>What happens</w:t>
            </w:r>
          </w:p>
        </w:tc>
        <w:tc>
          <w:tcPr>
            <w:tcW w:w="6534" w:type="dxa"/>
            <w:tcBorders/>
            <w:vAlign w:val="center"/>
          </w:tcPr>
          <w:p>
            <w:pPr>
              <w:pStyle w:val="TableHeading"/>
              <w:suppressLineNumbers/>
              <w:bidi w:val="0"/>
              <w:jc w:val="center"/>
              <w:rPr/>
            </w:pPr>
            <w:r>
              <w:rPr/>
              <w:t>Your part</w:t>
            </w:r>
          </w:p>
        </w:tc>
      </w:tr>
      <w:tr>
        <w:trPr/>
        <w:tc>
          <w:tcPr>
            <w:tcW w:w="709" w:type="dxa"/>
            <w:tcBorders/>
            <w:vAlign w:val="center"/>
          </w:tcPr>
          <w:p>
            <w:pPr>
              <w:pStyle w:val="TableContents"/>
              <w:widowControl w:val="false"/>
              <w:suppressLineNumbers/>
              <w:bidi w:val="0"/>
              <w:rPr/>
            </w:pPr>
            <w:r>
              <w:rPr/>
              <w:t>00–01</w:t>
            </w:r>
          </w:p>
        </w:tc>
        <w:tc>
          <w:tcPr>
            <w:tcW w:w="2729" w:type="dxa"/>
            <w:tcBorders/>
            <w:vAlign w:val="center"/>
          </w:tcPr>
          <w:p>
            <w:pPr>
              <w:pStyle w:val="TableContents"/>
              <w:widowControl w:val="false"/>
              <w:suppressLineNumbers/>
              <w:bidi w:val="0"/>
              <w:rPr/>
            </w:pPr>
            <w:r>
              <w:rPr/>
              <w:t>Research and architecture documents</w:t>
            </w:r>
          </w:p>
        </w:tc>
        <w:tc>
          <w:tcPr>
            <w:tcW w:w="6534" w:type="dxa"/>
            <w:tcBorders/>
            <w:vAlign w:val="center"/>
          </w:tcPr>
          <w:p>
            <w:pPr>
              <w:pStyle w:val="TableContents"/>
              <w:widowControl w:val="false"/>
              <w:suppressLineNumbers/>
              <w:bidi w:val="0"/>
              <w:rPr/>
            </w:pPr>
            <w:r>
              <w:rPr/>
              <w:t>Read them and answer the open questions. TASK-00 decides whether the app can really be subscription-free</w:t>
            </w:r>
          </w:p>
        </w:tc>
      </w:tr>
      <w:tr>
        <w:trPr/>
        <w:tc>
          <w:tcPr>
            <w:tcW w:w="709" w:type="dxa"/>
            <w:tcBorders/>
            <w:vAlign w:val="center"/>
          </w:tcPr>
          <w:p>
            <w:pPr>
              <w:pStyle w:val="TableContents"/>
              <w:widowControl w:val="false"/>
              <w:suppressLineNumbers/>
              <w:bidi w:val="0"/>
              <w:rPr/>
            </w:pPr>
            <w:r>
              <w:rPr/>
              <w:t>02</w:t>
            </w:r>
          </w:p>
        </w:tc>
        <w:tc>
          <w:tcPr>
            <w:tcW w:w="2729" w:type="dxa"/>
            <w:tcBorders/>
            <w:vAlign w:val="center"/>
          </w:tcPr>
          <w:p>
            <w:pPr>
              <w:pStyle w:val="TableContents"/>
              <w:widowControl w:val="false"/>
              <w:suppressLineNumbers/>
              <w:bidi w:val="0"/>
              <w:rPr/>
            </w:pPr>
            <w:r>
              <w:rPr/>
              <w:t>Project setup</w:t>
            </w:r>
          </w:p>
        </w:tc>
        <w:tc>
          <w:tcPr>
            <w:tcW w:w="6534" w:type="dxa"/>
            <w:tcBorders/>
            <w:vAlign w:val="center"/>
          </w:tcPr>
          <w:p>
            <w:pPr>
              <w:pStyle w:val="TableContents"/>
              <w:widowControl w:val="false"/>
              <w:suppressLineNumbers/>
              <w:bidi w:val="0"/>
              <w:rPr/>
            </w:pPr>
            <w:r>
              <w:rPr/>
              <w:t>Confirm all five checks pass from a clean clone</w:t>
            </w:r>
          </w:p>
        </w:tc>
      </w:tr>
      <w:tr>
        <w:trPr/>
        <w:tc>
          <w:tcPr>
            <w:tcW w:w="709" w:type="dxa"/>
            <w:tcBorders/>
            <w:vAlign w:val="center"/>
          </w:tcPr>
          <w:p>
            <w:pPr>
              <w:pStyle w:val="TableContents"/>
              <w:widowControl w:val="false"/>
              <w:suppressLineNumbers/>
              <w:bidi w:val="0"/>
              <w:rPr/>
            </w:pPr>
            <w:r>
              <w:rPr/>
              <w:t>03–04</w:t>
            </w:r>
          </w:p>
        </w:tc>
        <w:tc>
          <w:tcPr>
            <w:tcW w:w="2729" w:type="dxa"/>
            <w:tcBorders/>
            <w:vAlign w:val="center"/>
          </w:tcPr>
          <w:p>
            <w:pPr>
              <w:pStyle w:val="TableContents"/>
              <w:widowControl w:val="false"/>
              <w:suppressLineNumbers/>
              <w:bidi w:val="0"/>
              <w:rPr/>
            </w:pPr>
            <w:r>
              <w:rPr/>
              <w:t>Database and security rules</w:t>
            </w:r>
          </w:p>
        </w:tc>
        <w:tc>
          <w:tcPr>
            <w:tcW w:w="6534" w:type="dxa"/>
            <w:tcBorders/>
            <w:vAlign w:val="center"/>
          </w:tcPr>
          <w:p>
            <w:pPr>
              <w:pStyle w:val="TableContents"/>
              <w:widowControl w:val="false"/>
              <w:suppressLineNumbers/>
              <w:bidi w:val="0"/>
              <w:rPr/>
            </w:pPr>
            <w:r>
              <w:rPr/>
              <w:t>Read every migration and security policy yourself, because mistakes here are the costly ones. Run the SQL tests</w:t>
            </w:r>
          </w:p>
        </w:tc>
      </w:tr>
      <w:tr>
        <w:trPr/>
        <w:tc>
          <w:tcPr>
            <w:tcW w:w="709" w:type="dxa"/>
            <w:tcBorders/>
            <w:vAlign w:val="center"/>
          </w:tcPr>
          <w:p>
            <w:pPr>
              <w:pStyle w:val="TableContents"/>
              <w:widowControl w:val="false"/>
              <w:suppressLineNumbers/>
              <w:bidi w:val="0"/>
              <w:rPr/>
            </w:pPr>
            <w:r>
              <w:rPr/>
              <w:t>05–13</w:t>
            </w:r>
          </w:p>
        </w:tc>
        <w:tc>
          <w:tcPr>
            <w:tcW w:w="2729" w:type="dxa"/>
            <w:tcBorders/>
            <w:vAlign w:val="center"/>
          </w:tcPr>
          <w:p>
            <w:pPr>
              <w:pStyle w:val="TableContents"/>
              <w:widowControl w:val="false"/>
              <w:suppressLineNumbers/>
              <w:bidi w:val="0"/>
              <w:rPr/>
            </w:pPr>
            <w:r>
              <w:rPr/>
              <w:t>Types, UI, login, live view, tariffs, analytics</w:t>
            </w:r>
          </w:p>
        </w:tc>
        <w:tc>
          <w:tcPr>
            <w:tcW w:w="6534" w:type="dxa"/>
            <w:tcBorders/>
            <w:vAlign w:val="center"/>
          </w:tcPr>
          <w:p>
            <w:pPr>
              <w:pStyle w:val="TableContents"/>
              <w:widowControl w:val="false"/>
              <w:suppressLineNumbers/>
              <w:bidi w:val="0"/>
              <w:rPr/>
            </w:pPr>
            <w:r>
              <w:rPr/>
              <w:t>Check the app in a browser at phone and desktop widths</w:t>
            </w:r>
          </w:p>
        </w:tc>
      </w:tr>
      <w:tr>
        <w:trPr/>
        <w:tc>
          <w:tcPr>
            <w:tcW w:w="709" w:type="dxa"/>
            <w:tcBorders/>
            <w:vAlign w:val="center"/>
          </w:tcPr>
          <w:p>
            <w:pPr>
              <w:pStyle w:val="TableContents"/>
              <w:widowControl w:val="false"/>
              <w:suppressLineNumbers/>
              <w:bidi w:val="0"/>
              <w:rPr/>
            </w:pPr>
            <w:r>
              <w:rPr/>
              <w:t>14–16</w:t>
            </w:r>
          </w:p>
        </w:tc>
        <w:tc>
          <w:tcPr>
            <w:tcW w:w="2729" w:type="dxa"/>
            <w:tcBorders/>
            <w:vAlign w:val="center"/>
          </w:tcPr>
          <w:p>
            <w:pPr>
              <w:pStyle w:val="TableContents"/>
              <w:widowControl w:val="false"/>
              <w:suppressLineNumbers/>
              <w:bidi w:val="0"/>
              <w:rPr/>
            </w:pPr>
            <w:r>
              <w:rPr/>
              <w:t>Worker API, Tesla login, live data</w:t>
            </w:r>
          </w:p>
        </w:tc>
        <w:tc>
          <w:tcPr>
            <w:tcW w:w="6534" w:type="dxa"/>
            <w:tcBorders/>
            <w:vAlign w:val="center"/>
          </w:tcPr>
          <w:p>
            <w:pPr>
              <w:pStyle w:val="TableContents"/>
              <w:bidi w:val="0"/>
              <w:ind w:hanging="0" w:start="0" w:end="0"/>
              <w:rPr/>
            </w:pPr>
            <w:r>
              <w:rPr/>
              <w:t xml:space="preserve">Give it Tesla credentials through </w:t>
            </w:r>
            <w:r>
              <w:rPr>
                <w:rStyle w:val="SourceText"/>
              </w:rPr>
              <w:t>.dev.vars</w:t>
            </w:r>
            <w:r>
              <w:rPr/>
              <w:t>, never in chat. Live Tesla stays unverified until you test a real site by hand</w:t>
            </w:r>
          </w:p>
        </w:tc>
      </w:tr>
      <w:tr>
        <w:trPr/>
        <w:tc>
          <w:tcPr>
            <w:tcW w:w="709" w:type="dxa"/>
            <w:tcBorders/>
            <w:vAlign w:val="center"/>
          </w:tcPr>
          <w:p>
            <w:pPr>
              <w:pStyle w:val="TableContents"/>
              <w:widowControl w:val="false"/>
              <w:suppressLineNumbers/>
              <w:bidi w:val="0"/>
              <w:rPr/>
            </w:pPr>
            <w:r>
              <w:rPr/>
              <w:t>17–19</w:t>
            </w:r>
          </w:p>
        </w:tc>
        <w:tc>
          <w:tcPr>
            <w:tcW w:w="2729" w:type="dxa"/>
            <w:tcBorders/>
            <w:vAlign w:val="center"/>
          </w:tcPr>
          <w:p>
            <w:pPr>
              <w:pStyle w:val="TableContents"/>
              <w:widowControl w:val="false"/>
              <w:suppressLineNumbers/>
              <w:bidi w:val="0"/>
              <w:rPr/>
            </w:pPr>
            <w:r>
              <w:rPr/>
              <w:t>Controls, automation, admin</w:t>
            </w:r>
          </w:p>
        </w:tc>
        <w:tc>
          <w:tcPr>
            <w:tcW w:w="6534" w:type="dxa"/>
            <w:tcBorders/>
            <w:vAlign w:val="center"/>
          </w:tcPr>
          <w:p>
            <w:pPr>
              <w:pStyle w:val="TableContents"/>
              <w:widowControl w:val="false"/>
              <w:suppressLineNumbers/>
              <w:bidi w:val="0"/>
              <w:rPr/>
            </w:pPr>
            <w:r>
              <w:rPr/>
              <w:t>Test controls only by hand, with the mock first and a real device last. Automation stays in dry-run</w:t>
            </w:r>
          </w:p>
        </w:tc>
      </w:tr>
      <w:tr>
        <w:trPr/>
        <w:tc>
          <w:tcPr>
            <w:tcW w:w="709" w:type="dxa"/>
            <w:tcBorders/>
            <w:vAlign w:val="center"/>
          </w:tcPr>
          <w:p>
            <w:pPr>
              <w:pStyle w:val="TableContents"/>
              <w:widowControl w:val="false"/>
              <w:suppressLineNumbers/>
              <w:bidi w:val="0"/>
              <w:rPr/>
            </w:pPr>
            <w:r>
              <w:rPr/>
              <w:t>20</w:t>
            </w:r>
          </w:p>
        </w:tc>
        <w:tc>
          <w:tcPr>
            <w:tcW w:w="2729" w:type="dxa"/>
            <w:tcBorders/>
            <w:vAlign w:val="center"/>
          </w:tcPr>
          <w:p>
            <w:pPr>
              <w:pStyle w:val="TableContents"/>
              <w:widowControl w:val="false"/>
              <w:suppressLineNumbers/>
              <w:bidi w:val="0"/>
              <w:rPr/>
            </w:pPr>
            <w:r>
              <w:rPr/>
              <w:t>Security audit</w:t>
            </w:r>
          </w:p>
        </w:tc>
        <w:tc>
          <w:tcPr>
            <w:tcW w:w="6534" w:type="dxa"/>
            <w:tcBorders/>
            <w:vAlign w:val="center"/>
          </w:tcPr>
          <w:p>
            <w:pPr>
              <w:pStyle w:val="TableContents"/>
              <w:widowControl w:val="false"/>
              <w:suppressLineNumbers/>
              <w:bidi w:val="0"/>
              <w:rPr/>
            </w:pPr>
            <w:r>
              <w:rPr/>
              <w:t>Use a fresh session as an independent reviewer. Don’t deploy if it reports open critical or high findings</w:t>
            </w:r>
          </w:p>
        </w:tc>
      </w:tr>
      <w:tr>
        <w:trPr/>
        <w:tc>
          <w:tcPr>
            <w:tcW w:w="709" w:type="dxa"/>
            <w:tcBorders/>
            <w:vAlign w:val="center"/>
          </w:tcPr>
          <w:p>
            <w:pPr>
              <w:pStyle w:val="TableContents"/>
              <w:widowControl w:val="false"/>
              <w:suppressLineNumbers/>
              <w:bidi w:val="0"/>
              <w:rPr/>
            </w:pPr>
            <w:r>
              <w:rPr/>
              <w:t>21</w:t>
            </w:r>
          </w:p>
        </w:tc>
        <w:tc>
          <w:tcPr>
            <w:tcW w:w="2729" w:type="dxa"/>
            <w:tcBorders/>
            <w:vAlign w:val="center"/>
          </w:tcPr>
          <w:p>
            <w:pPr>
              <w:pStyle w:val="TableContents"/>
              <w:widowControl w:val="false"/>
              <w:suppressLineNumbers/>
              <w:bidi w:val="0"/>
              <w:rPr/>
            </w:pPr>
            <w:r>
              <w:rPr/>
              <w:t>Deployment</w:t>
            </w:r>
          </w:p>
        </w:tc>
        <w:tc>
          <w:tcPr>
            <w:tcW w:w="6534" w:type="dxa"/>
            <w:tcBorders/>
            <w:vAlign w:val="center"/>
          </w:tcPr>
          <w:p>
            <w:pPr>
              <w:pStyle w:val="TableContents"/>
              <w:widowControl w:val="false"/>
              <w:suppressLineNumbers/>
              <w:bidi w:val="0"/>
              <w:rPr/>
            </w:pPr>
            <w:r>
              <w:rPr/>
              <w:t>Set the real secrets yourself in Cloudflare, Supabase and GitHub</w:t>
            </w:r>
          </w:p>
        </w:tc>
      </w:tr>
    </w:tbl>
    <w:p>
      <w:pPr>
        <w:pStyle w:val="Heading3"/>
        <w:bidi w:val="0"/>
        <w:ind w:hanging="0" w:start="0" w:end="0"/>
        <w:rPr/>
      </w:pPr>
      <w:r>
        <w:rPr/>
        <w:t>Rules for yourself</w:t>
      </w:r>
    </w:p>
    <w:p>
      <w:pPr>
        <w:pStyle w:val="BodyText"/>
        <w:numPr>
          <w:ilvl w:val="0"/>
          <w:numId w:val="3"/>
        </w:numPr>
        <w:tabs>
          <w:tab w:val="clear" w:pos="709"/>
          <w:tab w:val="left" w:pos="709" w:leader="none"/>
        </w:tabs>
        <w:bidi w:val="0"/>
        <w:spacing w:before="0" w:after="0"/>
        <w:ind w:hanging="283" w:start="709" w:end="0"/>
        <w:rPr/>
      </w:pPr>
      <w:r>
        <w:rPr>
          <w:rStyle w:val="Strong"/>
        </w:rPr>
        <w:t>Never paste secrets</w:t>
      </w:r>
      <w:r>
        <w:rPr/>
        <w:t xml:space="preserve"> into a prompt. Use the placeholders in </w:t>
      </w:r>
      <w:r>
        <w:rPr>
          <w:rStyle w:val="SourceText"/>
        </w:rPr>
        <w:t>.env.example</w:t>
      </w:r>
      <w:r>
        <w:rPr/>
        <w:t xml:space="preserve">. </w:t>
      </w:r>
    </w:p>
    <w:p>
      <w:pPr>
        <w:pStyle w:val="BodyText"/>
        <w:numPr>
          <w:ilvl w:val="0"/>
          <w:numId w:val="3"/>
        </w:numPr>
        <w:tabs>
          <w:tab w:val="clear" w:pos="709"/>
          <w:tab w:val="left" w:pos="709" w:leader="none"/>
        </w:tabs>
        <w:bidi w:val="0"/>
        <w:spacing w:before="0" w:after="0"/>
        <w:ind w:hanging="283" w:start="709"/>
        <w:rPr/>
      </w:pPr>
      <w:r>
        <w:rPr>
          <w:rStyle w:val="Strong"/>
        </w:rPr>
        <w:t>Never merge a task whose security tests fail,</w:t>
      </w:r>
      <w:r>
        <w:rPr/>
        <w:t xml:space="preserve"> or one where the AI reports something as passing without showing the command and its output. </w:t>
      </w:r>
    </w:p>
    <w:p>
      <w:pPr>
        <w:pStyle w:val="BodyText"/>
        <w:numPr>
          <w:ilvl w:val="0"/>
          <w:numId w:val="3"/>
        </w:numPr>
        <w:tabs>
          <w:tab w:val="clear" w:pos="709"/>
          <w:tab w:val="left" w:pos="709" w:leader="none"/>
        </w:tabs>
        <w:bidi w:val="0"/>
        <w:spacing w:before="0" w:after="0"/>
        <w:ind w:hanging="283" w:start="709"/>
        <w:rPr/>
      </w:pPr>
      <w:r>
        <w:rPr>
          <w:rStyle w:val="Strong"/>
        </w:rPr>
        <w:t>Don’t let it combine tasks,</w:t>
      </w:r>
      <w:r>
        <w:rPr/>
        <w:t xml:space="preserve"> even if it offers. </w:t>
      </w:r>
    </w:p>
    <w:p>
      <w:pPr>
        <w:pStyle w:val="BodyText"/>
        <w:numPr>
          <w:ilvl w:val="0"/>
          <w:numId w:val="3"/>
        </w:numPr>
        <w:tabs>
          <w:tab w:val="clear" w:pos="709"/>
          <w:tab w:val="left" w:pos="709" w:leader="none"/>
        </w:tabs>
        <w:bidi w:val="0"/>
        <w:spacing w:before="0" w:after="0"/>
        <w:ind w:hanging="283" w:start="709"/>
        <w:rPr/>
      </w:pPr>
      <w:r>
        <w:rPr>
          <w:rStyle w:val="Strong"/>
        </w:rPr>
        <w:t>If it gets stuck or goes in circles,</w:t>
      </w:r>
      <w:r>
        <w:rPr/>
        <w:t xml:space="preserve"> start a fresh session on the same task, point it at its own handoff and the failing output, and ask it to fix only that. </w:t>
      </w:r>
    </w:p>
    <w:p>
      <w:pPr>
        <w:pStyle w:val="BodyText"/>
        <w:numPr>
          <w:ilvl w:val="0"/>
          <w:numId w:val="3"/>
        </w:numPr>
        <w:tabs>
          <w:tab w:val="clear" w:pos="709"/>
          <w:tab w:val="left" w:pos="709" w:leader="none"/>
        </w:tabs>
        <w:bidi w:val="0"/>
        <w:spacing w:before="0" w:after="0"/>
        <w:ind w:hanging="283" w:start="709"/>
        <w:rPr/>
      </w:pPr>
      <w:r>
        <w:rPr>
          <w:rStyle w:val="Strong"/>
        </w:rPr>
        <w:t>If a task output is truncated,</w:t>
      </w:r>
      <w:r>
        <w:rPr/>
        <w:t xml:space="preserve"> tell it to resume at the exact file and line. </w:t>
      </w:r>
    </w:p>
    <w:p>
      <w:pPr>
        <w:pStyle w:val="BodyText"/>
        <w:numPr>
          <w:ilvl w:val="0"/>
          <w:numId w:val="3"/>
        </w:numPr>
        <w:tabs>
          <w:tab w:val="clear" w:pos="709"/>
          <w:tab w:val="left" w:pos="709" w:leader="none"/>
        </w:tabs>
        <w:bidi w:val="0"/>
        <w:ind w:hanging="283" w:start="709" w:end="0"/>
        <w:rPr/>
      </w:pPr>
      <w:r>
        <w:rPr>
          <w:rStyle w:val="Strong"/>
        </w:rPr>
        <w:t>Keep the registers current.</w:t>
      </w:r>
      <w:r>
        <w:rPr/>
        <w:t xml:space="preserve"> </w:t>
      </w:r>
      <w:r>
        <w:rPr>
          <w:rStyle w:val="SourceText"/>
        </w:rPr>
        <w:t>docs/DECISIONS.md</w:t>
      </w:r>
      <w:r>
        <w:rPr/>
        <w:t xml:space="preserve"> and </w:t>
      </w:r>
      <w:r>
        <w:rPr>
          <w:rStyle w:val="SourceText"/>
        </w:rPr>
        <w:t>docs/KNOWN_LIMITATIONS.md</w:t>
      </w:r>
      <w:r>
        <w:rPr/>
        <w:t xml:space="preserve"> are what stop an AI from quietly undoing earlier choices. </w:t>
      </w:r>
    </w:p>
    <w:p>
      <w:pPr>
        <w:pStyle w:val="Heading3"/>
        <w:bidi w:val="0"/>
        <w:ind w:hanging="0" w:start="0" w:end="0"/>
        <w:rPr/>
      </w:pPr>
      <w:r>
        <w:rPr/>
        <w:t>What to expect</w:t>
      </w:r>
    </w:p>
    <w:p>
      <w:pPr>
        <w:pStyle w:val="BodyText"/>
        <w:bidi w:val="0"/>
        <w:ind w:hanging="0" w:start="0" w:end="0"/>
        <w:rPr/>
      </w:pPr>
      <w:r>
        <w:rPr/>
        <w:t>This will take many sessions over days or weeks, depending on how fast you review. The Tesla integration is the main unknown. Whether it works, costs money, or needs approval depends on Tesla’s current terms and your hardware, and nothing in the repo can confirm that yet. TASK-00 is where you find out, so do it first, before spending time on the rest.</w:t>
      </w:r>
    </w:p>
    <w:p>
      <w:pPr>
        <w:pStyle w:val="Normal"/>
        <w:bidi w:val="0"/>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NumberingSymbols">
    <w:name w:val="Numbering Symbols"/>
    <w:qFormat/>
    <w:rPr/>
  </w:style>
  <w:style w:type="character" w:styleId="Strong">
    <w:name w:val="Strong"/>
    <w:qFormat/>
    <w:rPr>
      <w:b/>
      <w:bCs/>
    </w:rPr>
  </w:style>
  <w:style w:type="character" w:styleId="SourceText">
    <w:name w:val="Source Text"/>
    <w:qFormat/>
    <w:rPr>
      <w:rFonts w:ascii="Liberation Mono" w:hAnsi="Liberation Mono" w:eastAsia="NSimSun"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LibreOffice/26.8.0.3$Windows_X86_64 LibreOffice_project/bce0998afefdbc355585ca324285661a2170ba77</Application>
  <AppVersion>15.0000</AppVersion>
  <Pages>2</Pages>
  <Words>696</Words>
  <Characters>3400</Characters>
  <CharactersWithSpaces>4036</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2026-10-21T15:04:56Z</dcterms:created>
  <dc:creator/>
  <dc:description/>
  <dc:language>en-US</dc:language>
  <cp:lastModifiedBy/>
  <dcterms:modified xsi:type="dcterms:W3CDTF">2026-10-21T15:05:37Z</dcterms:modified>
  <cp:revision>1</cp:revision>
  <dc:subject/>
  <dc:title/>
</cp:coreProperties>
</file>