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1D7" w:rsidRDefault="00B15FE3" w:rsidP="006B6720">
      <w:pPr>
        <w:pStyle w:val="Heading2"/>
        <w:rPr>
          <w:rFonts w:eastAsia="Times New Roman"/>
          <w:sz w:val="32"/>
          <w:szCs w:val="32"/>
          <w:lang w:eastAsia="en-GB"/>
        </w:rPr>
      </w:pPr>
      <w:proofErr w:type="spellStart"/>
      <w:r>
        <w:rPr>
          <w:rFonts w:eastAsia="Times New Roman"/>
          <w:sz w:val="32"/>
          <w:szCs w:val="32"/>
          <w:lang w:eastAsia="en-GB"/>
        </w:rPr>
        <w:t>HAProp</w:t>
      </w:r>
      <w:proofErr w:type="spellEnd"/>
      <w:r w:rsidR="00F851D7" w:rsidRPr="006B6720">
        <w:rPr>
          <w:rFonts w:eastAsia="Times New Roman"/>
          <w:sz w:val="32"/>
          <w:szCs w:val="32"/>
          <w:lang w:eastAsia="en-GB"/>
        </w:rPr>
        <w:t xml:space="preserve"> in </w:t>
      </w:r>
      <w:proofErr w:type="spellStart"/>
      <w:r w:rsidR="00F851D7" w:rsidRPr="006B6720">
        <w:rPr>
          <w:rFonts w:eastAsia="Times New Roman"/>
          <w:sz w:val="32"/>
          <w:szCs w:val="32"/>
          <w:lang w:eastAsia="en-GB"/>
        </w:rPr>
        <w:t>Labview</w:t>
      </w:r>
      <w:proofErr w:type="spellEnd"/>
    </w:p>
    <w:p w:rsidR="006B6720" w:rsidRDefault="00B15FE3" w:rsidP="00F851D7">
      <w:pPr>
        <w:rPr>
          <w:lang w:eastAsia="en-GB"/>
        </w:rPr>
      </w:pPr>
      <w:proofErr w:type="spellStart"/>
      <w:r>
        <w:rPr>
          <w:lang w:eastAsia="en-GB"/>
        </w:rPr>
        <w:t>Harshad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Inamdar</w:t>
      </w:r>
      <w:proofErr w:type="spellEnd"/>
      <w:r>
        <w:rPr>
          <w:lang w:eastAsia="en-GB"/>
        </w:rPr>
        <w:t xml:space="preserve">, </w:t>
      </w:r>
    </w:p>
    <w:p w:rsidR="00F851D7" w:rsidRDefault="006B6720" w:rsidP="00F851D7">
      <w:pPr>
        <w:pStyle w:val="Heading2"/>
      </w:pPr>
      <w:r>
        <w:t>How t</w:t>
      </w:r>
      <w:r w:rsidR="00F851D7">
        <w:t>o Install</w:t>
      </w:r>
    </w:p>
    <w:p w:rsidR="00F851D7" w:rsidRDefault="001803A7" w:rsidP="00B15FE3">
      <w:pPr>
        <w:spacing w:before="100" w:beforeAutospacing="1" w:after="100" w:afterAutospacing="1" w:line="240" w:lineRule="auto"/>
        <w:jc w:val="both"/>
      </w:pPr>
      <w:r>
        <w:rPr>
          <w:lang w:eastAsia="en-GB"/>
        </w:rPr>
        <w:t>Do</w:t>
      </w:r>
      <w:r>
        <w:t xml:space="preserve">wnload the files </w:t>
      </w:r>
      <w:proofErr w:type="spellStart"/>
      <w:r w:rsidRPr="001803A7">
        <w:rPr>
          <w:b/>
        </w:rPr>
        <w:t>CoolProp.llb</w:t>
      </w:r>
      <w:proofErr w:type="spellEnd"/>
      <w:r w:rsidR="00F851D7">
        <w:t xml:space="preserve"> and </w:t>
      </w:r>
      <w:r w:rsidR="00F851D7" w:rsidRPr="001803A7">
        <w:rPr>
          <w:b/>
        </w:rPr>
        <w:t>CoolProp.dll</w:t>
      </w:r>
      <w:r w:rsidR="00F851D7">
        <w:t xml:space="preserve"> </w:t>
      </w:r>
      <w:r>
        <w:t xml:space="preserve">to a folder on your hard drive. </w:t>
      </w:r>
      <w:r w:rsidR="00581B87">
        <w:t xml:space="preserve">Check if you have downloaded the library for the correct LabVIEW version, </w:t>
      </w:r>
      <w:r w:rsidR="00581B87" w:rsidRPr="00590E31">
        <w:t xml:space="preserve">and the </w:t>
      </w:r>
      <w:r w:rsidR="00DD6A44" w:rsidRPr="00590E31">
        <w:t>.</w:t>
      </w:r>
      <w:proofErr w:type="spellStart"/>
      <w:r w:rsidR="00581B87" w:rsidRPr="00590E31">
        <w:t>dll</w:t>
      </w:r>
      <w:proofErr w:type="spellEnd"/>
      <w:r w:rsidR="00581B87" w:rsidRPr="00590E31">
        <w:t xml:space="preserve"> for the correct version of Windows (32–bit or 64–bit). </w:t>
      </w:r>
      <w:r w:rsidRPr="00590E31">
        <w:t>The default path is</w:t>
      </w:r>
      <w:r w:rsidR="00581B87" w:rsidRPr="00590E31">
        <w:t xml:space="preserve"> </w:t>
      </w:r>
      <w:r w:rsidR="00581B87" w:rsidRPr="00590E31">
        <w:rPr>
          <w:u w:val="single"/>
        </w:rPr>
        <w:t>C:\Program Files (x86)\National Instruments\LabVIEW 2015\user.lib</w:t>
      </w:r>
      <w:r>
        <w:t>.</w:t>
      </w:r>
      <w:r w:rsidR="00581B87">
        <w:t xml:space="preserve"> V</w:t>
      </w:r>
      <w:r w:rsidR="00B15FE3">
        <w:t>I</w:t>
      </w:r>
      <w:r w:rsidR="00581B87">
        <w:t xml:space="preserve">s and VI libraries saved to the </w:t>
      </w:r>
      <w:r w:rsidR="00581B87" w:rsidRPr="00581B87">
        <w:rPr>
          <w:i/>
        </w:rPr>
        <w:t>User Libraries</w:t>
      </w:r>
      <w:r w:rsidR="00581B87">
        <w:t xml:space="preserve"> folder of LabVIEW should be visible in the </w:t>
      </w:r>
      <w:r w:rsidR="00581B87" w:rsidRPr="00581B87">
        <w:rPr>
          <w:i/>
        </w:rPr>
        <w:t>Functions</w:t>
      </w:r>
      <w:r w:rsidR="00581B87">
        <w:t xml:space="preserve"> panel of the </w:t>
      </w:r>
      <w:r w:rsidR="00581B87" w:rsidRPr="00581B87">
        <w:rPr>
          <w:i/>
        </w:rPr>
        <w:t>Block Diagram</w:t>
      </w:r>
      <w:r w:rsidR="00581B87">
        <w:t xml:space="preserve"> of a LabVIEW</w:t>
      </w:r>
      <w:r>
        <w:t xml:space="preserve"> </w:t>
      </w:r>
      <w:r w:rsidR="00581B87">
        <w:t xml:space="preserve">window. </w:t>
      </w:r>
      <w:r>
        <w:t xml:space="preserve">You can save the files </w:t>
      </w:r>
      <w:r w:rsidR="004C7CB8">
        <w:t>some</w:t>
      </w:r>
      <w:r>
        <w:t>w</w:t>
      </w:r>
      <w:r w:rsidR="004C7CB8">
        <w:t>he</w:t>
      </w:r>
      <w:r>
        <w:t xml:space="preserve">re </w:t>
      </w:r>
      <w:proofErr w:type="gramStart"/>
      <w:r>
        <w:t>else,</w:t>
      </w:r>
      <w:proofErr w:type="gramEnd"/>
      <w:r>
        <w:t xml:space="preserve"> in this case you have to modify the path</w:t>
      </w:r>
      <w:r w:rsidR="00B15FE3">
        <w:t xml:space="preserve"> </w:t>
      </w:r>
      <w:r w:rsidR="00B15FE3">
        <w:t>in the VI</w:t>
      </w:r>
      <w:r>
        <w:t>.</w:t>
      </w:r>
    </w:p>
    <w:p w:rsidR="00F851D7" w:rsidRDefault="00813983" w:rsidP="00B15FE3">
      <w:r>
        <w:t xml:space="preserve">Drag and drop the </w:t>
      </w:r>
      <w:r w:rsidR="00B15FE3">
        <w:rPr>
          <w:b/>
        </w:rPr>
        <w:t>CoolProp_HAProp_SI.vi</w:t>
      </w:r>
      <w:r>
        <w:rPr>
          <w:b/>
        </w:rPr>
        <w:t xml:space="preserve"> </w:t>
      </w:r>
      <w:r w:rsidR="00B15FE3">
        <w:t>VI</w:t>
      </w:r>
      <w:r w:rsidRPr="00813983">
        <w:t xml:space="preserve"> into the project </w:t>
      </w:r>
      <w:r w:rsidR="00B15FE3">
        <w:t xml:space="preserve">to use. </w:t>
      </w:r>
    </w:p>
    <w:p w:rsidR="00D15216" w:rsidRDefault="00B15FE3" w:rsidP="00813983">
      <w:r w:rsidRPr="004D10C9">
        <w:rPr>
          <w:i/>
          <w:noProof/>
          <w:lang w:eastAsia="en-GB"/>
        </w:rPr>
        <w:drawing>
          <wp:inline distT="0" distB="0" distL="0" distR="0" wp14:anchorId="17B326F6" wp14:editId="4EEA68BC">
            <wp:extent cx="417195" cy="445770"/>
            <wp:effectExtent l="0" t="0" r="1905" b="0"/>
            <wp:docPr id="5" name="Picture 5" descr="http://1.bp.blogspot.com/-Dlu9MXpSAZk/UCzEd5jPAHI/AAAAAAAAAZc/RX3-CSIIJnQ/s1600/tip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1.bp.blogspot.com/-Dlu9MXpSAZk/UCzEd5jPAHI/AAAAAAAAAZc/RX3-CSIIJnQ/s1600/tips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44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5FE3">
        <w:rPr>
          <w:i/>
        </w:rPr>
        <w:t xml:space="preserve"> </w:t>
      </w:r>
      <w:r w:rsidRPr="004D10C9">
        <w:rPr>
          <w:i/>
        </w:rPr>
        <w:t>Tip: After you</w:t>
      </w:r>
      <w:r>
        <w:rPr>
          <w:i/>
        </w:rPr>
        <w:t>’ve</w:t>
      </w:r>
      <w:r w:rsidRPr="004D10C9">
        <w:rPr>
          <w:i/>
        </w:rPr>
        <w:t xml:space="preserve"> adjusted the path, right click on it and go to Data Operations </w:t>
      </w:r>
      <w:r w:rsidRPr="004D10C9">
        <w:rPr>
          <w:i/>
        </w:rPr>
        <w:sym w:font="Wingdings" w:char="F0F0"/>
      </w:r>
      <w:r w:rsidRPr="004D10C9">
        <w:rPr>
          <w:i/>
        </w:rPr>
        <w:t xml:space="preserve"> Make Current Value Default.</w:t>
      </w:r>
      <w:r>
        <w:rPr>
          <w:i/>
        </w:rPr>
        <w:t xml:space="preserve"> </w:t>
      </w:r>
    </w:p>
    <w:p w:rsidR="00590E31" w:rsidRDefault="00590E31" w:rsidP="00813983"/>
    <w:p w:rsidR="00D15216" w:rsidRPr="00B15FE3" w:rsidRDefault="00D15216" w:rsidP="00590E31">
      <w:pPr>
        <w:pStyle w:val="Heading2"/>
      </w:pPr>
      <w:r w:rsidRPr="00B15FE3">
        <w:t>Input Code</w:t>
      </w:r>
    </w:p>
    <w:p w:rsidR="00581B87" w:rsidRPr="00B15FE3" w:rsidRDefault="00590E31" w:rsidP="00B94F72">
      <w:pPr>
        <w:jc w:val="both"/>
      </w:pPr>
      <w:r>
        <w:t xml:space="preserve">The first input argument </w:t>
      </w:r>
      <w:r w:rsidRPr="00B94F72">
        <w:rPr>
          <w:i/>
        </w:rPr>
        <w:t>must</w:t>
      </w:r>
      <w:r>
        <w:t xml:space="preserve"> be the dry bulb temperature, T</w:t>
      </w:r>
      <w:r w:rsidR="001D2C1C">
        <w:t xml:space="preserve"> in K</w:t>
      </w:r>
      <w:r>
        <w:t xml:space="preserve">. The third input argument </w:t>
      </w:r>
      <w:r w:rsidRPr="00B94F72">
        <w:rPr>
          <w:i/>
        </w:rPr>
        <w:t>must</w:t>
      </w:r>
      <w:r>
        <w:t xml:space="preserve"> be the absolute pressure, P</w:t>
      </w:r>
      <w:r w:rsidR="001D2C1C">
        <w:t xml:space="preserve"> in Pa</w:t>
      </w:r>
      <w:r>
        <w:t>. The second argument is the humidity parameter. Available options are:</w:t>
      </w:r>
    </w:p>
    <w:p w:rsidR="00581B87" w:rsidRPr="00B15FE3" w:rsidRDefault="00590E31" w:rsidP="00813983">
      <w:r>
        <w:t>B, D, R, W</w:t>
      </w:r>
      <w:bookmarkStart w:id="0" w:name="_GoBack"/>
      <w:bookmarkEnd w:id="0"/>
    </w:p>
    <w:p w:rsidR="00581B87" w:rsidRPr="00B15FE3" w:rsidRDefault="00581B87" w:rsidP="00813983">
      <w:r w:rsidRPr="00B15FE3">
        <w:t xml:space="preserve">Where, </w:t>
      </w:r>
    </w:p>
    <w:p w:rsidR="00581B87" w:rsidRPr="00B15FE3" w:rsidRDefault="00590E31" w:rsidP="00813983">
      <w:pPr>
        <w:contextualSpacing/>
      </w:pPr>
      <w:r>
        <w:t>B</w:t>
      </w:r>
      <w:r w:rsidR="00581B87" w:rsidRPr="00B15FE3">
        <w:t xml:space="preserve"> = </w:t>
      </w:r>
      <w:r>
        <w:t xml:space="preserve">wet bulb </w:t>
      </w:r>
      <w:r w:rsidR="00581B87" w:rsidRPr="00B15FE3">
        <w:t xml:space="preserve">temperature, K </w:t>
      </w:r>
    </w:p>
    <w:p w:rsidR="00581B87" w:rsidRPr="00B15FE3" w:rsidRDefault="00590E31" w:rsidP="00813983">
      <w:pPr>
        <w:contextualSpacing/>
      </w:pPr>
      <w:r>
        <w:t>D</w:t>
      </w:r>
      <w:r w:rsidR="00581B87" w:rsidRPr="00B15FE3">
        <w:t xml:space="preserve"> = </w:t>
      </w:r>
      <w:r>
        <w:t>dew point temperature</w:t>
      </w:r>
      <w:r w:rsidR="00581B87" w:rsidRPr="00B15FE3">
        <w:t xml:space="preserve">, </w:t>
      </w:r>
      <w:r>
        <w:t>K</w:t>
      </w:r>
      <w:r w:rsidR="00581B87" w:rsidRPr="00B15FE3">
        <w:t xml:space="preserve"> </w:t>
      </w:r>
    </w:p>
    <w:p w:rsidR="00581B87" w:rsidRPr="00590E31" w:rsidRDefault="00590E31" w:rsidP="00813983">
      <w:pPr>
        <w:contextualSpacing/>
        <w:rPr>
          <w:rFonts w:ascii="Times New Roman" w:hAnsi="Times New Roman" w:cs="Times New Roman"/>
        </w:rPr>
      </w:pPr>
      <w:r>
        <w:t>R</w:t>
      </w:r>
      <w:r w:rsidR="00581B87" w:rsidRPr="00B15FE3">
        <w:t xml:space="preserve"> = </w:t>
      </w:r>
      <w:r>
        <w:t>relative humidity</w:t>
      </w:r>
      <w:r w:rsidR="00581B87" w:rsidRPr="00B15FE3">
        <w:t xml:space="preserve">, </w:t>
      </w:r>
      <w:r>
        <w:t xml:space="preserve">— </w:t>
      </w:r>
    </w:p>
    <w:p w:rsidR="00581B87" w:rsidRDefault="00590E31" w:rsidP="00813983">
      <w:pPr>
        <w:contextualSpacing/>
      </w:pPr>
      <w:r>
        <w:t>W</w:t>
      </w:r>
      <w:r w:rsidR="00581B87" w:rsidRPr="00B15FE3">
        <w:t xml:space="preserve"> = </w:t>
      </w:r>
      <w:r>
        <w:t>humidity ratio</w:t>
      </w:r>
      <w:r w:rsidR="00581B87" w:rsidRPr="00B15FE3">
        <w:t>, kg</w:t>
      </w:r>
      <w:r>
        <w:t xml:space="preserve"> water vapour</w:t>
      </w:r>
      <w:r w:rsidR="00581B87" w:rsidRPr="00B15FE3">
        <w:t>/kg</w:t>
      </w:r>
      <w:r>
        <w:t xml:space="preserve"> dry air</w:t>
      </w:r>
      <w:r w:rsidR="00581B87" w:rsidRPr="00B15FE3">
        <w:t xml:space="preserve"> </w:t>
      </w:r>
    </w:p>
    <w:p w:rsidR="00581B87" w:rsidRDefault="00581B87" w:rsidP="00813983">
      <w:pPr>
        <w:rPr>
          <w:b/>
        </w:rPr>
      </w:pPr>
    </w:p>
    <w:p w:rsidR="00590E31" w:rsidRDefault="00590E31" w:rsidP="00B94F72">
      <w:pPr>
        <w:jc w:val="both"/>
      </w:pPr>
      <w:r>
        <w:t xml:space="preserve">Desired output arguments may be chosen from the table of </w:t>
      </w:r>
      <w:proofErr w:type="spellStart"/>
      <w:r>
        <w:t>HAPropsSI</w:t>
      </w:r>
      <w:proofErr w:type="spellEnd"/>
      <w:r>
        <w:t xml:space="preserve"> parameters table on the </w:t>
      </w:r>
      <w:proofErr w:type="spellStart"/>
      <w:r>
        <w:t>CoolProp</w:t>
      </w:r>
      <w:proofErr w:type="spellEnd"/>
      <w:r>
        <w:t xml:space="preserve"> website. </w:t>
      </w:r>
    </w:p>
    <w:p w:rsidR="004C7CB8" w:rsidRDefault="004C7CB8" w:rsidP="00813983"/>
    <w:p w:rsidR="006B6720" w:rsidRDefault="00F3188C" w:rsidP="00585F2F">
      <w:pPr>
        <w:pStyle w:val="Heading2"/>
      </w:pPr>
      <w:r>
        <w:t xml:space="preserve">Testing of </w:t>
      </w:r>
      <w:r w:rsidR="00B94F72">
        <w:t>moist air</w:t>
      </w:r>
      <w:r>
        <w:t xml:space="preserve"> properties returned by LabVIEW VI and values </w:t>
      </w:r>
      <w:r w:rsidR="00B94F72">
        <w:t xml:space="preserve">calculated by </w:t>
      </w:r>
      <w:proofErr w:type="spellStart"/>
      <w:r w:rsidR="00B94F72">
        <w:t>CoolProp.HAPropsSI</w:t>
      </w:r>
      <w:proofErr w:type="spellEnd"/>
      <w:r w:rsidR="00B94F72">
        <w:t xml:space="preserve"> called in Python </w:t>
      </w:r>
    </w:p>
    <w:p w:rsidR="00F3188C" w:rsidRPr="00F3188C" w:rsidRDefault="00F3188C" w:rsidP="00B15F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0"/>
        <w:gridCol w:w="987"/>
        <w:gridCol w:w="1218"/>
        <w:gridCol w:w="1039"/>
        <w:gridCol w:w="1001"/>
        <w:gridCol w:w="1084"/>
        <w:gridCol w:w="1166"/>
        <w:gridCol w:w="1537"/>
      </w:tblGrid>
      <w:tr w:rsidR="00515001" w:rsidRPr="00515001" w:rsidTr="00515001">
        <w:tc>
          <w:tcPr>
            <w:tcW w:w="1227" w:type="dxa"/>
            <w:vAlign w:val="center"/>
          </w:tcPr>
          <w:p w:rsidR="00515001" w:rsidRPr="00515001" w:rsidRDefault="00515001" w:rsidP="00515001">
            <w:pPr>
              <w:jc w:val="center"/>
              <w:rPr>
                <w:b/>
                <w:sz w:val="20"/>
              </w:rPr>
            </w:pPr>
            <w:r w:rsidRPr="00515001">
              <w:rPr>
                <w:b/>
                <w:sz w:val="20"/>
              </w:rPr>
              <w:t>Function call</w:t>
            </w:r>
          </w:p>
        </w:tc>
        <w:tc>
          <w:tcPr>
            <w:tcW w:w="1041" w:type="dxa"/>
            <w:vAlign w:val="center"/>
          </w:tcPr>
          <w:p w:rsidR="00515001" w:rsidRPr="00515001" w:rsidRDefault="00515001" w:rsidP="00515001">
            <w:pPr>
              <w:jc w:val="center"/>
              <w:rPr>
                <w:b/>
                <w:sz w:val="20"/>
              </w:rPr>
            </w:pPr>
            <w:r w:rsidRPr="00515001">
              <w:rPr>
                <w:b/>
                <w:sz w:val="20"/>
              </w:rPr>
              <w:t>T</w:t>
            </w:r>
          </w:p>
        </w:tc>
        <w:tc>
          <w:tcPr>
            <w:tcW w:w="1243" w:type="dxa"/>
            <w:vAlign w:val="center"/>
          </w:tcPr>
          <w:p w:rsidR="00515001" w:rsidRPr="00515001" w:rsidRDefault="00515001" w:rsidP="00515001">
            <w:pPr>
              <w:jc w:val="center"/>
              <w:rPr>
                <w:b/>
                <w:sz w:val="20"/>
              </w:rPr>
            </w:pPr>
            <w:r w:rsidRPr="00515001">
              <w:rPr>
                <w:b/>
                <w:sz w:val="20"/>
              </w:rPr>
              <w:t>Humidity parameter</w:t>
            </w:r>
          </w:p>
        </w:tc>
        <w:tc>
          <w:tcPr>
            <w:tcW w:w="1107" w:type="dxa"/>
            <w:vAlign w:val="center"/>
          </w:tcPr>
          <w:p w:rsidR="00515001" w:rsidRPr="00515001" w:rsidRDefault="00515001" w:rsidP="00515001">
            <w:pPr>
              <w:jc w:val="center"/>
              <w:rPr>
                <w:b/>
                <w:sz w:val="20"/>
              </w:rPr>
            </w:pPr>
            <w:r w:rsidRPr="00515001">
              <w:rPr>
                <w:b/>
                <w:sz w:val="20"/>
              </w:rPr>
              <w:t>Value</w:t>
            </w:r>
          </w:p>
        </w:tc>
        <w:tc>
          <w:tcPr>
            <w:tcW w:w="1047" w:type="dxa"/>
            <w:vAlign w:val="center"/>
          </w:tcPr>
          <w:p w:rsidR="00515001" w:rsidRPr="00515001" w:rsidRDefault="00515001" w:rsidP="00515001">
            <w:pPr>
              <w:jc w:val="center"/>
              <w:rPr>
                <w:b/>
                <w:sz w:val="20"/>
              </w:rPr>
            </w:pPr>
            <w:r w:rsidRPr="00515001">
              <w:rPr>
                <w:b/>
                <w:sz w:val="20"/>
              </w:rPr>
              <w:t>P</w:t>
            </w:r>
          </w:p>
        </w:tc>
        <w:tc>
          <w:tcPr>
            <w:tcW w:w="1145" w:type="dxa"/>
            <w:vAlign w:val="center"/>
          </w:tcPr>
          <w:p w:rsidR="00515001" w:rsidRPr="00515001" w:rsidRDefault="00515001" w:rsidP="00515001">
            <w:pPr>
              <w:jc w:val="center"/>
              <w:rPr>
                <w:b/>
                <w:sz w:val="20"/>
              </w:rPr>
            </w:pPr>
            <w:r w:rsidRPr="00515001">
              <w:rPr>
                <w:b/>
                <w:sz w:val="20"/>
              </w:rPr>
              <w:t>Output</w:t>
            </w:r>
          </w:p>
        </w:tc>
        <w:tc>
          <w:tcPr>
            <w:tcW w:w="1166" w:type="dxa"/>
            <w:vAlign w:val="center"/>
          </w:tcPr>
          <w:p w:rsidR="00515001" w:rsidRPr="00515001" w:rsidRDefault="00515001" w:rsidP="00515001">
            <w:pPr>
              <w:jc w:val="center"/>
              <w:rPr>
                <w:b/>
                <w:sz w:val="20"/>
              </w:rPr>
            </w:pPr>
            <w:r w:rsidRPr="00515001">
              <w:rPr>
                <w:b/>
                <w:sz w:val="20"/>
              </w:rPr>
              <w:t>LabVIEW VI</w:t>
            </w:r>
          </w:p>
        </w:tc>
        <w:tc>
          <w:tcPr>
            <w:tcW w:w="1266" w:type="dxa"/>
            <w:vAlign w:val="center"/>
          </w:tcPr>
          <w:p w:rsidR="00515001" w:rsidRPr="00515001" w:rsidRDefault="00515001" w:rsidP="00515001">
            <w:pPr>
              <w:jc w:val="center"/>
              <w:rPr>
                <w:b/>
                <w:sz w:val="20"/>
              </w:rPr>
            </w:pPr>
            <w:proofErr w:type="spellStart"/>
            <w:r w:rsidRPr="00515001">
              <w:rPr>
                <w:b/>
                <w:sz w:val="20"/>
              </w:rPr>
              <w:t>CoolProp</w:t>
            </w:r>
            <w:proofErr w:type="spellEnd"/>
          </w:p>
        </w:tc>
      </w:tr>
      <w:tr w:rsidR="00515001" w:rsidRPr="00515001" w:rsidTr="00515001">
        <w:tc>
          <w:tcPr>
            <w:tcW w:w="1227" w:type="dxa"/>
            <w:vAlign w:val="center"/>
          </w:tcPr>
          <w:p w:rsidR="00515001" w:rsidRPr="00515001" w:rsidRDefault="00515001" w:rsidP="0051500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HAPropsSI</w:t>
            </w:r>
            <w:proofErr w:type="spellEnd"/>
          </w:p>
        </w:tc>
        <w:tc>
          <w:tcPr>
            <w:tcW w:w="1041" w:type="dxa"/>
            <w:vAlign w:val="center"/>
          </w:tcPr>
          <w:p w:rsidR="00515001" w:rsidRPr="00515001" w:rsidRDefault="00515001" w:rsidP="00515001">
            <w:pPr>
              <w:jc w:val="right"/>
              <w:rPr>
                <w:sz w:val="20"/>
              </w:rPr>
            </w:pPr>
            <w:r>
              <w:rPr>
                <w:sz w:val="20"/>
              </w:rPr>
              <w:t>298.15</w:t>
            </w:r>
          </w:p>
        </w:tc>
        <w:tc>
          <w:tcPr>
            <w:tcW w:w="1243" w:type="dxa"/>
            <w:vAlign w:val="center"/>
          </w:tcPr>
          <w:p w:rsidR="00515001" w:rsidRPr="00515001" w:rsidRDefault="00515001" w:rsidP="00515001">
            <w:pPr>
              <w:rPr>
                <w:sz w:val="20"/>
              </w:rPr>
            </w:pPr>
            <w:r>
              <w:rPr>
                <w:sz w:val="20"/>
              </w:rPr>
              <w:t>R</w:t>
            </w:r>
          </w:p>
        </w:tc>
        <w:tc>
          <w:tcPr>
            <w:tcW w:w="1107" w:type="dxa"/>
            <w:vAlign w:val="center"/>
          </w:tcPr>
          <w:p w:rsidR="00515001" w:rsidRPr="00515001" w:rsidRDefault="00515001" w:rsidP="00515001">
            <w:pPr>
              <w:jc w:val="right"/>
              <w:rPr>
                <w:sz w:val="20"/>
              </w:rPr>
            </w:pPr>
            <w:r>
              <w:rPr>
                <w:sz w:val="20"/>
              </w:rPr>
              <w:t>0.5</w:t>
            </w:r>
          </w:p>
        </w:tc>
        <w:tc>
          <w:tcPr>
            <w:tcW w:w="1047" w:type="dxa"/>
            <w:vAlign w:val="center"/>
          </w:tcPr>
          <w:p w:rsidR="00515001" w:rsidRPr="00515001" w:rsidRDefault="00515001" w:rsidP="00515001">
            <w:pPr>
              <w:jc w:val="right"/>
              <w:rPr>
                <w:sz w:val="20"/>
              </w:rPr>
            </w:pPr>
            <w:r>
              <w:rPr>
                <w:sz w:val="20"/>
              </w:rPr>
              <w:t>101325</w:t>
            </w:r>
          </w:p>
        </w:tc>
        <w:tc>
          <w:tcPr>
            <w:tcW w:w="1145" w:type="dxa"/>
            <w:vAlign w:val="center"/>
          </w:tcPr>
          <w:p w:rsidR="00515001" w:rsidRPr="00515001" w:rsidRDefault="00515001" w:rsidP="00515001">
            <w:pPr>
              <w:jc w:val="right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166" w:type="dxa"/>
            <w:vAlign w:val="center"/>
          </w:tcPr>
          <w:p w:rsidR="00515001" w:rsidRPr="00515001" w:rsidRDefault="00515001" w:rsidP="00515001">
            <w:pPr>
              <w:jc w:val="right"/>
              <w:rPr>
                <w:sz w:val="20"/>
              </w:rPr>
            </w:pPr>
            <w:r w:rsidRPr="00515001">
              <w:rPr>
                <w:sz w:val="20"/>
              </w:rPr>
              <w:t>291.033</w:t>
            </w:r>
          </w:p>
        </w:tc>
        <w:tc>
          <w:tcPr>
            <w:tcW w:w="1266" w:type="dxa"/>
            <w:vAlign w:val="center"/>
          </w:tcPr>
          <w:p w:rsidR="00515001" w:rsidRPr="00515001" w:rsidRDefault="00515001" w:rsidP="00515001">
            <w:pPr>
              <w:jc w:val="right"/>
              <w:rPr>
                <w:rFonts w:ascii="Courier New" w:hAnsi="Courier New" w:cs="Courier New"/>
                <w:sz w:val="20"/>
              </w:rPr>
            </w:pPr>
            <w:r w:rsidRPr="00515001">
              <w:rPr>
                <w:rFonts w:ascii="Courier New" w:hAnsi="Courier New" w:cs="Courier New"/>
                <w:sz w:val="20"/>
              </w:rPr>
              <w:t>291.0334868</w:t>
            </w:r>
          </w:p>
        </w:tc>
      </w:tr>
      <w:tr w:rsidR="00515001" w:rsidRPr="00515001" w:rsidTr="00515001">
        <w:tc>
          <w:tcPr>
            <w:tcW w:w="1227" w:type="dxa"/>
            <w:vAlign w:val="center"/>
          </w:tcPr>
          <w:p w:rsidR="00515001" w:rsidRPr="00515001" w:rsidRDefault="00515001" w:rsidP="0051500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HAPropsSI</w:t>
            </w:r>
            <w:proofErr w:type="spellEnd"/>
          </w:p>
        </w:tc>
        <w:tc>
          <w:tcPr>
            <w:tcW w:w="1041" w:type="dxa"/>
            <w:vAlign w:val="center"/>
          </w:tcPr>
          <w:p w:rsidR="00515001" w:rsidRPr="00515001" w:rsidRDefault="00515001" w:rsidP="00515001">
            <w:pPr>
              <w:jc w:val="right"/>
              <w:rPr>
                <w:sz w:val="20"/>
              </w:rPr>
            </w:pPr>
            <w:r>
              <w:rPr>
                <w:sz w:val="20"/>
              </w:rPr>
              <w:t>298.15</w:t>
            </w:r>
          </w:p>
        </w:tc>
        <w:tc>
          <w:tcPr>
            <w:tcW w:w="1243" w:type="dxa"/>
            <w:vAlign w:val="center"/>
          </w:tcPr>
          <w:p w:rsidR="00515001" w:rsidRPr="00515001" w:rsidRDefault="00515001" w:rsidP="00515001">
            <w:pPr>
              <w:rPr>
                <w:sz w:val="20"/>
              </w:rPr>
            </w:pPr>
            <w:r>
              <w:rPr>
                <w:sz w:val="20"/>
              </w:rPr>
              <w:t>R</w:t>
            </w:r>
          </w:p>
        </w:tc>
        <w:tc>
          <w:tcPr>
            <w:tcW w:w="1107" w:type="dxa"/>
            <w:vAlign w:val="center"/>
          </w:tcPr>
          <w:p w:rsidR="00515001" w:rsidRPr="00515001" w:rsidRDefault="00515001" w:rsidP="00515001">
            <w:pPr>
              <w:jc w:val="right"/>
              <w:rPr>
                <w:sz w:val="20"/>
              </w:rPr>
            </w:pPr>
            <w:r>
              <w:rPr>
                <w:sz w:val="20"/>
              </w:rPr>
              <w:t>0.5</w:t>
            </w:r>
          </w:p>
        </w:tc>
        <w:tc>
          <w:tcPr>
            <w:tcW w:w="1047" w:type="dxa"/>
            <w:vAlign w:val="center"/>
          </w:tcPr>
          <w:p w:rsidR="00515001" w:rsidRPr="00515001" w:rsidRDefault="00515001" w:rsidP="00515001">
            <w:pPr>
              <w:jc w:val="right"/>
              <w:rPr>
                <w:sz w:val="20"/>
              </w:rPr>
            </w:pPr>
            <w:r>
              <w:rPr>
                <w:sz w:val="20"/>
              </w:rPr>
              <w:t>101325</w:t>
            </w:r>
          </w:p>
        </w:tc>
        <w:tc>
          <w:tcPr>
            <w:tcW w:w="1145" w:type="dxa"/>
            <w:vAlign w:val="center"/>
          </w:tcPr>
          <w:p w:rsidR="00515001" w:rsidRPr="00515001" w:rsidRDefault="00515001" w:rsidP="00515001">
            <w:pPr>
              <w:jc w:val="right"/>
              <w:rPr>
                <w:sz w:val="20"/>
              </w:rPr>
            </w:pPr>
            <w:r>
              <w:rPr>
                <w:sz w:val="20"/>
              </w:rPr>
              <w:t>D</w:t>
            </w:r>
          </w:p>
        </w:tc>
        <w:tc>
          <w:tcPr>
            <w:tcW w:w="1166" w:type="dxa"/>
            <w:vAlign w:val="center"/>
          </w:tcPr>
          <w:p w:rsidR="00515001" w:rsidRPr="00515001" w:rsidRDefault="00515001" w:rsidP="00515001">
            <w:pPr>
              <w:jc w:val="right"/>
              <w:rPr>
                <w:sz w:val="20"/>
              </w:rPr>
            </w:pPr>
            <w:r w:rsidRPr="00515001">
              <w:rPr>
                <w:sz w:val="20"/>
              </w:rPr>
              <w:t>287.017</w:t>
            </w:r>
          </w:p>
        </w:tc>
        <w:tc>
          <w:tcPr>
            <w:tcW w:w="1266" w:type="dxa"/>
            <w:vAlign w:val="center"/>
          </w:tcPr>
          <w:p w:rsidR="00515001" w:rsidRPr="00515001" w:rsidRDefault="00515001" w:rsidP="00515001">
            <w:pPr>
              <w:jc w:val="right"/>
              <w:rPr>
                <w:rFonts w:ascii="Courier New" w:hAnsi="Courier New" w:cs="Courier New"/>
                <w:sz w:val="20"/>
              </w:rPr>
            </w:pPr>
            <w:r w:rsidRPr="00515001">
              <w:rPr>
                <w:rFonts w:ascii="Courier New" w:hAnsi="Courier New" w:cs="Courier New"/>
                <w:sz w:val="20"/>
              </w:rPr>
              <w:t>287.0168866</w:t>
            </w:r>
          </w:p>
        </w:tc>
      </w:tr>
      <w:tr w:rsidR="00515001" w:rsidRPr="00515001" w:rsidTr="00515001">
        <w:tc>
          <w:tcPr>
            <w:tcW w:w="1227" w:type="dxa"/>
            <w:vAlign w:val="center"/>
          </w:tcPr>
          <w:p w:rsidR="00515001" w:rsidRPr="00515001" w:rsidRDefault="00515001" w:rsidP="0051500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HAPropsSI</w:t>
            </w:r>
            <w:proofErr w:type="spellEnd"/>
          </w:p>
        </w:tc>
        <w:tc>
          <w:tcPr>
            <w:tcW w:w="1041" w:type="dxa"/>
            <w:vAlign w:val="center"/>
          </w:tcPr>
          <w:p w:rsidR="00515001" w:rsidRPr="00515001" w:rsidRDefault="00515001" w:rsidP="00515001">
            <w:pPr>
              <w:jc w:val="right"/>
              <w:rPr>
                <w:sz w:val="20"/>
              </w:rPr>
            </w:pPr>
            <w:r>
              <w:rPr>
                <w:sz w:val="20"/>
              </w:rPr>
              <w:t>298.15</w:t>
            </w:r>
          </w:p>
        </w:tc>
        <w:tc>
          <w:tcPr>
            <w:tcW w:w="1243" w:type="dxa"/>
            <w:vAlign w:val="center"/>
          </w:tcPr>
          <w:p w:rsidR="00515001" w:rsidRPr="00515001" w:rsidRDefault="00515001" w:rsidP="00515001">
            <w:pPr>
              <w:rPr>
                <w:sz w:val="20"/>
              </w:rPr>
            </w:pPr>
            <w:r>
              <w:rPr>
                <w:sz w:val="20"/>
              </w:rPr>
              <w:t>R</w:t>
            </w:r>
          </w:p>
        </w:tc>
        <w:tc>
          <w:tcPr>
            <w:tcW w:w="1107" w:type="dxa"/>
            <w:vAlign w:val="center"/>
          </w:tcPr>
          <w:p w:rsidR="00515001" w:rsidRPr="00515001" w:rsidRDefault="00515001" w:rsidP="00515001">
            <w:pPr>
              <w:jc w:val="right"/>
              <w:rPr>
                <w:sz w:val="20"/>
              </w:rPr>
            </w:pPr>
            <w:r>
              <w:rPr>
                <w:sz w:val="20"/>
              </w:rPr>
              <w:t>0.5</w:t>
            </w:r>
          </w:p>
        </w:tc>
        <w:tc>
          <w:tcPr>
            <w:tcW w:w="1047" w:type="dxa"/>
            <w:vAlign w:val="center"/>
          </w:tcPr>
          <w:p w:rsidR="00515001" w:rsidRPr="00515001" w:rsidRDefault="00515001" w:rsidP="00515001">
            <w:pPr>
              <w:jc w:val="right"/>
              <w:rPr>
                <w:sz w:val="20"/>
              </w:rPr>
            </w:pPr>
            <w:r>
              <w:rPr>
                <w:sz w:val="20"/>
              </w:rPr>
              <w:t>101325</w:t>
            </w:r>
          </w:p>
        </w:tc>
        <w:tc>
          <w:tcPr>
            <w:tcW w:w="1145" w:type="dxa"/>
            <w:vAlign w:val="center"/>
          </w:tcPr>
          <w:p w:rsidR="00515001" w:rsidRPr="00515001" w:rsidRDefault="00515001" w:rsidP="00515001">
            <w:pPr>
              <w:jc w:val="right"/>
              <w:rPr>
                <w:sz w:val="20"/>
              </w:rPr>
            </w:pPr>
            <w:r>
              <w:rPr>
                <w:sz w:val="20"/>
              </w:rPr>
              <w:t>W</w:t>
            </w:r>
          </w:p>
        </w:tc>
        <w:tc>
          <w:tcPr>
            <w:tcW w:w="1166" w:type="dxa"/>
            <w:vAlign w:val="center"/>
          </w:tcPr>
          <w:p w:rsidR="00515001" w:rsidRPr="00515001" w:rsidRDefault="00515001" w:rsidP="00515001">
            <w:pPr>
              <w:jc w:val="right"/>
              <w:rPr>
                <w:sz w:val="20"/>
              </w:rPr>
            </w:pPr>
            <w:r w:rsidRPr="00515001">
              <w:rPr>
                <w:sz w:val="20"/>
              </w:rPr>
              <w:t>0.00992574</w:t>
            </w:r>
          </w:p>
        </w:tc>
        <w:tc>
          <w:tcPr>
            <w:tcW w:w="1266" w:type="dxa"/>
            <w:vAlign w:val="center"/>
          </w:tcPr>
          <w:p w:rsidR="00515001" w:rsidRPr="00515001" w:rsidRDefault="00515001" w:rsidP="00515001">
            <w:pPr>
              <w:jc w:val="right"/>
              <w:rPr>
                <w:rFonts w:ascii="Courier New" w:hAnsi="Courier New" w:cs="Courier New"/>
                <w:sz w:val="20"/>
              </w:rPr>
            </w:pPr>
            <w:r w:rsidRPr="00515001">
              <w:rPr>
                <w:rFonts w:ascii="Courier New" w:hAnsi="Courier New" w:cs="Courier New"/>
                <w:sz w:val="20"/>
              </w:rPr>
              <w:t>0.009925739</w:t>
            </w:r>
          </w:p>
        </w:tc>
      </w:tr>
      <w:tr w:rsidR="00515001" w:rsidRPr="00515001" w:rsidTr="00515001">
        <w:tc>
          <w:tcPr>
            <w:tcW w:w="1227" w:type="dxa"/>
            <w:vAlign w:val="center"/>
          </w:tcPr>
          <w:p w:rsidR="00515001" w:rsidRPr="00515001" w:rsidRDefault="00515001" w:rsidP="0051500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HAPropsSI</w:t>
            </w:r>
            <w:proofErr w:type="spellEnd"/>
          </w:p>
        </w:tc>
        <w:tc>
          <w:tcPr>
            <w:tcW w:w="1041" w:type="dxa"/>
            <w:vAlign w:val="center"/>
          </w:tcPr>
          <w:p w:rsidR="00515001" w:rsidRPr="00515001" w:rsidRDefault="00515001" w:rsidP="00887755">
            <w:pPr>
              <w:jc w:val="right"/>
              <w:rPr>
                <w:sz w:val="20"/>
              </w:rPr>
            </w:pPr>
            <w:r>
              <w:rPr>
                <w:sz w:val="20"/>
              </w:rPr>
              <w:t>298.15</w:t>
            </w:r>
          </w:p>
        </w:tc>
        <w:tc>
          <w:tcPr>
            <w:tcW w:w="1243" w:type="dxa"/>
            <w:vAlign w:val="center"/>
          </w:tcPr>
          <w:p w:rsidR="00515001" w:rsidRPr="00515001" w:rsidRDefault="00515001" w:rsidP="00887755">
            <w:pPr>
              <w:rPr>
                <w:sz w:val="20"/>
              </w:rPr>
            </w:pPr>
            <w:r>
              <w:rPr>
                <w:sz w:val="20"/>
              </w:rPr>
              <w:t>R</w:t>
            </w:r>
          </w:p>
        </w:tc>
        <w:tc>
          <w:tcPr>
            <w:tcW w:w="1107" w:type="dxa"/>
            <w:vAlign w:val="center"/>
          </w:tcPr>
          <w:p w:rsidR="00515001" w:rsidRPr="00515001" w:rsidRDefault="00515001" w:rsidP="00887755">
            <w:pPr>
              <w:jc w:val="right"/>
              <w:rPr>
                <w:sz w:val="20"/>
              </w:rPr>
            </w:pPr>
            <w:r>
              <w:rPr>
                <w:sz w:val="20"/>
              </w:rPr>
              <w:t>0.5</w:t>
            </w:r>
          </w:p>
        </w:tc>
        <w:tc>
          <w:tcPr>
            <w:tcW w:w="1047" w:type="dxa"/>
            <w:vAlign w:val="center"/>
          </w:tcPr>
          <w:p w:rsidR="00515001" w:rsidRPr="00515001" w:rsidRDefault="00515001" w:rsidP="00887755">
            <w:pPr>
              <w:jc w:val="right"/>
              <w:rPr>
                <w:sz w:val="20"/>
              </w:rPr>
            </w:pPr>
            <w:r>
              <w:rPr>
                <w:sz w:val="20"/>
              </w:rPr>
              <w:t>101325</w:t>
            </w:r>
          </w:p>
        </w:tc>
        <w:tc>
          <w:tcPr>
            <w:tcW w:w="1145" w:type="dxa"/>
            <w:vAlign w:val="center"/>
          </w:tcPr>
          <w:p w:rsidR="00515001" w:rsidRPr="00515001" w:rsidRDefault="00515001" w:rsidP="00515001">
            <w:pPr>
              <w:jc w:val="right"/>
              <w:rPr>
                <w:sz w:val="20"/>
              </w:rPr>
            </w:pPr>
            <w:r>
              <w:rPr>
                <w:sz w:val="20"/>
              </w:rPr>
              <w:t>H</w:t>
            </w:r>
          </w:p>
        </w:tc>
        <w:tc>
          <w:tcPr>
            <w:tcW w:w="1166" w:type="dxa"/>
            <w:vAlign w:val="center"/>
          </w:tcPr>
          <w:p w:rsidR="00515001" w:rsidRPr="00515001" w:rsidRDefault="00515001" w:rsidP="00515001">
            <w:pPr>
              <w:jc w:val="right"/>
              <w:rPr>
                <w:sz w:val="20"/>
              </w:rPr>
            </w:pPr>
            <w:r w:rsidRPr="00515001">
              <w:rPr>
                <w:sz w:val="20"/>
              </w:rPr>
              <w:t>50423.5</w:t>
            </w:r>
          </w:p>
        </w:tc>
        <w:tc>
          <w:tcPr>
            <w:tcW w:w="1266" w:type="dxa"/>
            <w:vAlign w:val="center"/>
          </w:tcPr>
          <w:p w:rsidR="00515001" w:rsidRPr="00515001" w:rsidRDefault="00515001" w:rsidP="00515001">
            <w:pPr>
              <w:jc w:val="right"/>
              <w:rPr>
                <w:rFonts w:ascii="Courier New" w:hAnsi="Courier New" w:cs="Courier New"/>
                <w:sz w:val="20"/>
              </w:rPr>
            </w:pPr>
            <w:r w:rsidRPr="00515001">
              <w:rPr>
                <w:rFonts w:ascii="Courier New" w:hAnsi="Courier New" w:cs="Courier New"/>
                <w:sz w:val="20"/>
              </w:rPr>
              <w:t>50423.45039</w:t>
            </w:r>
          </w:p>
        </w:tc>
      </w:tr>
      <w:tr w:rsidR="00515001" w:rsidRPr="00515001" w:rsidTr="00515001">
        <w:tc>
          <w:tcPr>
            <w:tcW w:w="1227" w:type="dxa"/>
            <w:vAlign w:val="center"/>
          </w:tcPr>
          <w:p w:rsidR="00515001" w:rsidRPr="00515001" w:rsidRDefault="00515001" w:rsidP="0088775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HAPropsSI</w:t>
            </w:r>
            <w:proofErr w:type="spellEnd"/>
          </w:p>
        </w:tc>
        <w:tc>
          <w:tcPr>
            <w:tcW w:w="1041" w:type="dxa"/>
            <w:vAlign w:val="center"/>
          </w:tcPr>
          <w:p w:rsidR="00515001" w:rsidRDefault="00515001" w:rsidP="00887755">
            <w:pPr>
              <w:jc w:val="right"/>
              <w:rPr>
                <w:sz w:val="20"/>
              </w:rPr>
            </w:pPr>
            <w:r>
              <w:rPr>
                <w:sz w:val="20"/>
              </w:rPr>
              <w:t>300</w:t>
            </w:r>
          </w:p>
        </w:tc>
        <w:tc>
          <w:tcPr>
            <w:tcW w:w="1243" w:type="dxa"/>
            <w:vAlign w:val="center"/>
          </w:tcPr>
          <w:p w:rsidR="00515001" w:rsidRDefault="00515001" w:rsidP="00887755">
            <w:pPr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107" w:type="dxa"/>
            <w:vAlign w:val="center"/>
          </w:tcPr>
          <w:p w:rsidR="00515001" w:rsidRDefault="00515001" w:rsidP="00887755">
            <w:pPr>
              <w:jc w:val="right"/>
              <w:rPr>
                <w:sz w:val="20"/>
              </w:rPr>
            </w:pPr>
            <w:r>
              <w:rPr>
                <w:sz w:val="20"/>
              </w:rPr>
              <w:t>290</w:t>
            </w:r>
          </w:p>
        </w:tc>
        <w:tc>
          <w:tcPr>
            <w:tcW w:w="1047" w:type="dxa"/>
            <w:vAlign w:val="center"/>
          </w:tcPr>
          <w:p w:rsidR="00515001" w:rsidRDefault="00515001" w:rsidP="00887755">
            <w:pPr>
              <w:jc w:val="right"/>
              <w:rPr>
                <w:sz w:val="20"/>
              </w:rPr>
            </w:pPr>
            <w:r>
              <w:rPr>
                <w:sz w:val="20"/>
              </w:rPr>
              <w:t>101000</w:t>
            </w:r>
          </w:p>
        </w:tc>
        <w:tc>
          <w:tcPr>
            <w:tcW w:w="1145" w:type="dxa"/>
            <w:vAlign w:val="center"/>
          </w:tcPr>
          <w:p w:rsidR="00515001" w:rsidRDefault="00515001" w:rsidP="00515001">
            <w:pPr>
              <w:jc w:val="right"/>
              <w:rPr>
                <w:sz w:val="20"/>
              </w:rPr>
            </w:pPr>
            <w:r>
              <w:rPr>
                <w:sz w:val="20"/>
              </w:rPr>
              <w:t>H</w:t>
            </w:r>
          </w:p>
        </w:tc>
        <w:tc>
          <w:tcPr>
            <w:tcW w:w="1166" w:type="dxa"/>
            <w:vAlign w:val="center"/>
          </w:tcPr>
          <w:p w:rsidR="00515001" w:rsidRPr="00515001" w:rsidRDefault="00515001" w:rsidP="00515001">
            <w:pPr>
              <w:jc w:val="right"/>
              <w:rPr>
                <w:sz w:val="20"/>
              </w:rPr>
            </w:pPr>
            <w:r w:rsidRPr="00515001">
              <w:rPr>
                <w:sz w:val="20"/>
              </w:rPr>
              <w:t>47284.4</w:t>
            </w:r>
          </w:p>
        </w:tc>
        <w:tc>
          <w:tcPr>
            <w:tcW w:w="1266" w:type="dxa"/>
            <w:vAlign w:val="center"/>
          </w:tcPr>
          <w:p w:rsidR="00515001" w:rsidRPr="00515001" w:rsidRDefault="00515001" w:rsidP="00515001">
            <w:pPr>
              <w:jc w:val="right"/>
              <w:rPr>
                <w:rFonts w:ascii="Courier New" w:hAnsi="Courier New" w:cs="Courier New"/>
                <w:sz w:val="20"/>
              </w:rPr>
            </w:pPr>
            <w:r w:rsidRPr="00515001">
              <w:rPr>
                <w:rFonts w:ascii="Courier New" w:hAnsi="Courier New" w:cs="Courier New"/>
                <w:sz w:val="20"/>
              </w:rPr>
              <w:t>47284.41783</w:t>
            </w:r>
          </w:p>
        </w:tc>
      </w:tr>
      <w:tr w:rsidR="00515001" w:rsidRPr="00515001" w:rsidTr="00515001">
        <w:tc>
          <w:tcPr>
            <w:tcW w:w="1227" w:type="dxa"/>
            <w:vAlign w:val="center"/>
          </w:tcPr>
          <w:p w:rsidR="00515001" w:rsidRPr="00515001" w:rsidRDefault="00515001" w:rsidP="0088775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HAPropsSI</w:t>
            </w:r>
            <w:proofErr w:type="spellEnd"/>
          </w:p>
        </w:tc>
        <w:tc>
          <w:tcPr>
            <w:tcW w:w="1041" w:type="dxa"/>
            <w:vAlign w:val="center"/>
          </w:tcPr>
          <w:p w:rsidR="00515001" w:rsidRDefault="00515001" w:rsidP="00887755">
            <w:pPr>
              <w:jc w:val="right"/>
              <w:rPr>
                <w:sz w:val="20"/>
              </w:rPr>
            </w:pPr>
            <w:r>
              <w:rPr>
                <w:sz w:val="20"/>
              </w:rPr>
              <w:t>300</w:t>
            </w:r>
          </w:p>
        </w:tc>
        <w:tc>
          <w:tcPr>
            <w:tcW w:w="1243" w:type="dxa"/>
            <w:vAlign w:val="center"/>
          </w:tcPr>
          <w:p w:rsidR="00515001" w:rsidRDefault="00515001" w:rsidP="00887755">
            <w:pPr>
              <w:rPr>
                <w:sz w:val="20"/>
              </w:rPr>
            </w:pPr>
            <w:r>
              <w:rPr>
                <w:sz w:val="20"/>
              </w:rPr>
              <w:t>D</w:t>
            </w:r>
          </w:p>
        </w:tc>
        <w:tc>
          <w:tcPr>
            <w:tcW w:w="1107" w:type="dxa"/>
            <w:vAlign w:val="center"/>
          </w:tcPr>
          <w:p w:rsidR="00515001" w:rsidRDefault="00515001" w:rsidP="00887755">
            <w:pPr>
              <w:jc w:val="right"/>
              <w:rPr>
                <w:sz w:val="20"/>
              </w:rPr>
            </w:pPr>
            <w:r>
              <w:rPr>
                <w:sz w:val="20"/>
              </w:rPr>
              <w:t>288</w:t>
            </w:r>
          </w:p>
        </w:tc>
        <w:tc>
          <w:tcPr>
            <w:tcW w:w="1047" w:type="dxa"/>
            <w:vAlign w:val="center"/>
          </w:tcPr>
          <w:p w:rsidR="00515001" w:rsidRDefault="00515001" w:rsidP="00887755">
            <w:pPr>
              <w:jc w:val="right"/>
              <w:rPr>
                <w:sz w:val="20"/>
              </w:rPr>
            </w:pPr>
            <w:r>
              <w:rPr>
                <w:sz w:val="20"/>
              </w:rPr>
              <w:t>101</w:t>
            </w:r>
            <w:r>
              <w:rPr>
                <w:sz w:val="20"/>
              </w:rPr>
              <w:t>000</w:t>
            </w:r>
          </w:p>
        </w:tc>
        <w:tc>
          <w:tcPr>
            <w:tcW w:w="1145" w:type="dxa"/>
            <w:vAlign w:val="center"/>
          </w:tcPr>
          <w:p w:rsidR="00515001" w:rsidRDefault="00515001" w:rsidP="00515001">
            <w:pPr>
              <w:jc w:val="right"/>
              <w:rPr>
                <w:sz w:val="20"/>
              </w:rPr>
            </w:pPr>
            <w:r>
              <w:rPr>
                <w:sz w:val="20"/>
              </w:rPr>
              <w:t>W</w:t>
            </w:r>
          </w:p>
        </w:tc>
        <w:tc>
          <w:tcPr>
            <w:tcW w:w="1166" w:type="dxa"/>
            <w:vAlign w:val="center"/>
          </w:tcPr>
          <w:p w:rsidR="00515001" w:rsidRPr="00515001" w:rsidRDefault="00515001" w:rsidP="00515001">
            <w:pPr>
              <w:jc w:val="right"/>
              <w:rPr>
                <w:sz w:val="20"/>
              </w:rPr>
            </w:pPr>
            <w:r w:rsidRPr="00515001">
              <w:rPr>
                <w:sz w:val="20"/>
              </w:rPr>
              <w:t>0.0106237</w:t>
            </w:r>
          </w:p>
        </w:tc>
        <w:tc>
          <w:tcPr>
            <w:tcW w:w="1266" w:type="dxa"/>
            <w:vAlign w:val="center"/>
          </w:tcPr>
          <w:p w:rsidR="00515001" w:rsidRPr="00515001" w:rsidRDefault="00515001" w:rsidP="00515001">
            <w:pPr>
              <w:jc w:val="right"/>
              <w:rPr>
                <w:rFonts w:ascii="Courier New" w:hAnsi="Courier New" w:cs="Courier New"/>
                <w:sz w:val="20"/>
              </w:rPr>
            </w:pPr>
            <w:r w:rsidRPr="00515001">
              <w:rPr>
                <w:rFonts w:ascii="Courier New" w:hAnsi="Courier New" w:cs="Courier New"/>
                <w:sz w:val="20"/>
              </w:rPr>
              <w:t>0.010623673</w:t>
            </w:r>
          </w:p>
        </w:tc>
      </w:tr>
      <w:tr w:rsidR="00515001" w:rsidRPr="00515001" w:rsidTr="00515001">
        <w:tc>
          <w:tcPr>
            <w:tcW w:w="1227" w:type="dxa"/>
            <w:vAlign w:val="center"/>
          </w:tcPr>
          <w:p w:rsidR="00515001" w:rsidRPr="00515001" w:rsidRDefault="00515001" w:rsidP="0088775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HAPropsSI</w:t>
            </w:r>
            <w:proofErr w:type="spellEnd"/>
          </w:p>
        </w:tc>
        <w:tc>
          <w:tcPr>
            <w:tcW w:w="1041" w:type="dxa"/>
            <w:vAlign w:val="center"/>
          </w:tcPr>
          <w:p w:rsidR="00515001" w:rsidRDefault="00515001" w:rsidP="00887755">
            <w:pPr>
              <w:jc w:val="right"/>
              <w:rPr>
                <w:sz w:val="20"/>
              </w:rPr>
            </w:pPr>
            <w:r>
              <w:rPr>
                <w:sz w:val="20"/>
              </w:rPr>
              <w:t>300</w:t>
            </w:r>
          </w:p>
        </w:tc>
        <w:tc>
          <w:tcPr>
            <w:tcW w:w="1243" w:type="dxa"/>
            <w:vAlign w:val="center"/>
          </w:tcPr>
          <w:p w:rsidR="00515001" w:rsidRDefault="00515001" w:rsidP="00887755">
            <w:pPr>
              <w:rPr>
                <w:sz w:val="20"/>
              </w:rPr>
            </w:pPr>
            <w:r>
              <w:rPr>
                <w:sz w:val="20"/>
              </w:rPr>
              <w:t>W</w:t>
            </w:r>
          </w:p>
        </w:tc>
        <w:tc>
          <w:tcPr>
            <w:tcW w:w="1107" w:type="dxa"/>
            <w:vAlign w:val="center"/>
          </w:tcPr>
          <w:p w:rsidR="00515001" w:rsidRDefault="00515001" w:rsidP="00887755">
            <w:pPr>
              <w:jc w:val="right"/>
              <w:rPr>
                <w:sz w:val="20"/>
              </w:rPr>
            </w:pPr>
            <w:r>
              <w:rPr>
                <w:sz w:val="20"/>
              </w:rPr>
              <w:t>0.0095</w:t>
            </w:r>
          </w:p>
        </w:tc>
        <w:tc>
          <w:tcPr>
            <w:tcW w:w="1047" w:type="dxa"/>
            <w:vAlign w:val="center"/>
          </w:tcPr>
          <w:p w:rsidR="00515001" w:rsidRDefault="00515001" w:rsidP="00887755">
            <w:pPr>
              <w:jc w:val="right"/>
              <w:rPr>
                <w:sz w:val="20"/>
              </w:rPr>
            </w:pPr>
            <w:r>
              <w:rPr>
                <w:sz w:val="20"/>
              </w:rPr>
              <w:t>101</w:t>
            </w:r>
            <w:r>
              <w:rPr>
                <w:sz w:val="20"/>
              </w:rPr>
              <w:t>000</w:t>
            </w:r>
          </w:p>
        </w:tc>
        <w:tc>
          <w:tcPr>
            <w:tcW w:w="1145" w:type="dxa"/>
            <w:vAlign w:val="center"/>
          </w:tcPr>
          <w:p w:rsidR="00515001" w:rsidRDefault="00515001" w:rsidP="00515001">
            <w:pPr>
              <w:jc w:val="right"/>
              <w:rPr>
                <w:sz w:val="20"/>
              </w:rPr>
            </w:pPr>
            <w:r>
              <w:rPr>
                <w:sz w:val="20"/>
              </w:rPr>
              <w:t>R</w:t>
            </w:r>
          </w:p>
        </w:tc>
        <w:tc>
          <w:tcPr>
            <w:tcW w:w="1166" w:type="dxa"/>
            <w:vAlign w:val="center"/>
          </w:tcPr>
          <w:p w:rsidR="00515001" w:rsidRPr="00515001" w:rsidRDefault="00515001" w:rsidP="00515001">
            <w:pPr>
              <w:jc w:val="right"/>
              <w:rPr>
                <w:sz w:val="20"/>
              </w:rPr>
            </w:pPr>
            <w:r w:rsidRPr="00515001">
              <w:rPr>
                <w:sz w:val="20"/>
              </w:rPr>
              <w:t>0.427809</w:t>
            </w:r>
          </w:p>
        </w:tc>
        <w:tc>
          <w:tcPr>
            <w:tcW w:w="1266" w:type="dxa"/>
            <w:vAlign w:val="center"/>
          </w:tcPr>
          <w:p w:rsidR="00515001" w:rsidRPr="00515001" w:rsidRDefault="00515001" w:rsidP="00515001">
            <w:pPr>
              <w:jc w:val="right"/>
              <w:rPr>
                <w:rFonts w:ascii="Courier New" w:hAnsi="Courier New" w:cs="Courier New"/>
                <w:sz w:val="20"/>
              </w:rPr>
            </w:pPr>
            <w:r w:rsidRPr="00515001">
              <w:rPr>
                <w:rFonts w:ascii="Courier New" w:hAnsi="Courier New" w:cs="Courier New"/>
                <w:sz w:val="20"/>
              </w:rPr>
              <w:t>0.427809433</w:t>
            </w:r>
          </w:p>
        </w:tc>
      </w:tr>
      <w:tr w:rsidR="00515001" w:rsidRPr="00515001" w:rsidTr="00515001">
        <w:tc>
          <w:tcPr>
            <w:tcW w:w="1227" w:type="dxa"/>
            <w:vAlign w:val="center"/>
          </w:tcPr>
          <w:p w:rsidR="00515001" w:rsidRPr="00515001" w:rsidRDefault="00515001" w:rsidP="0088775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HAPropsSI</w:t>
            </w:r>
            <w:proofErr w:type="spellEnd"/>
          </w:p>
        </w:tc>
        <w:tc>
          <w:tcPr>
            <w:tcW w:w="1041" w:type="dxa"/>
            <w:vAlign w:val="center"/>
          </w:tcPr>
          <w:p w:rsidR="00515001" w:rsidRDefault="00515001" w:rsidP="00887755">
            <w:pPr>
              <w:jc w:val="right"/>
              <w:rPr>
                <w:sz w:val="20"/>
              </w:rPr>
            </w:pPr>
            <w:r>
              <w:rPr>
                <w:sz w:val="20"/>
              </w:rPr>
              <w:t>300</w:t>
            </w:r>
          </w:p>
        </w:tc>
        <w:tc>
          <w:tcPr>
            <w:tcW w:w="1243" w:type="dxa"/>
            <w:vAlign w:val="center"/>
          </w:tcPr>
          <w:p w:rsidR="00515001" w:rsidRDefault="00515001" w:rsidP="00887755">
            <w:pPr>
              <w:rPr>
                <w:sz w:val="20"/>
              </w:rPr>
            </w:pPr>
            <w:r>
              <w:rPr>
                <w:sz w:val="20"/>
              </w:rPr>
              <w:t>D</w:t>
            </w:r>
          </w:p>
        </w:tc>
        <w:tc>
          <w:tcPr>
            <w:tcW w:w="1107" w:type="dxa"/>
            <w:vAlign w:val="center"/>
          </w:tcPr>
          <w:p w:rsidR="00515001" w:rsidRDefault="00515001" w:rsidP="00887755">
            <w:pPr>
              <w:jc w:val="right"/>
              <w:rPr>
                <w:sz w:val="20"/>
              </w:rPr>
            </w:pPr>
            <w:r>
              <w:rPr>
                <w:sz w:val="20"/>
              </w:rPr>
              <w:t>282</w:t>
            </w:r>
          </w:p>
        </w:tc>
        <w:tc>
          <w:tcPr>
            <w:tcW w:w="1047" w:type="dxa"/>
            <w:vAlign w:val="center"/>
          </w:tcPr>
          <w:p w:rsidR="00515001" w:rsidRDefault="00515001" w:rsidP="00887755">
            <w:pPr>
              <w:jc w:val="right"/>
              <w:rPr>
                <w:sz w:val="20"/>
              </w:rPr>
            </w:pPr>
            <w:r>
              <w:rPr>
                <w:sz w:val="20"/>
              </w:rPr>
              <w:t>101</w:t>
            </w:r>
            <w:r>
              <w:rPr>
                <w:sz w:val="20"/>
              </w:rPr>
              <w:t>000</w:t>
            </w:r>
          </w:p>
        </w:tc>
        <w:tc>
          <w:tcPr>
            <w:tcW w:w="1145" w:type="dxa"/>
            <w:vAlign w:val="center"/>
          </w:tcPr>
          <w:p w:rsidR="00515001" w:rsidRDefault="00515001" w:rsidP="00515001">
            <w:pPr>
              <w:jc w:val="right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166" w:type="dxa"/>
            <w:vAlign w:val="center"/>
          </w:tcPr>
          <w:p w:rsidR="00515001" w:rsidRPr="00515001" w:rsidRDefault="00B94F72" w:rsidP="00515001">
            <w:pPr>
              <w:jc w:val="right"/>
              <w:rPr>
                <w:sz w:val="20"/>
              </w:rPr>
            </w:pPr>
            <w:r w:rsidRPr="00B94F72">
              <w:rPr>
                <w:sz w:val="20"/>
              </w:rPr>
              <w:t>289.279</w:t>
            </w:r>
          </w:p>
        </w:tc>
        <w:tc>
          <w:tcPr>
            <w:tcW w:w="1266" w:type="dxa"/>
            <w:vAlign w:val="center"/>
          </w:tcPr>
          <w:p w:rsidR="00515001" w:rsidRPr="00515001" w:rsidRDefault="00515001" w:rsidP="00515001">
            <w:pPr>
              <w:jc w:val="right"/>
              <w:rPr>
                <w:rFonts w:ascii="Courier New" w:hAnsi="Courier New" w:cs="Courier New"/>
                <w:sz w:val="20"/>
              </w:rPr>
            </w:pPr>
            <w:r w:rsidRPr="00515001">
              <w:rPr>
                <w:rFonts w:ascii="Courier New" w:hAnsi="Courier New" w:cs="Courier New"/>
                <w:sz w:val="20"/>
              </w:rPr>
              <w:t>289.2792384</w:t>
            </w:r>
          </w:p>
        </w:tc>
      </w:tr>
    </w:tbl>
    <w:p w:rsidR="007B1593" w:rsidRPr="00C72906" w:rsidRDefault="007B1593" w:rsidP="00C72906"/>
    <w:sectPr w:rsidR="007B1593" w:rsidRPr="00C729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625753"/>
    <w:multiLevelType w:val="multilevel"/>
    <w:tmpl w:val="8CE47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1D7"/>
    <w:rsid w:val="0006683E"/>
    <w:rsid w:val="000D45D8"/>
    <w:rsid w:val="001409D8"/>
    <w:rsid w:val="001803A7"/>
    <w:rsid w:val="001D2C1C"/>
    <w:rsid w:val="00265F6A"/>
    <w:rsid w:val="002E1728"/>
    <w:rsid w:val="003340B4"/>
    <w:rsid w:val="004C7CB8"/>
    <w:rsid w:val="004D10C9"/>
    <w:rsid w:val="00515001"/>
    <w:rsid w:val="00581B87"/>
    <w:rsid w:val="005849D3"/>
    <w:rsid w:val="00585F2F"/>
    <w:rsid w:val="00590E31"/>
    <w:rsid w:val="005E3CFB"/>
    <w:rsid w:val="006B6720"/>
    <w:rsid w:val="007B1593"/>
    <w:rsid w:val="008006FD"/>
    <w:rsid w:val="00813983"/>
    <w:rsid w:val="00A73DC5"/>
    <w:rsid w:val="00A77A92"/>
    <w:rsid w:val="00A87EE3"/>
    <w:rsid w:val="00B15FE3"/>
    <w:rsid w:val="00B23755"/>
    <w:rsid w:val="00B83FF0"/>
    <w:rsid w:val="00B94F72"/>
    <w:rsid w:val="00BA67C3"/>
    <w:rsid w:val="00BE67A1"/>
    <w:rsid w:val="00C72906"/>
    <w:rsid w:val="00CC677E"/>
    <w:rsid w:val="00CF501F"/>
    <w:rsid w:val="00D15216"/>
    <w:rsid w:val="00D1778C"/>
    <w:rsid w:val="00DD6A44"/>
    <w:rsid w:val="00EB2D7D"/>
    <w:rsid w:val="00F3188C"/>
    <w:rsid w:val="00F85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851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1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1D7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F851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F851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851D7"/>
    <w:rPr>
      <w:color w:val="0000FF"/>
      <w:u w:val="single"/>
    </w:rPr>
  </w:style>
  <w:style w:type="paragraph" w:styleId="NoSpacing">
    <w:name w:val="No Spacing"/>
    <w:uiPriority w:val="1"/>
    <w:qFormat/>
    <w:rsid w:val="00F851D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67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77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B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B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B8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B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B87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F318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318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3188C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o">
    <w:name w:val="go"/>
    <w:basedOn w:val="DefaultParagraphFont"/>
    <w:rsid w:val="00F318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851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1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1D7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F851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F851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851D7"/>
    <w:rPr>
      <w:color w:val="0000FF"/>
      <w:u w:val="single"/>
    </w:rPr>
  </w:style>
  <w:style w:type="paragraph" w:styleId="NoSpacing">
    <w:name w:val="No Spacing"/>
    <w:uiPriority w:val="1"/>
    <w:qFormat/>
    <w:rsid w:val="00F851D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67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77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B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B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B8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B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B87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F318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318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3188C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o">
    <w:name w:val="go"/>
    <w:basedOn w:val="DefaultParagraphFont"/>
    <w:rsid w:val="00F318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39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0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D9CCD6-859D-41BD-B454-30731EDD7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Harshad Inamdar</cp:lastModifiedBy>
  <cp:revision>12</cp:revision>
  <dcterms:created xsi:type="dcterms:W3CDTF">2013-11-04T18:29:00Z</dcterms:created>
  <dcterms:modified xsi:type="dcterms:W3CDTF">2017-09-24T06:59:00Z</dcterms:modified>
</cp:coreProperties>
</file>