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2"/>
        <w:gridCol w:w="2080"/>
        <w:gridCol w:w="2111"/>
        <w:gridCol w:w="2471"/>
      </w:tblGrid>
      <w:tr w:rsidR="00E644F1" w:rsidRPr="00E644F1" w:rsidTr="00F43D4C">
        <w:tc>
          <w:tcPr>
            <w:tcW w:w="2832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t>กระบวนการหลัก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</w:pPr>
            <w:r w:rsidRPr="00E644F1">
              <w:rPr>
                <w:rFonts w:ascii="Cordia New" w:eastAsia="AngsanaNew" w:hAnsi="Cordia New" w:cs="Cordia New"/>
                <w:b/>
                <w:bCs/>
                <w:sz w:val="32"/>
                <w:szCs w:val="32"/>
              </w:rPr>
              <w:t>Key Process</w:t>
            </w:r>
          </w:p>
        </w:tc>
        <w:tc>
          <w:tcPr>
            <w:tcW w:w="2080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t>เป้าหมายความคาดหวัง</w:t>
            </w:r>
            <w:r w:rsidRPr="00E644F1">
              <w:rPr>
                <w:rFonts w:ascii="Cordia New" w:eastAsia="AngsanaNew" w:hAnsi="Cordia New" w:cs="Cordia New"/>
                <w:b/>
                <w:bCs/>
                <w:sz w:val="32"/>
                <w:szCs w:val="32"/>
              </w:rPr>
              <w:t xml:space="preserve"> Process Requirement</w:t>
            </w:r>
          </w:p>
        </w:tc>
        <w:tc>
          <w:tcPr>
            <w:tcW w:w="211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t>ความเสี่ยงที่สำคัญ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  <w:r w:rsidRPr="00E644F1">
              <w:rPr>
                <w:rFonts w:ascii="Cordia New" w:eastAsia="AngsanaNew" w:hAnsi="Cordia New" w:cs="Cordia New"/>
                <w:b/>
                <w:bCs/>
                <w:sz w:val="32"/>
                <w:szCs w:val="32"/>
              </w:rPr>
              <w:t>Risk</w:t>
            </w:r>
          </w:p>
        </w:tc>
        <w:tc>
          <w:tcPr>
            <w:tcW w:w="2471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</w:tr>
      <w:tr w:rsidR="00E644F1" w:rsidRPr="00E644F1" w:rsidTr="00F43D4C">
        <w:tc>
          <w:tcPr>
            <w:tcW w:w="2832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t>การค้นหาความเสี่ยง</w:t>
            </w:r>
          </w:p>
          <w:p w:rsidR="00E644F1" w:rsidRPr="00E644F1" w:rsidRDefault="00E644F1" w:rsidP="00E644F1">
            <w:pPr>
              <w:spacing w:after="0" w:line="240" w:lineRule="auto"/>
              <w:ind w:left="110"/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1.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การทบทว</w:t>
            </w: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น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อุบัติการณ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์</w:t>
            </w:r>
          </w:p>
          <w:p w:rsidR="00E644F1" w:rsidRPr="00E644F1" w:rsidRDefault="00E644F1" w:rsidP="00E644F1">
            <w:pPr>
              <w:spacing w:after="0" w:line="240" w:lineRule="auto"/>
              <w:ind w:left="110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2.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ทบทวน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12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กิจกรรม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 3.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การวิเคราะห์กระบวนการ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 4.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ความคิดเห็นผู้รับบริการ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 5.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การเยี่ยมหน่วยงานของทีมนำและทีมระดับกลาง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 6.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การนิเทศงานและการเยี่ยมจากหน่วยงานภายนอก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 7.Nursing Round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8.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สำรวจสิ่งแวดล้อม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9.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ทบทวน</w:t>
            </w:r>
            <w:r>
              <w:rPr>
                <w:rFonts w:ascii="Cordia New" w:eastAsia="Times New Roman" w:hAnsi="Cordia New" w:cs="Cordia New"/>
                <w:sz w:val="32"/>
                <w:szCs w:val="32"/>
              </w:rPr>
              <w:t xml:space="preserve">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Trigger tool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10.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ทบทวนตัวชี้วัด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11.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การรายงานอุบัติการณ์</w:t>
            </w:r>
          </w:p>
        </w:tc>
        <w:tc>
          <w:tcPr>
            <w:tcW w:w="2080" w:type="dxa"/>
          </w:tcPr>
          <w:p w:rsidR="00E644F1" w:rsidRPr="00E644F1" w:rsidRDefault="00E644F1" w:rsidP="00E644F1">
            <w:pPr>
              <w:spacing w:after="0" w:line="240" w:lineRule="auto"/>
              <w:ind w:firstLine="720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ค้นหาความเสี่ยง  สื่อสารและจัดการความเสี่ยงได้ครอบคลุม</w:t>
            </w:r>
          </w:p>
        </w:tc>
        <w:tc>
          <w:tcPr>
            <w:tcW w:w="211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.การค้นหาความเสี่ยงไม่ครอบคลุม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บัญชีความเสี่ยงไม่สอดคล้องกับปัญหาและคุณภาพการดูแล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</w:tc>
        <w:tc>
          <w:tcPr>
            <w:tcW w:w="247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24"/>
              </w:rPr>
            </w:pPr>
            <w:r w:rsidRPr="00E644F1">
              <w:rPr>
                <w:rFonts w:ascii="Cordia New" w:eastAsia="Times New Roman" w:hAnsi="Cordia New" w:cs="Cordia New"/>
                <w:sz w:val="24"/>
              </w:rPr>
              <w:t>1.</w:t>
            </w:r>
            <w:r w:rsidRPr="00E644F1">
              <w:rPr>
                <w:rFonts w:ascii="Cordia New" w:eastAsia="Times New Roman" w:hAnsi="Cordia New" w:cs="Cordia New"/>
                <w:sz w:val="24"/>
                <w:cs/>
              </w:rPr>
              <w:t xml:space="preserve">บัญชีความเสี่ยงครอบคลุมตามกระบวนการหลัก 100 </w:t>
            </w:r>
            <w:r w:rsidRPr="00E644F1">
              <w:rPr>
                <w:rFonts w:ascii="Cordia New" w:eastAsia="Times New Roman" w:hAnsi="Cordia New" w:cs="Cordia New"/>
                <w:sz w:val="24"/>
              </w:rPr>
              <w:t>%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24"/>
                <w:cs/>
              </w:rPr>
              <w:t>2.ทุกหน่วยงานมีการรายงานอุบัติการณ์ (</w:t>
            </w:r>
            <w:r w:rsidRPr="00E644F1">
              <w:rPr>
                <w:rFonts w:ascii="Cordia New" w:eastAsia="Times New Roman" w:hAnsi="Cordia New" w:cs="Cordia New"/>
                <w:sz w:val="24"/>
              </w:rPr>
              <w:t>miss,near miss</w:t>
            </w:r>
            <w:r w:rsidRPr="00E644F1">
              <w:rPr>
                <w:rFonts w:ascii="Cordia New" w:eastAsia="Times New Roman" w:hAnsi="Cordia New" w:cs="Cordia New"/>
                <w:sz w:val="24"/>
                <w:cs/>
              </w:rPr>
              <w:t xml:space="preserve">) 100 </w:t>
            </w:r>
            <w:r w:rsidRPr="00E644F1">
              <w:rPr>
                <w:rFonts w:ascii="Cordia New" w:eastAsia="Times New Roman" w:hAnsi="Cordia New" w:cs="Cordia New"/>
                <w:sz w:val="24"/>
              </w:rPr>
              <w:t>%</w:t>
            </w:r>
          </w:p>
        </w:tc>
      </w:tr>
      <w:tr w:rsidR="00E644F1" w:rsidRPr="00E644F1" w:rsidTr="00F43D4C">
        <w:tc>
          <w:tcPr>
            <w:tcW w:w="2832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t>การประเมินความเสี่ยง</w:t>
            </w:r>
          </w:p>
          <w:p w:rsidR="00E644F1" w:rsidRPr="00E644F1" w:rsidRDefault="00E644F1" w:rsidP="00E644F1">
            <w:pPr>
              <w:numPr>
                <w:ilvl w:val="0"/>
                <w:numId w:val="1"/>
              </w:numPr>
              <w:tabs>
                <w:tab w:val="num" w:pos="394"/>
              </w:tabs>
              <w:spacing w:after="0" w:line="240" w:lineRule="auto"/>
              <w:ind w:hanging="610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การประเมินความรุนแรง</w:t>
            </w:r>
          </w:p>
          <w:p w:rsidR="00E644F1" w:rsidRPr="00E644F1" w:rsidRDefault="00E644F1" w:rsidP="00E644F1">
            <w:pPr>
              <w:numPr>
                <w:ilvl w:val="0"/>
                <w:numId w:val="1"/>
              </w:numPr>
              <w:tabs>
                <w:tab w:val="num" w:pos="252"/>
              </w:tabs>
              <w:spacing w:after="0" w:line="240" w:lineRule="auto"/>
              <w:ind w:left="394" w:hanging="284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ประเมินโอกาสเกิด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2080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เพื่อจัดลำดับความ</w:t>
            </w: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สำคัญ  ความเร่งด่วนในการแก้ไขความเสี่ยง</w:t>
            </w:r>
          </w:p>
        </w:tc>
        <w:tc>
          <w:tcPr>
            <w:tcW w:w="211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การประเมินความเสี่ยงคลาดเคลื่อน</w:t>
            </w:r>
          </w:p>
          <w:p w:rsidR="00E644F1" w:rsidRPr="00E644F1" w:rsidRDefault="00E644F1" w:rsidP="00E644F1">
            <w:pPr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ขาดข้อมูลในการประ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เมินโอกาสการเกิด</w:t>
            </w:r>
          </w:p>
        </w:tc>
        <w:tc>
          <w:tcPr>
            <w:tcW w:w="247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3.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ความเสี่ยงระดับ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A-I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ได้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รับการทบทวนโดยหน่วย</w:t>
            </w:r>
            <w:r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งาน/ทีม 100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  <w:p w:rsidR="00E644F1" w:rsidRPr="00E644F1" w:rsidRDefault="00E644F1" w:rsidP="00E644F1">
            <w:pPr>
              <w:spacing w:after="0" w:line="240" w:lineRule="auto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4.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ติดตามการจัดการความเสี่ยง 100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</w:tr>
      <w:tr w:rsidR="00E644F1" w:rsidRPr="00E644F1" w:rsidTr="00F43D4C">
        <w:tc>
          <w:tcPr>
            <w:tcW w:w="2832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t>การจัดการความเสี่ยง</w:t>
            </w:r>
          </w:p>
          <w:p w:rsidR="00E644F1" w:rsidRPr="00E644F1" w:rsidRDefault="00E644F1" w:rsidP="00E644F1">
            <w:pPr>
              <w:numPr>
                <w:ilvl w:val="0"/>
                <w:numId w:val="2"/>
              </w:numPr>
              <w:tabs>
                <w:tab w:val="num" w:pos="394"/>
              </w:tabs>
              <w:spacing w:after="0" w:line="240" w:lineRule="auto"/>
              <w:ind w:left="252" w:hanging="252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การป้องกัน หลีกเลี่ยง </w:t>
            </w:r>
          </w:p>
          <w:p w:rsidR="00E644F1" w:rsidRPr="00E644F1" w:rsidRDefault="00E644F1" w:rsidP="00E644F1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hanging="720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การผ่องถ่ายความเสี่ยง </w:t>
            </w:r>
          </w:p>
          <w:p w:rsidR="00E644F1" w:rsidRPr="00E644F1" w:rsidRDefault="00E644F1" w:rsidP="00E644F1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hanging="720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การลดความสูญเสีย </w:t>
            </w:r>
          </w:p>
          <w:p w:rsidR="00E644F1" w:rsidRPr="00E644F1" w:rsidRDefault="00E644F1" w:rsidP="00E644F1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hanging="720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การแบ่งแยกความเสี่ยง</w:t>
            </w:r>
          </w:p>
          <w:p w:rsidR="00E644F1" w:rsidRPr="00E644F1" w:rsidRDefault="00E644F1" w:rsidP="00E644F1">
            <w:pPr>
              <w:numPr>
                <w:ilvl w:val="0"/>
                <w:numId w:val="2"/>
              </w:numPr>
              <w:tabs>
                <w:tab w:val="num" w:pos="110"/>
              </w:tabs>
              <w:spacing w:after="0" w:line="240" w:lineRule="auto"/>
              <w:ind w:left="252" w:hanging="252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การจัดการความเสี่ยง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วางมาตรการ/แนวทางป้องกันความเสี่ยง</w:t>
            </w:r>
          </w:p>
        </w:tc>
        <w:tc>
          <w:tcPr>
            <w:tcW w:w="2080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</w:p>
        </w:tc>
        <w:tc>
          <w:tcPr>
            <w:tcW w:w="211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การจัดการความเสี่ยงไม่เหมาะสม ไม่ถูกต้อง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</w:p>
        </w:tc>
        <w:tc>
          <w:tcPr>
            <w:tcW w:w="247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ความเสี่ยงระดับ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E-F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ได้รับการทบทวนโดยหน่วยงาน/ทีม 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80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5.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ติดตามการจัดการทบทวนความเสี่ยง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 G-H-I  100%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</w:tc>
      </w:tr>
      <w:tr w:rsidR="00E644F1" w:rsidRPr="00E644F1" w:rsidTr="00F43D4C">
        <w:tc>
          <w:tcPr>
            <w:tcW w:w="2832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  <w:lastRenderedPageBreak/>
              <w:t>การเชื่อมโยงความเสี่ยง</w:t>
            </w:r>
          </w:p>
          <w:p w:rsidR="00E644F1" w:rsidRPr="00E644F1" w:rsidRDefault="00E644F1" w:rsidP="00E644F1">
            <w:pPr>
              <w:numPr>
                <w:ilvl w:val="0"/>
                <w:numId w:val="3"/>
              </w:numPr>
              <w:tabs>
                <w:tab w:val="num" w:pos="252"/>
              </w:tabs>
              <w:spacing w:after="0" w:line="240" w:lineRule="auto"/>
              <w:ind w:left="252" w:hanging="252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การประสานข้อมูลกับทีม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/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หน่วยงานที่เกี่ยวข้อง</w:t>
            </w:r>
          </w:p>
          <w:p w:rsidR="00E644F1" w:rsidRPr="00E644F1" w:rsidRDefault="00E644F1" w:rsidP="00E644F1">
            <w:pPr>
              <w:numPr>
                <w:ilvl w:val="0"/>
                <w:numId w:val="3"/>
              </w:numPr>
              <w:tabs>
                <w:tab w:val="num" w:pos="252"/>
              </w:tabs>
              <w:spacing w:after="0" w:line="240" w:lineRule="auto"/>
              <w:ind w:hanging="720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การติดตามเครื่องชี้วัด</w:t>
            </w:r>
          </w:p>
          <w:p w:rsidR="00E644F1" w:rsidRPr="00E644F1" w:rsidRDefault="00E644F1" w:rsidP="00E644F1">
            <w:pPr>
              <w:numPr>
                <w:ilvl w:val="0"/>
                <w:numId w:val="3"/>
              </w:numPr>
              <w:tabs>
                <w:tab w:val="num" w:pos="252"/>
              </w:tabs>
              <w:spacing w:after="0" w:line="240" w:lineRule="auto"/>
              <w:ind w:left="252" w:hanging="252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ประเมินผล และประเมินประสิทธิภาพการจัดการความเสี่ยง</w:t>
            </w:r>
          </w:p>
        </w:tc>
        <w:tc>
          <w:tcPr>
            <w:tcW w:w="2080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</w:p>
        </w:tc>
        <w:tc>
          <w:tcPr>
            <w:tcW w:w="211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ขาดการประสานข้อมูล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ขาดการติดตามเครื่องชี้วัด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-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ขาดการประเมินผล</w:t>
            </w:r>
          </w:p>
        </w:tc>
        <w:tc>
          <w:tcPr>
            <w:tcW w:w="2471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b/>
                <w:bCs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sz w:val="32"/>
                <w:szCs w:val="32"/>
              </w:rPr>
              <w:t xml:space="preserve">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5.ความเสี่ยงทุกระดับได้รับการวิเคราะห์แนวโน้มและทบทวน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RCA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เชิงระบบในอุบัติการณ์ระดับ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E-I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</w:t>
            </w:r>
          </w:p>
        </w:tc>
      </w:tr>
    </w:tbl>
    <w:p w:rsidR="00E644F1" w:rsidRDefault="00E644F1">
      <w:pPr>
        <w:rPr>
          <w:rFonts w:hint="cs"/>
          <w:cs/>
        </w:rPr>
      </w:pPr>
      <w:bookmarkStart w:id="0" w:name="_GoBack"/>
      <w:bookmarkEnd w:id="0"/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992"/>
        <w:gridCol w:w="850"/>
        <w:gridCol w:w="993"/>
        <w:gridCol w:w="992"/>
        <w:gridCol w:w="992"/>
        <w:gridCol w:w="992"/>
      </w:tblGrid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  <w:t>ข้อมูล/ตัวชี้วัด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  <w:t>เป้า</w:t>
            </w: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  <w:t>หมาย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  <w:t>2555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  <w:t>2556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  <w:t>2557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  <w:t>255</w:t>
            </w: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  <w:t>8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b/>
                <w:bCs/>
                <w:color w:val="3333CC"/>
                <w:sz w:val="32"/>
                <w:szCs w:val="32"/>
              </w:rPr>
              <w:t>2559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ร้อยละของบุคลากรที่รายงานอุบัติการณ์ได้ครบตามเกณฑ์รายเดือน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Times New Roman"/>
                <w:sz w:val="32"/>
                <w:szCs w:val="32"/>
                <w:cs/>
              </w:rPr>
              <w:t>≥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50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7.32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11.14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21.45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25.81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15.32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ร้อยละการจัดระดับความเสี่ยงระดับ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 E - I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ไม่ถูกต้อง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Times New Roman"/>
                <w:sz w:val="32"/>
                <w:szCs w:val="32"/>
                <w:cs/>
              </w:rPr>
              <w:t>≤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10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21.49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13.91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18.90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9.77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13.00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ร้อยละของอุบัติการณ์ที่มีความรุนแรงระดับ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A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vertAlign w:val="subscript"/>
              </w:rPr>
              <w:t>2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B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vertAlign w:val="subscript"/>
              </w:rPr>
              <w:t xml:space="preserve"> 2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,E - I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ได้รับการทบทวน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Times New Roman"/>
                <w:sz w:val="32"/>
                <w:szCs w:val="32"/>
                <w:cs/>
              </w:rPr>
              <w:t>≥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80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54.31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64.17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82.00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74.21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51.12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ร้อยละของอุบัติการณ์ที่มีความรุนแรงระดับ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G-I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ได้รับการทบทวน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 xml:space="preserve">100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100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100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100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100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100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ร้อยละอุบัติการณ์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miss / near miss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ด้านคลินิก</w:t>
            </w:r>
          </w:p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ด้านทั่วไป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&lt; 20 %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46.04</w:t>
            </w: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16.28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70.27</w:t>
            </w: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22.35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56.9</w:t>
            </w: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15.77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 w:hint="cs"/>
                <w:sz w:val="32"/>
                <w:szCs w:val="32"/>
                <w:cs/>
              </w:rPr>
              <w:t>44.13</w:t>
            </w: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29.6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65.90</w:t>
            </w:r>
          </w:p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26.01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ร้อยละการปฏิบัติตามแนวทางป้องกันที่วางไว้ได้อย่างถูกต้อง(แนวทางปฏิบัติของ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IR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รุนแรงระดับ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A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vertAlign w:val="subscript"/>
              </w:rPr>
              <w:t>2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B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vertAlign w:val="subscript"/>
              </w:rPr>
              <w:t xml:space="preserve"> 2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,E – I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ที่ทบทวนแล้ว)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Times New Roman"/>
                <w:sz w:val="32"/>
                <w:szCs w:val="32"/>
                <w:cs/>
              </w:rPr>
              <w:t>≥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80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48.52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54.68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78.39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80.88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51.52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ร้อยละของการเกิดอุบัติการณ์ซ้ำใน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IR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รุนแรงระดับ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B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vertAlign w:val="subscript"/>
              </w:rPr>
              <w:t>2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, E – I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ที่ได้รับการทบทวน (นับเฉพาะเกิดซ้ำจากรากเดียวกัน)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Times New Roman"/>
                <w:sz w:val="32"/>
                <w:szCs w:val="32"/>
                <w:cs/>
              </w:rPr>
              <w:t>≤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 10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51.48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45.32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21.61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19.12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48.32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ใช้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FMEA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พัฒนางานคลินิก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4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เรื่อง/ปี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NA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NA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4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NA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NA</w:t>
            </w:r>
          </w:p>
        </w:tc>
      </w:tr>
      <w:tr w:rsidR="00E644F1" w:rsidRPr="00E644F1" w:rsidTr="00F43D4C">
        <w:tc>
          <w:tcPr>
            <w:tcW w:w="4503" w:type="dxa"/>
          </w:tcPr>
          <w:p w:rsidR="00E644F1" w:rsidRPr="00E644F1" w:rsidRDefault="00E644F1" w:rsidP="00E644F1">
            <w:pPr>
              <w:spacing w:after="0" w:line="240" w:lineRule="auto"/>
              <w:jc w:val="thaiDistribute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อุบัติการณ์ที่พบจากการทำ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Trigger tool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ที่มีความรุนแรงระดับ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 xml:space="preserve">E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>ขึ้นไป ได้รับการทบทวนป้องกัน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100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850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NA</w:t>
            </w:r>
          </w:p>
        </w:tc>
        <w:tc>
          <w:tcPr>
            <w:tcW w:w="993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NA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NA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  <w:cs/>
              </w:rPr>
              <w:t xml:space="preserve">100 </w:t>
            </w: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%</w:t>
            </w:r>
          </w:p>
        </w:tc>
        <w:tc>
          <w:tcPr>
            <w:tcW w:w="992" w:type="dxa"/>
          </w:tcPr>
          <w:p w:rsidR="00E644F1" w:rsidRPr="00E644F1" w:rsidRDefault="00E644F1" w:rsidP="00E644F1">
            <w:pPr>
              <w:spacing w:after="0" w:line="240" w:lineRule="auto"/>
              <w:jc w:val="center"/>
              <w:rPr>
                <w:rFonts w:ascii="Cordia New" w:eastAsia="Times New Roman" w:hAnsi="Cordia New" w:cs="Cordia New"/>
                <w:sz w:val="32"/>
                <w:szCs w:val="32"/>
                <w:cs/>
              </w:rPr>
            </w:pPr>
            <w:r w:rsidRPr="00E644F1">
              <w:rPr>
                <w:rFonts w:ascii="Cordia New" w:eastAsia="Times New Roman" w:hAnsi="Cordia New" w:cs="Cordia New"/>
                <w:sz w:val="32"/>
                <w:szCs w:val="32"/>
              </w:rPr>
              <w:t>80%</w:t>
            </w:r>
          </w:p>
        </w:tc>
      </w:tr>
    </w:tbl>
    <w:p w:rsidR="00E644F1" w:rsidRDefault="00E644F1"/>
    <w:sectPr w:rsidR="00E6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New">
    <w:altName w:val="PMingLiU"/>
    <w:panose1 w:val="00000000000000000000"/>
    <w:charset w:val="00"/>
    <w:family w:val="roman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6099"/>
    <w:multiLevelType w:val="hybridMultilevel"/>
    <w:tmpl w:val="11845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20547"/>
    <w:multiLevelType w:val="hybridMultilevel"/>
    <w:tmpl w:val="EA08F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674F12"/>
    <w:multiLevelType w:val="hybridMultilevel"/>
    <w:tmpl w:val="9E9681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F1"/>
    <w:rsid w:val="00E644F1"/>
    <w:rsid w:val="00E9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Pakkad Laboratory</dc:creator>
  <cp:lastModifiedBy>Pakkad Laboratory</cp:lastModifiedBy>
  <cp:revision>1</cp:revision>
  <dcterms:created xsi:type="dcterms:W3CDTF">2018-04-25T06:21:00Z</dcterms:created>
  <dcterms:modified xsi:type="dcterms:W3CDTF">2018-04-25T06:24:00Z</dcterms:modified>
</cp:coreProperties>
</file>