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Supplementary File 5: Affiliations and Limitations, Strengths, Findings, and Opportunities.</w:t>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showing a list of Affiliations conducting Computational Neuroscience research in Sub-Saharan Africa.</w:t>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8.5053929121723"/>
        <w:gridCol w:w="6951.494607087827"/>
        <w:tblGridChange w:id="0">
          <w:tblGrid>
            <w:gridCol w:w="2408.5053929121723"/>
            <w:gridCol w:w="6951.494607087827"/>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Affiliations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0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&amp; Neuroscience Institute, Faculty of Health Sciences, University of Cape Town, Rondebosch,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Medical Research Council</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0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Medical Research Council (SAMRC), Unit on Child &amp; Adolescent Health,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0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Paediatrics &amp; Child Health, Red Cross War Memorial Children’s Hospital, University of Cape Town, Rondebosch,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Medical Research Council</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0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Medical Research Council (SAMRC), Unit on Risk and Resilience in Mental Disorders,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1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and Neuroscience Institute, SA MRC Unit on Risk and Resilience in Mental Disorders, University of Cape Town, Cape Town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1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SA MRC Unit on Risk and Resilience in Mental Disorders, Stellenbosch University, Cape Town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1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of Neurology, Tygerberg Hospital and Stellenbosch University, Cape Town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 Cape Town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Medical Research Council</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SAMRC Genomics of Brain Disorders Unit, Department of Psychiatry, Cape Town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SAMRC Unit on Risk &amp; Resilience in Mental Disorders, Department of Psychiatry, Stellenbosch University, Stellenbosch</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and Mental Health, University of Cape Town, Cape Town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1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Medical Research Council</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1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Medical Research Council (SAMRC), Unit on Risk and Resilience in Mental Disorders,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2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&amp; Neuroscience Institute, Faculty of Health Sciences, University of Cape Town, Rondebosch,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2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Medical Research Council</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Medical Research Council Unit on the Genomics of Brain Disorders (GBD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2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Stellenbosch University, Stellenbosch</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2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MRC Unit on Risk and Resilience in Mental Disorders, Department of Psychiatry, Stellenbosch University, Stellenbosch</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2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Neuroscience Institute, University of Cape Town, Cape Town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2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and Mental Health, Neuroscience Institute, University of Cape Town, Cape Town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2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MRC Unit on Risk &amp; Resilience in Mental Disorders, Department of Psychiatry and Neuroscience Institute, University of capeTown, Cape Town South Africa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2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 Institute, University of Cape Town,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3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3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SA MRC Unit on Risk &amp; Resilience in Mental Disorders University of Cape Town, Cape Town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3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Valkenburg Hospital</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3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Cape Department of Health, Valkenburg Hospital, Cape Town, Western Cape, South Africa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3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3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 Institute, University of Cape Town,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3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Translational Neuroscience Group, Department of Psychiatry and Mental Health,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3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MRC Genomics and Brain Disorders Unit, Department of Psychiatry, Stellenbosch University, Stellenbosch,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3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MRC Unit on Risk &amp; Resilience in Mental Disorders, Department of Psychiatry, Stellenbosch University, Stellenbosch,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3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3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MRC Unit on Risk &amp; Resilience in Mental Disorders, Department of Psychiatry &amp; Neuroscience Institute, University of Cape Town,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3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3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&amp; Mental Health, Neuroscience Institute, University of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4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4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SAMRC Unit on Risk &amp; Resilience in Mental Disorders, Dept of Psychiatry &amp; Neuroscience Institute, University of Cape Town, Cape Town, South Africa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4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4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Stellenbosch, Cape Town, Western Province, South Africa</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4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4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SAMRC Unit on Risk &amp; Resilience in Mental Disorders, Dept of Psychiatry and Neuroscience Institute, University of Cape Town, Cape Town, Western Province,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4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4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and Mental Health, University of Cape Town, Cape Town, Western Cape,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4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4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 Institute, University of Cape Town, Cape Town, Western Cape, South Africa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4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Valkenburg Hospital</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4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Valkenburg Hospital, Observatory, Cape Town, Western Cape, South Africa</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4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Witwatersrand</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MRC and Wits Rural Public Health and Health Transitions Research Unit (Agincourt), School of Public Health, Faculty of Health Sciences, University of the Witwatersrand, Johannesburg,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4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Paediatrics and Child Health, University of Cape Town,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5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5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Psychiatry and Mental Health, University of Cape Town, Cape Town, South Africa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5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5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Neuroscience Institute, University of Cape Town,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CURE Children’s Hospital of Uganda</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CURE Children’s Hospital of Uganda, Mbale, Uganda (Cherukuri et al., 2017.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on Risk and Resilience in Mental Disorders, South African Medical Research Council (SAMRC),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Cape Town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SU/UCT MRC Unit on Risk and Resilience in Mental Disorders, Department of Psychiatry and Mental Health, University of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5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5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SU/UCT MRC Unit on Risk and Resilience in Mental Disorders, Department of Psychiatry, University of Stellenbosch,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5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US/UCT MRC Unit on Anxiety and Stress Disorders, Department of Psychiatry, University of Stellenbosch,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5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5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Medicine and Health Sciences, Department of Psychiatry, Stellenbosch, University of Cape Town, South Africa</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6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Stellenbosch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6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Medicine and Health Sciences, South African Medical Council Unit on the Genomics of Brain Disorders, Department of Psychiatry, Stellenbosch University,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6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Medical Research Council</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and Health research Unit, South African Medical Research Council,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6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Medical Research Council</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6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 Medical Council-Biostatistics Unit, Cape Town South Africa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6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Centre for Geographic Medicine Research Coast</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6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KEMRI and Wellcome Trust Research Programme, Centre for Geographic Medicine Research Coast, Kilifi, Kenya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6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 Khan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Population Health and Brain and Mind Institute , Aga Khan University, Nairobi, Kenya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6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Makerere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6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Paediatrics and Child Health, Makerere University College of Health Sciences, Kampala, Uganda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6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College Hospital, Ibadan,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6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Radiology, University College Hospital, Ibadan, Nigeria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6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Chinhoyi University of Technology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6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 and Electronics, Chinhoyi University of Technology, Harare, Zimbabwe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7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Chinhoyi University of Technology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7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Business School, Chinhoyi University of Technology, Harare, Zimbabwe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7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Kintampo Health Research Centre</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7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Kintampo Health Research Centre, Kintampo, Ghana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7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INDEPTH Network</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7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of Epidemiology of Epilepsy in Demographic Surveillance Systems, INDEPTH Network, Accra, Ghana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7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Ifakara Health Institute</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7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Ifakara Health Institute, Ifakara, Tanzania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Muhimbili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7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Muhimbili University of Health and Allied Sciences Dar-es Salaam, Tanzania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Jimma University</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7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Biomedical Imaging Unit, School of Biomedical Engineering, Jimma Institute of Technology, Jimma University, Jimma, Ethiopia</w:t>
            </w:r>
          </w:p>
        </w:tc>
      </w:tr>
    </w:tbl>
    <w:p w:rsidR="00000000" w:rsidDel="00000000" w:rsidP="00000000" w:rsidRDefault="00000000" w:rsidRPr="00000000" w14:paraId="0000007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E">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F">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0">
      <w:pPr>
        <w:widowControl w:val="0"/>
        <w:spacing w:line="480" w:lineRule="auto"/>
        <w:jc w:val="both"/>
        <w:rPr>
          <w:rFonts w:ascii="Times New Roman" w:cs="Times New Roman" w:eastAsia="Times New Roman" w:hAnsi="Times New Roman"/>
          <w:sz w:val="24"/>
          <w:szCs w:val="24"/>
          <w:highlight w:val="white"/>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highlight w:val="white"/>
          <w:rtl w:val="0"/>
        </w:rPr>
        <w:t xml:space="preserve">Table 2: Description of limitations, strengths, findings, and opportunities found in the primary studies</w:t>
      </w:r>
    </w:p>
    <w:p w:rsidR="00000000" w:rsidDel="00000000" w:rsidP="00000000" w:rsidRDefault="00000000" w:rsidRPr="00000000" w14:paraId="00000081">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2"/>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4140"/>
        <w:gridCol w:w="1440"/>
        <w:gridCol w:w="3345"/>
        <w:tblGridChange w:id="0">
          <w:tblGrid>
            <w:gridCol w:w="1320"/>
            <w:gridCol w:w="4140"/>
            <w:gridCol w:w="1440"/>
            <w:gridCol w:w="334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Description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Limitations or Challenges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Logistical challenges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participant dropout between survey and challenge of reaching eligible individuals for follow-up (​​Jones et al., 2023).</w:t>
            </w:r>
          </w:p>
        </w:tc>
      </w:tr>
      <w:tr>
        <w:trPr>
          <w:cantSplit w:val="0"/>
          <w:trHeight w:val="1580.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Transport, which led to missed sessions (e.g., missing intervention sessions or study assessments) (Rossouw et al., 2024).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Manual methods of data collection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Prone to errors, leading to inconsistency and compilation issues, making the approach unreliable (Nyaradzo et al., 2020).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Capturing less  significant variables in collected datasets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e.g., physical health status (Rossouw et al., 2024), environmental risk factors (secondhand smoke exposure), and limits accountability (Marshall et al., 2022).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failure of videos to contain evidence of all behavioral features as inputs affects generalization accuracy (Washington et al.,  2020).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Study designs limitations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Retrospective study fails to avail all the clinical measures for all the cohorts, limiting the ability to deeply investigate relationships between specific symptom domains and cerebellar structure and control for the possible confounding of comorbiditie,s which underscores the importance of incorporating the cerebellum into neurobiological models of PD (Kerestes et al., 2023).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480" w:lineRule="auto"/>
              <w:jc w:val="both"/>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Collecting and using cross-sectional data limits the strength of inferences we can make on the disease progression and prevents our ability to track diagnostic accuracy over time (Kerestes et al., 2023).</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Complex and dynamic datasets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Difficulty of quantifying specific sources of heterogeneity, i.e., neuro progression and comorbid conditions (Nunes et al., 2020).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Limited Datasets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Causes an inability to easily detect fundamental differences between groups (Koopowitz et al., 2023).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using a limited neurocognitive performance dataset, the study failed to link emergent brain biomarkers to neurocognitive performance associated with the same brain circuits (Zhu et al., 2023).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Small sample populations equally affect the model results (Adem et al., 2021).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Many predictor values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Leads to model overfitting (Ioannidis et al., 2016; Ioannidis et al., 2018), including the kernel model (Niemczak et al., 2022).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Feature ranking algorithms limitations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confidence intervals for the outcomes did not account for patient-level variation (Niemczak et al., 2022).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was a shared variance between different features in the interpretation of the machine learning models (Hahn et al., 2022 ).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Challenge to interprete predictor variable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arises when using Grad-CAM heatmaps on 3.0 T sagittal MRI data, especially in the presence of small artifact dossier. These artifacts can influence the model’s focus and may limit classification performance to MRI images only (Jimeno et al., 2022).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interpretation of the EMG signals requires only experienced neurologists (Adem et al., 2021).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Applying a single ComBat harmonization method across different data combinations presents challenges in interpretation (Radua et al., 2020).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Site variation (Non-uniform number of participants)Fintra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brings imbalance that biases and later affects the outcome of the machine Learning model (Ge et al., 2024; Kim et al., 2024).</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Possess challenges including inability to measure rumination symptoms thereby failing to analyze the association between rumination and the functional connectivity of DMN (Koopowitz et al., 2023).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study failed to find the relationship between basic patient properties and effect size difference in the brain gap due to these group differences (Han et al., 2022).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group differences have made some studies fail to capture phenotypic variability with PTSD  (Bruin et al., 2023).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Non-uniformity in the definition of the OFF state for the MDS-UPDRS3 across sites confounds the interpretability of the results (Kerestes et al., 2023).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Due to the subdural geometry variations across different patients and their intensity variation with time, the subdural space proves hard to separate from the brain and CSF (Cherukuri et al., 2018).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generally fewer studies on white matter differences, which relate to dependence on nicotine and illicit stimulants, than the grey matter differences (Ottino-González et al., 2022).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Observing sampling bias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480" w:lineRule="auto"/>
              <w:jc w:val="both"/>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specific samples e.g, female participants from low-income backgrounds (Koopowitz et al., 2023) and adolescents from low-income areas and informal settlement,s are considered,</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results cannot apply to other diverse groups (e.g., men from high-income populations) (Koopowitz et al., 2023) and adolescents from high-income areas and formal settlements (Rossouw et al., 2024).</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Biased studies have failed to detect significant differences between unmedicated patients and controls (Bruin et al., 2023).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Comorbidity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Underreporting of comorbidity is a multifaceted issue, including Neuropsychiatric comorbidity, which leads to failure to evaluate comorbidity in primary studies (Zhu et al., 2023).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comorbid dependence on nicotine in cocaine and methamphetamine groups made it difficult to isolate the effects of being dependent on illicit stimulants from those of being dependent on nicotine, too (Ottino-González et al., 2022).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Machine learning and deep learning models limitations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Limitations include quantification and categorization of several social activities (Washington et al.,  2020)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inability to readily provide corresponding interpretations since they are black-box models  (Zhu et al., 2023).</w:t>
            </w:r>
          </w:p>
        </w:tc>
      </w:tr>
      <w:tr>
        <w:trPr>
          <w:cantSplit w:val="0"/>
          <w:trHeight w:val="111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validation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Not validating in other areas whose populations did not contribute to model development (Jones et al., 2023).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480" w:lineRule="auto"/>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Applications or tools are usually developed for a specific purpose, e.g., a Diagnostic Companion/aid epilepsy predictive model or tool does not apply to non-convulsive seizures (Jones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 Collection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1d35"/>
                <w:sz w:val="24"/>
                <w:szCs w:val="24"/>
                <w:highlight w:val="white"/>
                <w:rtl w:val="0"/>
              </w:rPr>
              <w:t xml:space="preserve">Studies that collect structured videos </w:t>
            </w:r>
            <w:r w:rsidDel="00000000" w:rsidR="00000000" w:rsidRPr="00000000">
              <w:rPr>
                <w:rFonts w:ascii="Times New Roman" w:cs="Times New Roman" w:eastAsia="Times New Roman" w:hAnsi="Times New Roman"/>
                <w:sz w:val="24"/>
                <w:szCs w:val="24"/>
                <w:highlight w:val="white"/>
                <w:rtl w:val="0"/>
              </w:rPr>
              <w:t xml:space="preserve">from home smartphone autism interventions tend to yield more consistent video difficulty levels (Washington et al.,  2020)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Collection of big datasets from a specific population (Ottino-González et al., 2022; Radua et al., 2020; Kerestes et al., 2023). This facilitates the machine learning algorithm with more data points and a more balanced case to learn from (Hahn et al., 2022 ). Thereby enabling the results of the study to be generalized ( Kerestes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Large, region and culture-specific datasets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Modeling of these datasets is successful, and it enhances the findings' contextual relevance and external validity for targeted populations (Jones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Employing a meta-analysis in a multi-cohort dataset enabled the observation of small effect sizes of PTSD on cerebellar volumes (Huggins et al., 2024).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Larger samples compared to smaller samples result in optimized learning and performance for larger samples when training with machine learning models (Kim et al., 2024).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Dataset Splitting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Helps minimize overfitting (Kim et al., 2024).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Ability to provide evidence for large-scale network aberrations in OCD and highlight the importance of sensorimotor network hypo-connectivity, which should be incorporated into neural models of OCD (Bruin et al., 2023).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Study designs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Prospective studies follow up on patients (Kerestes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Group differences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Ease the precise detection of group differences in samples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Different types of activities associated with Problematic Internet Use improves the </w:t>
            </w:r>
            <w:r w:rsidDel="00000000" w:rsidR="00000000" w:rsidRPr="00000000">
              <w:rPr>
                <w:rFonts w:ascii="Times New Roman" w:cs="Times New Roman" w:eastAsia="Times New Roman" w:hAnsi="Times New Roman"/>
                <w:sz w:val="24"/>
                <w:szCs w:val="24"/>
                <w:rtl w:val="0"/>
              </w:rPr>
              <w:t xml:space="preserve">accuracy(robustness) of the results if experimented on </w:t>
            </w: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Times New Roman" w:cs="Times New Roman" w:eastAsia="Times New Roman" w:hAnsi="Times New Roman"/>
                <w:sz w:val="24"/>
                <w:szCs w:val="24"/>
                <w:rtl w:val="0"/>
              </w:rPr>
              <w:t xml:space="preserve">variety of machine learning models </w:t>
            </w:r>
            <w:r w:rsidDel="00000000" w:rsidR="00000000" w:rsidRPr="00000000">
              <w:rPr>
                <w:rFonts w:ascii="Times New Roman" w:cs="Times New Roman" w:eastAsia="Times New Roman" w:hAnsi="Times New Roman"/>
                <w:sz w:val="24"/>
                <w:szCs w:val="24"/>
                <w:highlight w:val="white"/>
                <w:rtl w:val="0"/>
              </w:rPr>
              <w:t xml:space="preserve">(Ioannidis, 2016), (Ioannidis, 2018).</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To enhance the internal </w:t>
            </w:r>
            <w:r w:rsidDel="00000000" w:rsidR="00000000" w:rsidRPr="00000000">
              <w:rPr>
                <w:rFonts w:ascii="Times New Roman" w:cs="Times New Roman" w:eastAsia="Times New Roman" w:hAnsi="Times New Roman"/>
                <w:sz w:val="24"/>
                <w:szCs w:val="24"/>
                <w:highlight w:val="white"/>
                <w:rtl w:val="0"/>
              </w:rPr>
              <w:t xml:space="preserve">validity of the model, group differences were examined whenever the scanner effects were not detected (Koopowitz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establishing group differences, inter-class differentiation was analyzed to capture finer distinctions in neural activity between subgroups. To easily maximize interclass differences, effectively differentiating one class (segment) from another is vital as it enhances discriminative power, making the model more effective at distinguishing between different segments or regions (Cherukuri et al., 2018).</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Another study provides evidence of cerebellar structural alterations in PD, characterized by a dissociation between anterior and posterior cerebellar lobe involvement associated with disease staging (Kerestes et al., 2023).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Separating the wrap-around artifacts into two independent identification models (through-plane and in-plane) was successful. The work incorporates gradient-based visualizations to enable explainable AI and artifact localization within the images (Jimeno et al., 2022).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Features Selection</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Identification of k features to show a correlation with convulsive epilepsy, avoiding overfitting. This demonstrates robust model development practices (i.e., dimensionality reduction or regularization)(Jones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reduce feature dimensions, the Denoising variational autoencoder (DVAE) has been successful in primary studies, e.g., reduction of the rs-fMRI features from 10,878 features to 10 latent variables, without losing information important for classification (Zhu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achieve data quality and  reducing bias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connectivity estimates affected by scanner effects were removed (Koopowitz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outcomes from the brain prediction model accommodate all cohorts (Han et al., 2022).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commitment to reducing bias that would stem from the decisions and enhancing data integrity and comparability (Koopowitz et al., 2023; Han et al., 2022), thereby obtaining fairness.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Consistent data labelling, and the ability to perform statistical analysis to assess the models' classification accuracies against the labels, e.g., radiologist's labeling (Jimeno et al., 2022)</w:t>
            </w:r>
          </w:p>
        </w:tc>
      </w:tr>
      <w:tr>
        <w:trPr>
          <w:cantSplit w:val="0"/>
          <w:trHeight w:val="7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Label consistency criterion enhances segmentation by encouraging intra- or within-class similarity, which improves segmentation accuracy by promoting coherent labeling within each class, thereby leading to more reliable and smooth segmentation results (Cherukuri et al., 2018).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Each Label provided for behavior dimensions can be used for a generalized machine-learning model, making precision medicine automated and scalable (​​Washington et al.,  2020).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Consider samples to the study including female participants from low-income backgrounds (Koopowitz et al., 2023) and adolescents from low-income areas and informal settlements (Rossouw et al., 2024).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Machine learning and deep learning models advantage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various models increases the accuracy and efficiency of the final results (Ge et al., 2024; Ioannidis et al., 2016; and Ioannidis et al., 2018). including simpler models that have proved to perform well, for example, logistic regression, which outperformed other models (Jones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Gaussian naive Bayes model outperformed kernel naive Bayes because it is simpler, faster, and has fewer parameters (Niemczak et al., 2022).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 primary studies developed models with potential adoption in clinical screening programs, especially for low-resource settings and expertise (Adem et al., 2021).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clinical heterogeneity and multisite nature allowed testing of the machine learning algorithms in a broader range of participants in a fair setting that better resembles a clinical situation (Nunes et al., 2020).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some studies, the government is informed of the estimated number of actual patients exposed to drugs and the location of the patients. This is possible due to the ability of the study to prepare data through data cleaning and transformation before the processing and analysis, which has helped not only inform policy but also reduce model overfitting and underfitting (Nyaradzo et al., 2020).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development tools are equally evolving, like the first deep learning-based tool for identifying wrap-around and Gibbs ringing artifacts across any field strength (Jimeno et al., 2022).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validation helps assess whether the findings of a study are PD-specific or overlap with related neurodegenerative diseases (e.g., multiple system atrophy, progressive supranuclear palsy, and dementia with Lewy bodies). This task remains to be investigated  (Kerestes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Prevalence of Substance and disease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was also observed that there was an improvement in sleep quality in both the intervention group and control group, though this improvement was only sustained for one month in the intervention group and not the control group (Rossouw et al., 2024).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PTSD was associated with significantly smaller total cerebellar volume (Huggins et al., 2024).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widespread functional connectivity (FC) aberrations in OCD patients as compared to healthy controls. There is a lesser degree of subcortical involvement in OCD as measured by resting-state fMRI. The largest effect sizes for differences between medicated patients versus HC were mainly in sensorimotor regions (Bruin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MDD patients showed advanced brain aging compared to controls by approximately +1 year (Han et al., 2022).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Neurological disorder findings show that PD is more common in men than in women. Adult-onset PD is the most common, but early-onset PD (onset between 21 to 40 years) and juvenile-onset PD (onset before age 21) can occur in some cases (Adem et al., 2021).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 Anterior Lobe volume in PD is not sustained with time, but it diminishes with the progression of the disease. Anterior Lobe and posterior Lobe volume is significantly lower in the PD group relative to controls and incrementally decreases with more severe disease staging. Lobule VIIB, which showed the most significant differences across stages, is a "non-motor" region of the cerebellar cortex and is preferentially connected to the cerebral cortex's prefrontal and posterior parietal regions. Each increment of the Y stages was characterized by worse cognitive performance, motor performance, and a longer time since diagnosis (Kerestes et al., 2023).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Substance use/addiction only registered Substance-induced psychosis (SIP) and substance use disorder, which was increasingly rampant in Zimbabwe. Finally, the neuroimaging findings indicate that networks can identify artifacts by 89.5% across both identification tasks (Jimeno et al., 2022).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Findings were related to associated behaviour outcomes for each of these studies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Substance users indicated a high magnitude of violence, vandalism, and suicide (Nyaradzo et al., 2020).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Crowdsourced workers vary in their performance on behavioral tagging of clinically representative autism videos and matched neurotypical controls (Washington et al.,  2020).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PAE is associated with a reduction in the medial temporal Lobe, a brain region critical for learning and memory. In addition, PTE has a stronger and broader association with regions for executive function, reward processing, and emotional regulation (Marshall et al., 2022).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Psychiatric diagnoses and internet activities associated with PIU vary with age and gender. Besides, Internet gaming is found to be a candidate disorder (Ioannidis et al., 2016; Ioannidis et al., 2018).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2020,  Nunes et al. found that age and anticonvulsants were associated with greater odds of correct classification (Nunes et al., 2020).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another study, the multivariate white matter differences proved sufficient to identify individuals with stimulant dependence, particularly for cocaine and methamphetamine. In addition, groups showed lower regional FA than the non-dependent group (Ottino-González et al., 2022).</w:t>
            </w:r>
          </w:p>
          <w:p w:rsidR="00000000" w:rsidDel="00000000" w:rsidP="00000000" w:rsidRDefault="00000000" w:rsidRPr="00000000" w14:paraId="000001B1">
            <w:pPr>
              <w:widowControl w:val="0"/>
              <w:spacing w:line="480" w:lineRule="auto"/>
              <w:ind w:left="720" w:hanging="360"/>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Performance superiority and efficiency improvement while observing datasets and model results.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Comorbid groups exhibited greater functional FC between the frontal region seed pairs typically involved in high-order neurocognitive functions, e.g., planning and decision-making (Koopowitz et al., 2023).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results outperformed well-known methods in sparsity-based segmentation (Cherukuri et al., 2018).</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was found that the auditory variable improved the prediction of cognitive function (Niemczak et al., 2022).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 or segment-specific dictionaries help reduce memory and computational requirements, unlike pixel-specific dictionaries, thereby contributing to the interpretation of how comorbidities may impact brain function (Cherukuri et al., 2018).</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has been shown that the eight binary questions can identify convulsive epilepsy with high specificity and sensitivity in the Sub-Saharan population (Jones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was found that the auditory variable improved the prediction of cognitive function (Niemczak et al., 2022).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DVAE captured differences across sites and can be generalized to the new sites. Argumentatively, the DAVE framework may be more significant in clinical practice since the neuroimaging-based diagnostic DVAE classification models are much less site-specific (Zhu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 low to moderate accuracy (ranging from 60%-90% in all the small datasets) in predicting  OCD diagnosis and medication status (Kim et al., 2024).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Cross-validation does not account for the sites properly and can drastically overestimate results (Hahn et al., 2022 ).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Combat increased the statistical significance (narrow confidence intervals, large p-values) of the differences between SCZ and CON (Radua et al., 2020).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Sex-specific models based on the MFPR algorithm with nonlinear fractional polynomials of age and global neuroimaging measures emerged as optimum based on performance and computational efficiency (Ge et al., 2024).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Machine learning differentiates BD participants from controls with above-chance accuracy even in a large and heterogeneous sample of 3020 participants from 13 sites worldwide (Nunes et al., 2020).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SVM successfully identified individuals dependent on cocaine, methamphetamine, and, to a lesser extent, nicotine (Ottino-González et al., 2022).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Impact of feature addition is emphasised as an area for improvement in primary studie</w:t>
            </w:r>
            <w:r w:rsidDel="00000000" w:rsidR="00000000" w:rsidRPr="00000000">
              <w:rPr>
                <w:rFonts w:ascii="Times New Roman" w:cs="Times New Roman" w:eastAsia="Times New Roman" w:hAnsi="Times New Roman"/>
                <w:b w:val="1"/>
                <w:bCs w:val="1"/>
                <w:sz w:val="24"/>
                <w:szCs w:val="24"/>
                <w:highlight w:val="white"/>
                <w:rtl w:val="0"/>
              </w:rPr>
              <w:t xml:space="preserv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i</w:t>
            </w:r>
            <w:r w:rsidDel="00000000" w:rsidR="00000000" w:rsidRPr="00000000">
              <w:rPr>
                <w:rFonts w:ascii="Times New Roman" w:cs="Times New Roman" w:eastAsia="Times New Roman" w:hAnsi="Times New Roman"/>
                <w:sz w:val="24"/>
                <w:szCs w:val="24"/>
                <w:highlight w:val="white"/>
                <w:rtl w:val="0"/>
              </w:rPr>
              <w:t xml:space="preserve">ncreasing strongly correlated features in the training dataset with convulsive seizures fails to improve model performance (Jones et al., 2023). Reveals that adding redundant features does not enhance model accuracy, suggesting the sufficiency of existing features.</w:t>
            </w:r>
          </w:p>
          <w:p w:rsidR="00000000" w:rsidDel="00000000" w:rsidP="00000000" w:rsidRDefault="00000000" w:rsidRPr="00000000" w14:paraId="000001EA">
            <w:pPr>
              <w:widowControl w:val="0"/>
              <w:spacing w:line="480" w:lineRule="auto"/>
              <w:ind w:left="720" w:hanging="360"/>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findings equally identified specific substances predominantly found in studies. The commonly used substances inducing psychosis in Zimbabwe were found to be Alcohol, crystal meth, marijuana, and nicotine (Nyaradzo et al., 2020).</w:t>
            </w:r>
          </w:p>
          <w:p w:rsidR="00000000" w:rsidDel="00000000" w:rsidP="00000000" w:rsidRDefault="00000000" w:rsidRPr="00000000" w14:paraId="000001EF">
            <w:pPr>
              <w:widowControl w:val="0"/>
              <w:spacing w:line="480" w:lineRule="auto"/>
              <w:ind w:left="720" w:hanging="360"/>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 comparison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logistic regression, support vector, and naive Bayes models performed similarly, outperforming the decision-tree model (Jones et al., 2023).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Provides comparative performance metrics for different machine learning models. Therefore, the chosen model was logistic regression due to its interpretability and ease of implementation (Jones et al., 2023).</w:t>
            </w:r>
          </w:p>
          <w:p w:rsidR="00000000" w:rsidDel="00000000" w:rsidP="00000000" w:rsidRDefault="00000000" w:rsidRPr="00000000" w14:paraId="000001F8">
            <w:pPr>
              <w:widowControl w:val="0"/>
              <w:spacing w:line="480" w:lineRule="auto"/>
              <w:ind w:left="720" w:hanging="360"/>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Digitization of manual capturing of records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digitization of psychiatric records is vital. </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Psychiatric units should capture medical records and notes in a digital platform to easily enhance data quality and access (Nyaradzo et al., 2020).</w:t>
            </w:r>
          </w:p>
          <w:p w:rsidR="00000000" w:rsidDel="00000000" w:rsidP="00000000" w:rsidRDefault="00000000" w:rsidRPr="00000000" w14:paraId="000001FD">
            <w:pPr>
              <w:widowControl w:val="0"/>
              <w:spacing w:line="480" w:lineRule="auto"/>
              <w:ind w:left="720" w:hanging="360"/>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Need to use Existing or new datasets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need to use existing readmission datasets as benchmarks to strengthen model evaluation and validity  (Nyaradzo et al., 2020).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novel/broader strategy for recruiting crowd workers to ensure high quality in diagnosing autism is vital for promising future studies (Washington et al.,  2020).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Equally, a focus on incorporating a bigger sample population so that the results can be applied in general terms will help improve data collection (Adem et al., 2021).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development of databases of people with non-convulsive epilepsy to expand the predictive model (Jones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Future studies should focus on using homogeneous samples rather than heterogeneous samples to achieve better classifications. (Bruin et al., 2023). </w:t>
            </w:r>
          </w:p>
          <w:p w:rsidR="00000000" w:rsidDel="00000000" w:rsidP="00000000" w:rsidRDefault="00000000" w:rsidRPr="00000000" w14:paraId="00000212">
            <w:pPr>
              <w:widowControl w:val="0"/>
              <w:spacing w:line="480" w:lineRule="auto"/>
              <w:ind w:left="720" w:hanging="360"/>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inclusion of additional factors or features extracted from the dataset is vital.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Including potential explanatory variables like child adversity, premature birth, and socioeconomic status because they influence brain morphometry (Ge et al., 2024).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 need to look at other demographic factors like exposure to technology and education level, other than age and gender, for better generalizations (Ioannidis et al., 2016; Ioannidis et al., 2018).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Studies should be done with due consideration of other physical health status (Rossouw et al., 2024).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If other environmental factors, for example, secondhand smoke exposure, bring about the effects of PTE on brain structure, then further longitudinal neuroimaging research with this kind of cohort is necessary (Marshall et al., 2022).</w:t>
            </w:r>
          </w:p>
          <w:p w:rsidR="00000000" w:rsidDel="00000000" w:rsidP="00000000" w:rsidRDefault="00000000" w:rsidRPr="00000000" w14:paraId="00000223">
            <w:pPr>
              <w:widowControl w:val="0"/>
              <w:spacing w:line="480" w:lineRule="auto"/>
              <w:ind w:left="720" w:hanging="360"/>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 need to balance the participants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improves our model predictions and performance. The opportunity points to a methodological improvement, suggesting better group balance (e.g., in terms of sex, age, or diagnostic categories) to reduce bias and improve generalizability (Ge et al., 2024).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achieve a high-quality diagnostic evaluation of autism evaluations, adopting a novel strategy for recruiting crowdsourced workers is vital (Washington et al.,  2020). </w:t>
            </w:r>
          </w:p>
        </w:tc>
      </w:tr>
      <w:tr>
        <w:trPr>
          <w:cantSplit w:val="0"/>
          <w:trHeight w:val="217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 need to investigate the quantity and timing of PAE/PTE as individual differences between participants with PAE depend on the age of the participants under Study (Marshall et al., 2022).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 need to engage adolescents from all income level areas and consider both formal and informal settlements (Rossouw et al., 2024).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Combining biomarkers from different modalities should be incorporated in future studies to detect better latent effects hidden within high-dimensional datasets (Zhu et al., 2023)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Promising technical, clinical, or biological directions for new research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Studies include establishing substance movement patterns  (Nyaradzo et al., 2020), identifying and evaluating white matter differences (Ottino-González et al., 2022), and, </w:t>
            </w:r>
          </w:p>
          <w:p w:rsidR="00000000" w:rsidDel="00000000" w:rsidP="00000000" w:rsidRDefault="00000000" w:rsidRPr="00000000" w14:paraId="0000023C">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3D">
            <w:pPr>
              <w:widowControl w:val="0"/>
              <w:spacing w:line="480" w:lineRule="auto"/>
              <w:ind w:left="720" w:hanging="360"/>
              <w:jc w:val="both"/>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studies should be conducted to examine which scan technical, clinical, or biological characteristics may underlie the individual variations in the brain age gap (Han et al., 2022).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primary studies contain many ENIGMA mega-analysis projects, and it has been found that these projects should not only focus on methods other than ComBat but also on improving between-site harmonization using ComBat (Radua et al., 2020).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Future multisite brain imaging studies should attempt to move towards sharing individual subject data, not only at the site level (Nunes et al., 2020).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quantify relationships, interpreting the results of the neuroimaging-based classification is vital (Hahn et al., 2022 ).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 exploration of detecting subdural from the brain and CSF is essential because the standard deviation of the Brain and CSF outperformed subdural in the best model reported by the Study (Cherukuri et al., 2018).</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2023, Koopowitz et al. encouraged future studies combining resting state FMRI with neuroimaging and ensuring that all cohorts' clinical measures are available. In addition, functional connectivity changes of cerebellar lobules with the cerebral cortex across disease stages in PD and their associations with particular domains of cognition may yield insight into the functional reorganization of the cerebellum that occurs with disease progression and associated cognitive decline. There is a need for more studies to determine whether this cerebellar degeneration results from primary disease-related pathology or if it is a secondary consequence of cortical and basal ganglia degeneration and associated progressive loss of functional capacity. The authors stated that these can help neuroscientists better understand the biological basis of psychiatric disorders and associated targeted interventions for the recommended treatment. Further Studies also cater to identifying the low SNR, B0 inhomogeneity, and motion artifacts from high-field (Jimeno et al., 2022). ​​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More studies about cerebellar association with PTSD should be done because this area is understudied. This current study was cross-sectional; future longitudinal research will be imperative to better understand whether cerebellar volume confers the risk of PTSD (Huggins et al., 2024).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 research should be considered under the resting state OCD (Bruin et al., 2023).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Studies should assess the specific effects of age and sex on PTSD classification (Zhu et al., 2023).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Heterogeneity being a big problem prompts a need to address heterogeneity. Specific sources of heterogeneity, including neuro progression and comorbid conditions, are difficult to quantify, and addressing them requires different research (Nunes et al., 2020).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Adoption of advanced deep learning technologies as an opportunity for future research</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 need to explore the latest deep learning frameworks like PyTorch and TensorFlow and the latest state-of-the-art deep learning models," to enhance model performance and scalability by leveraging cutting-edge AI tools (Jones et al., 2023).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 need for further research and development into using ML algorithms to pursue cognitive outcomes. There is also a need to explore the use of other Bayesian Additive Regression Trees and fully Bayesian approaches (i.e., Markov chain Monte Carlo) (Niemczak et al., 2022).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 an automatic system for detecting and classifying PD stages using EMG signals acquired from different upper limb movements (Adem et al., 2021).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 study should determine whether multimodal machine learning using structural and functional MRI can increase classification accuracy (Kim et al., 2024).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 need to incorporate improved models that account for factors affecting cerebellar volume to provide a clear picture of the magnitude of the effects of PTSD (Huggins et al., 2024).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Applying deep learning to raw data may increase classification accuracy (Nunes et al., 2020).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 need to expand and develop an EDC that can be applied for the diagnosis of seizures other than epilepsy alone (Jones et al., 2023). In addition, the demand for personalized treatment and intervention is on the rise, and this is achieved by identifying people who genuinely need treatment (Jones et al., 2023). Neural models of OCD should be revised to incorporate hypoconnectivity of the sensorimotor network in particular (Bruin et al., 2023).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Exploring gaps in evaluating metrics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suggestions are provided for defining a target performance metric for worker evaluation and a target number of workers to recruit (Washington et al.,  2020). Aurguementativel, all there is a gap on deploying of the developed models to Sub-Saharan Africa uses cases, for example videos of children that reflect the demographics of the population being targeted should be deployed and compared against the control set of videos to understand the reasons for the differences in performance across the video subsets (Washington et al.,  2020).</w:t>
            </w:r>
            <w:r w:rsidDel="00000000" w:rsidR="00000000" w:rsidRPr="00000000">
              <w:rPr>
                <w:rtl w:val="0"/>
              </w:rPr>
            </w:r>
          </w:p>
          <w:p w:rsidR="00000000" w:rsidDel="00000000" w:rsidP="00000000" w:rsidRDefault="00000000" w:rsidRPr="00000000" w14:paraId="00000286">
            <w:pPr>
              <w:widowControl w:val="0"/>
              <w:spacing w:line="480" w:lineRule="auto"/>
              <w:ind w:left="720" w:hanging="360"/>
              <w:jc w:val="both"/>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288">
      <w:pPr>
        <w:widowControl w:val="0"/>
        <w:spacing w:line="480" w:lineRule="auto"/>
        <w:jc w:val="both"/>
        <w:rPr>
          <w:rFonts w:ascii="Times New Roman" w:cs="Times New Roman" w:eastAsia="Times New Roman" w:hAnsi="Times New Roman"/>
          <w:sz w:val="24"/>
          <w:szCs w:val="24"/>
          <w:highlight w:val="whit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b w:val="1"/>
          <w:bCs w:val="1"/>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