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3366"/>
        </w:rPr>
        <w:t>Guide Complet du Système d'Adoucissement d'Eau</w:t>
      </w:r>
    </w:p>
    <w:p>
      <w:r>
        <w:t>PFE — Supervision Thermique Industrielle et Simulation d'Adoucissement</w:t>
      </w:r>
    </w:p>
    <w:p>
      <w:r>
        <w:t>ENSA Kénitra — Yazaki Morocco</w:t>
      </w:r>
    </w:p>
    <w:p/>
    <w:p>
      <w:pPr>
        <w:pStyle w:val="Heading1"/>
      </w:pPr>
      <w:r>
        <w:rPr>
          <w:color w:val="003366"/>
        </w:rPr>
        <w:t>1. Contexte et Données Terrain</w:t>
      </w:r>
    </w:p>
    <w:p>
      <w:r>
        <w:t>Le système d'adoucissement traite l'eau d'appoint (make-up) du circuit d'eau chaude des moules de foaming chez Yazaki Morocco à Kénitra. Le circuit principal contient 100 L d'eau qui circule en permanence à 45 °C. L'eau d'appoint compense les pertes par évaporation et purges, estimées à 1,25 L/jour par le technicien de maintenance.</w:t>
      </w:r>
    </w:p>
    <w:p>
      <w:r>
        <w:t>L'eau alimentant le circuit provient du réseau de Kénitra, avec un TH (Titre Hydrotimétrique) compris entre 30 °f et 40 °f selon la saison. Sans traitement, le calcaire précipite sur les parois des moules, réduisant l'efficacité thermique et la qualité des pièces.</w:t>
      </w:r>
    </w:p>
    <w:p>
      <w:pPr>
        <w:pStyle w:val="Heading2"/>
      </w:pPr>
      <w:r>
        <w:rPr>
          <w:color w:val="003366"/>
        </w:rPr>
        <w:t>1.1 Données d'Entrée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Paramètre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Valeur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Unité</w:t>
            </w:r>
          </w:p>
        </w:tc>
      </w:tr>
      <w:tr>
        <w:tc>
          <w:tcPr>
            <w:tcW w:type="dxa" w:w="2880"/>
          </w:tcPr>
          <w:p>
            <w:r>
              <w:t>Volume d'appoint journalier</w:t>
            </w:r>
          </w:p>
        </w:tc>
        <w:tc>
          <w:tcPr>
            <w:tcW w:type="dxa" w:w="2880"/>
          </w:tcPr>
          <w:p>
            <w:r>
              <w:t>1,25</w:t>
            </w:r>
          </w:p>
        </w:tc>
        <w:tc>
          <w:tcPr>
            <w:tcW w:type="dxa" w:w="2880"/>
          </w:tcPr>
          <w:p>
            <w:r>
              <w:t>L/jour</w:t>
            </w:r>
          </w:p>
        </w:tc>
      </w:tr>
      <w:tr>
        <w:tc>
          <w:tcPr>
            <w:tcW w:type="dxa" w:w="2880"/>
          </w:tcPr>
          <w:p>
            <w:r>
              <w:t>TH eau de Kénitra</w:t>
            </w:r>
          </w:p>
        </w:tc>
        <w:tc>
          <w:tcPr>
            <w:tcW w:type="dxa" w:w="2880"/>
          </w:tcPr>
          <w:p>
            <w:r>
              <w:t>30 - 40</w:t>
            </w:r>
          </w:p>
        </w:tc>
        <w:tc>
          <w:tcPr>
            <w:tcW w:type="dxa" w:w="2880"/>
          </w:tcPr>
          <w:p>
            <w:r>
              <w:t>°f</w:t>
            </w:r>
          </w:p>
        </w:tc>
      </w:tr>
      <w:tr>
        <w:tc>
          <w:tcPr>
            <w:tcW w:type="dxa" w:w="2880"/>
          </w:tcPr>
          <w:p>
            <w:r>
              <w:t>Température circuit</w:t>
            </w:r>
          </w:p>
        </w:tc>
        <w:tc>
          <w:tcPr>
            <w:tcW w:type="dxa" w:w="2880"/>
          </w:tcPr>
          <w:p>
            <w:r>
              <w:t>45 ± 3</w:t>
            </w:r>
          </w:p>
        </w:tc>
        <w:tc>
          <w:tcPr>
            <w:tcW w:type="dxa" w:w="2880"/>
          </w:tcPr>
          <w:p>
            <w:r>
              <w:t>°C</w:t>
            </w:r>
          </w:p>
        </w:tc>
      </w:tr>
      <w:tr>
        <w:tc>
          <w:tcPr>
            <w:tcW w:type="dxa" w:w="2880"/>
          </w:tcPr>
          <w:p>
            <w:r>
              <w:t>Objectif autonomie</w:t>
            </w:r>
          </w:p>
        </w:tc>
        <w:tc>
          <w:tcPr>
            <w:tcW w:type="dxa" w:w="2880"/>
          </w:tcPr>
          <w:p>
            <w:r>
              <w:t>~30</w:t>
            </w:r>
          </w:p>
        </w:tc>
        <w:tc>
          <w:tcPr>
            <w:tcW w:type="dxa" w:w="2880"/>
          </w:tcPr>
          <w:p>
            <w:r>
              <w:t>jours</w:t>
            </w:r>
          </w:p>
        </w:tc>
      </w:tr>
      <w:tr>
        <w:tc>
          <w:tcPr>
            <w:tcW w:type="dxa" w:w="2880"/>
          </w:tcPr>
          <w:p>
            <w:r>
              <w:t>Seuil TH sortie max</w:t>
            </w:r>
          </w:p>
        </w:tc>
        <w:tc>
          <w:tcPr>
            <w:tcW w:type="dxa" w:w="2880"/>
          </w:tcPr>
          <w:p>
            <w:r>
              <w:t>15 (150 mg/L)</w:t>
            </w:r>
          </w:p>
        </w:tc>
        <w:tc>
          <w:tcPr>
            <w:tcW w:type="dxa" w:w="2880"/>
          </w:tcPr>
          <w:p>
            <w:r>
              <w:t>°f (mg/L CaCO₃)</w:t>
            </w:r>
          </w:p>
        </w:tc>
      </w:tr>
      <w:tr>
        <w:tc>
          <w:tcPr>
            <w:tcW w:type="dxa" w:w="2880"/>
          </w:tcPr>
          <w:p>
            <w:r>
              <w:t>Volume résine</w:t>
            </w:r>
          </w:p>
        </w:tc>
        <w:tc>
          <w:tcPr>
            <w:tcW w:type="dxa" w:w="2880"/>
          </w:tcPr>
          <w:p>
            <w:r>
              <w:t>405</w:t>
            </w:r>
          </w:p>
        </w:tc>
        <w:tc>
          <w:tcPr>
            <w:tcW w:type="dxa" w:w="2880"/>
          </w:tcPr>
          <w:p>
            <w:r>
              <w:t>mL</w:t>
            </w:r>
          </w:p>
        </w:tc>
      </w:tr>
    </w:tbl>
    <w:p>
      <w:pPr>
        <w:pStyle w:val="Heading1"/>
      </w:pPr>
      <w:r>
        <w:rPr>
          <w:color w:val="003366"/>
        </w:rPr>
        <w:t>2. Principe de l'Échange d'Ions</w:t>
      </w:r>
    </w:p>
    <w:p>
      <w:r>
        <w:t>L'adoucissement repose sur une résine échangeuse de cations de type Purolite C100E. Cette résine est un polymère styrénique réticulé au DVB (divinylbenzène) avec des groupes fonctionnels sulfoniques (R-SO₃⁻).</w:t>
      </w:r>
    </w:p>
    <w:p>
      <w:r>
        <w:t>Réaction d'échange :</w:t>
      </w:r>
    </w:p>
    <w:p>
      <w:r>
        <w:rPr>
          <w:b/>
          <w:i/>
        </w:rPr>
        <w:t>R-(SO₃⁻Na⁺)₂ + Ca²⁺ ⇌ R-(SO₃⁻)₂Ca²⁺ + 2 Na⁺</w:t>
      </w:r>
    </w:p>
    <w:p>
      <w:r>
        <w:t>Les ions calcium (Ca²⁺) et magnésium (Mg²⁺) responsables de la dureté sont fixés sur la résine, tandis que des ions sodium (Na⁺) sont libérés dans l'eau. Quand la résine est saturée, on inverse la réaction par une régénération au NaCl (saumure).</w:t>
      </w:r>
    </w:p>
    <w:p>
      <w:pPr>
        <w:pStyle w:val="Heading2"/>
      </w:pPr>
      <w:r>
        <w:rPr>
          <w:color w:val="003366"/>
        </w:rPr>
        <w:t>2.1 Caractéristiques Purolite C100E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Propriété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Valeur</w:t>
            </w:r>
          </w:p>
        </w:tc>
      </w:tr>
      <w:tr>
        <w:tc>
          <w:tcPr>
            <w:tcW w:type="dxa" w:w="4320"/>
          </w:tcPr>
          <w:p>
            <w:r>
              <w:t>Structure</w:t>
            </w:r>
          </w:p>
        </w:tc>
        <w:tc>
          <w:tcPr>
            <w:tcW w:type="dxa" w:w="4320"/>
          </w:tcPr>
          <w:p>
            <w:r>
              <w:t>Gel polystyrénique réticulé DVB</w:t>
            </w:r>
          </w:p>
        </w:tc>
      </w:tr>
      <w:tr>
        <w:tc>
          <w:tcPr>
            <w:tcW w:type="dxa" w:w="4320"/>
          </w:tcPr>
          <w:p>
            <w:r>
              <w:t>Groupement fonctionnel</w:t>
            </w:r>
          </w:p>
        </w:tc>
        <w:tc>
          <w:tcPr>
            <w:tcW w:type="dxa" w:w="4320"/>
          </w:tcPr>
          <w:p>
            <w:r>
              <w:t>Acide sulfonique (R-SO₃⁻)</w:t>
            </w:r>
          </w:p>
        </w:tc>
      </w:tr>
      <w:tr>
        <w:tc>
          <w:tcPr>
            <w:tcW w:type="dxa" w:w="4320"/>
          </w:tcPr>
          <w:p>
            <w:r>
              <w:t>Forme ionique livrée</w:t>
            </w:r>
          </w:p>
        </w:tc>
        <w:tc>
          <w:tcPr>
            <w:tcW w:type="dxa" w:w="4320"/>
          </w:tcPr>
          <w:p>
            <w:r>
              <w:t>Na⁺</w:t>
            </w:r>
          </w:p>
        </w:tc>
      </w:tr>
      <w:tr>
        <w:tc>
          <w:tcPr>
            <w:tcW w:type="dxa" w:w="4320"/>
          </w:tcPr>
          <w:p>
            <w:r>
              <w:t>Capacité totale minimale</w:t>
            </w:r>
          </w:p>
        </w:tc>
        <w:tc>
          <w:tcPr>
            <w:tcW w:type="dxa" w:w="4320"/>
          </w:tcPr>
          <w:p>
            <w:r>
              <w:t>1,9 eq/L (41,5 Kgr/ft³)</w:t>
            </w:r>
          </w:p>
        </w:tc>
      </w:tr>
      <w:tr>
        <w:tc>
          <w:tcPr>
            <w:tcW w:type="dxa" w:w="4320"/>
          </w:tcPr>
          <w:p>
            <w:r>
              <w:t>Densité apparente</w:t>
            </w:r>
          </w:p>
        </w:tc>
        <w:tc>
          <w:tcPr>
            <w:tcW w:type="dxa" w:w="4320"/>
          </w:tcPr>
          <w:p>
            <w:r>
              <w:t>800 - 840 g/L</w:t>
            </w:r>
          </w:p>
        </w:tc>
      </w:tr>
      <w:tr>
        <w:tc>
          <w:tcPr>
            <w:tcW w:type="dxa" w:w="4320"/>
          </w:tcPr>
          <w:p>
            <w:r>
              <w:t>Granulométrie</w:t>
            </w:r>
          </w:p>
        </w:tc>
        <w:tc>
          <w:tcPr>
            <w:tcW w:type="dxa" w:w="4320"/>
          </w:tcPr>
          <w:p>
            <w:r>
              <w:t>300 - 1200 µm</w:t>
            </w:r>
          </w:p>
        </w:tc>
      </w:tr>
      <w:tr>
        <w:tc>
          <w:tcPr>
            <w:tcW w:type="dxa" w:w="4320"/>
          </w:tcPr>
          <w:p>
            <w:r>
              <w:t>Limite température</w:t>
            </w:r>
          </w:p>
        </w:tc>
        <w:tc>
          <w:tcPr>
            <w:tcW w:type="dxa" w:w="4320"/>
          </w:tcPr>
          <w:p>
            <w:r>
              <w:t>120 °C</w:t>
            </w:r>
          </w:p>
        </w:tc>
      </w:tr>
      <w:tr>
        <w:tc>
          <w:tcPr>
            <w:tcW w:type="dxa" w:w="4320"/>
          </w:tcPr>
          <w:p>
            <w:r>
              <w:t>Humidité (forme Na⁺)</w:t>
            </w:r>
          </w:p>
        </w:tc>
        <w:tc>
          <w:tcPr>
            <w:tcW w:type="dxa" w:w="4320"/>
          </w:tcPr>
          <w:p>
            <w:r>
              <w:t>46 - 50 %</w:t>
            </w:r>
          </w:p>
        </w:tc>
      </w:tr>
      <w:tr>
        <w:tc>
          <w:tcPr>
            <w:tcW w:type="dxa" w:w="4320"/>
          </w:tcPr>
          <w:p>
            <w:r>
              <w:t>Certification</w:t>
            </w:r>
          </w:p>
        </w:tc>
        <w:tc>
          <w:tcPr>
            <w:tcW w:type="dxa" w:w="4320"/>
          </w:tcPr>
          <w:p>
            <w:r>
              <w:t>NSF/ANSI-61 (eau potable)</w:t>
            </w:r>
          </w:p>
        </w:tc>
      </w:tr>
    </w:tbl>
    <w:p>
      <w:pPr>
        <w:pStyle w:val="Heading1"/>
      </w:pPr>
      <w:r>
        <w:rPr>
          <w:color w:val="003366"/>
        </w:rPr>
        <w:t>3. Dimensionnement Détaillé</w:t>
      </w:r>
    </w:p>
    <w:p>
      <w:r>
        <w:t>Le dimensionnement suit la méthode classique de calcul de capacité d'échange à partir des données constructeur Purolite C100E.</w:t>
      </w:r>
    </w:p>
    <w:p>
      <w:pPr>
        <w:pStyle w:val="Heading2"/>
      </w:pPr>
      <w:r>
        <w:rPr>
          <w:color w:val="003366"/>
        </w:rPr>
        <w:t>3.1 Calcul de la Capacité de Travail</w:t>
      </w:r>
    </w:p>
    <w:p>
      <w:r>
        <w:t>Étape 1 : Capacité totale massique</w:t>
      </w:r>
    </w:p>
    <w:p>
      <w:r>
        <w:rPr>
          <w:i/>
        </w:rPr>
        <w:t>q_total_max = (1,9 eq/L × 50 000 mg/eq) / 820 g/L = 115,9 mg CaCO₃/g</w:t>
      </w:r>
    </w:p>
    <w:p>
      <w:r>
        <w:t>50 000 mg/eq = masse équivalente du CaCO₃ (100 g/mol ÷ 2 équivalents par mole)</w:t>
      </w:r>
    </w:p>
    <w:p>
      <w:r>
        <w:t>Étape 2 : Capacité de travail (avec efficacité nu = 0,6)</w:t>
      </w:r>
    </w:p>
    <w:p>
      <w:r>
        <w:rPr>
          <w:i/>
        </w:rPr>
        <w:t>q_travail = 115,9 × 0,6 = 69,54 mg/g</w:t>
      </w:r>
    </w:p>
    <w:p>
      <w:r>
        <w:t>Le rendement de 60 % tient compte du fait que toute la capacité théorique n'est pas exploitable en conditions réelles (débit, température, concurrence d'ions). Cette valeur est cohérente avec le bulletin technique Purolite C100.</w:t>
      </w:r>
    </w:p>
    <w:p>
      <w:r>
        <w:t>Étape 3 : Charge mensuelle (scénario défavorable TH = 40 °f)</w:t>
      </w:r>
    </w:p>
    <w:p>
      <w:r>
        <w:rPr>
          <w:i/>
        </w:rPr>
        <w:t>Charge = 1,25 L/j × 410 mg/L × 30 j = 15 375 mg CaCO₃</w:t>
      </w:r>
    </w:p>
    <w:p>
      <w:r>
        <w:t>Étape 4 : Masse minimale de résine</w:t>
      </w:r>
    </w:p>
    <w:p>
      <w:r>
        <w:rPr>
          <w:i/>
        </w:rPr>
        <w:t>m_min = 15 375 / 69,54 = 221,09 g</w:t>
      </w:r>
    </w:p>
    <w:p>
      <w:r>
        <w:t>Étape 5 : Volume minimal</w:t>
      </w:r>
    </w:p>
    <w:p>
      <w:r>
        <w:rPr>
          <w:i/>
        </w:rPr>
        <w:t>V_min = 221,09 / 820 = 270 mL</w:t>
      </w:r>
    </w:p>
    <w:p>
      <w:r>
        <w:t>Étape 6 : Coefficients de sécurité</w:t>
      </w:r>
    </w:p>
    <w:p>
      <w:r>
        <w:rPr>
          <w:i/>
        </w:rPr>
        <w:t>Temps de contact : 1,25  —  Marge opérationnelle : 1,2</w:t>
        <w:br/>
        <w:t>V_final = 270 × 1,25 × 1,20 = 405 mL</w:t>
        <w:br/>
        <w:t>m = 405 × 820 = 332,10 g</w:t>
      </w:r>
    </w:p>
    <w:p>
      <w:r>
        <w:t>Étape 7 : Capacité totale de la colonne</w:t>
      </w:r>
    </w:p>
    <w:p>
      <w:r>
        <w:rPr>
          <w:i/>
        </w:rPr>
        <w:t>qm = 69,54 × 332,10 = 23 094 mg CaCO₃</w:t>
      </w:r>
    </w:p>
    <w:p>
      <w:pPr>
        <w:pStyle w:val="Heading2"/>
      </w:pPr>
      <w:r>
        <w:rPr>
          <w:color w:val="003366"/>
        </w:rPr>
        <w:t>3.2 Seuil de Régénération</w:t>
      </w:r>
    </w:p>
    <w:p>
      <w:r>
        <w:t>Le seuil de régénération est fixé à 80 % de la saturation. Tant que la résine n'est pas saturée à 80 %, elle absorbe la quasi-totalité du calcaire entrant. La marge de 20 % permet d'absorber les variations de débit et de dureté tout en maintenant le TH de sortie &lt; 15 °f.</w:t>
      </w:r>
    </w:p>
    <w:p>
      <w:r>
        <w:rPr>
          <w:i/>
        </w:rPr>
        <w:t>Volume traité avant régénération : Vseuil = (0,8 × qm) / Cin</w:t>
      </w:r>
    </w:p>
    <w:p>
      <w:pPr>
        <w:pStyle w:val="Heading2"/>
      </w:pPr>
      <w:r>
        <w:rPr>
          <w:color w:val="003366"/>
        </w:rPr>
        <w:t>3.3 Résultats par Scénario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Scénario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Cin (mg/L)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Cin (°f)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Vseuil (L)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Autonomie (jours)</w:t>
            </w:r>
          </w:p>
        </w:tc>
      </w:tr>
      <w:tr>
        <w:tc>
          <w:tcPr>
            <w:tcW w:type="dxa" w:w="1728"/>
          </w:tcPr>
          <w:p>
            <w:r>
              <w:t>30 °f</w:t>
            </w:r>
          </w:p>
        </w:tc>
        <w:tc>
          <w:tcPr>
            <w:tcW w:type="dxa" w:w="1728"/>
          </w:tcPr>
          <w:p>
            <w:r>
              <w:t>300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61,58</w:t>
            </w:r>
          </w:p>
        </w:tc>
        <w:tc>
          <w:tcPr>
            <w:tcW w:type="dxa" w:w="1728"/>
          </w:tcPr>
          <w:p>
            <w:r>
              <w:t>49</w:t>
            </w:r>
          </w:p>
        </w:tc>
      </w:tr>
      <w:tr>
        <w:tc>
          <w:tcPr>
            <w:tcW w:type="dxa" w:w="1728"/>
          </w:tcPr>
          <w:p>
            <w:r>
              <w:t>35 °f</w:t>
            </w:r>
          </w:p>
        </w:tc>
        <w:tc>
          <w:tcPr>
            <w:tcW w:type="dxa" w:w="1728"/>
          </w:tcPr>
          <w:p>
            <w:r>
              <w:t>350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52,78</w:t>
            </w:r>
          </w:p>
        </w:tc>
        <w:tc>
          <w:tcPr>
            <w:tcW w:type="dxa" w:w="1728"/>
          </w:tcPr>
          <w:p>
            <w:r>
              <w:t>42</w:t>
            </w:r>
          </w:p>
        </w:tc>
      </w:tr>
      <w:tr>
        <w:tc>
          <w:tcPr>
            <w:tcW w:type="dxa" w:w="1728"/>
          </w:tcPr>
          <w:p>
            <w:r>
              <w:t>40 °f</w:t>
            </w:r>
          </w:p>
        </w:tc>
        <w:tc>
          <w:tcPr>
            <w:tcW w:type="dxa" w:w="1728"/>
          </w:tcPr>
          <w:p>
            <w:r>
              <w:t>400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46,19</w:t>
            </w:r>
          </w:p>
        </w:tc>
        <w:tc>
          <w:tcPr>
            <w:tcW w:type="dxa" w:w="1728"/>
          </w:tcPr>
          <w:p>
            <w:r>
              <w:t>37</w:t>
            </w:r>
          </w:p>
        </w:tc>
      </w:tr>
    </w:tbl>
    <w:p>
      <w:pPr>
        <w:pStyle w:val="Heading2"/>
      </w:pPr>
      <w:r>
        <w:rPr>
          <w:color w:val="003366"/>
        </w:rPr>
        <w:t>3.4 Efficacité du Second Cycle</w:t>
      </w:r>
    </w:p>
    <w:p>
      <w:r>
        <w:t>Après régénération, la résine récupère 95 % de sa capacité opératoire initiale. Cette valeur est justifiée par :</w:t>
        <w:br/>
        <w:t xml:space="preserve">  - Le bulletin technique Purolite C100 (capacité stable sur des centaines de cycles)</w:t>
        <w:br/>
        <w:t xml:space="preserve">  - La norme ASTM D4548 (perte de 2-5 % après les premiers cycles, puis stabilisation)</w:t>
        <w:br/>
        <w:t xml:space="preserve">  - La pratique industrielle (perte de 2-3 % par an, pas par cycle)</w:t>
        <w:br/>
        <w:t xml:space="preserve">  - Les conditions modérées (45 °C, charge faible de 1,25 L/j)</w:t>
      </w:r>
    </w:p>
    <w:p>
      <w:r>
        <w:t>Pour le cycle 2, le volume seuil devient : Vseuil₂ = 0,95 × Vseuil₁</w:t>
      </w:r>
    </w:p>
    <w:p>
      <w:pPr>
        <w:pStyle w:val="Heading1"/>
      </w:pPr>
      <w:r>
        <w:rPr>
          <w:color w:val="003366"/>
        </w:rPr>
        <w:t>4. Modèle à Compartiments (Tanks-in-Series)</w:t>
      </w:r>
    </w:p>
    <w:p>
      <w:pPr>
        <w:pStyle w:val="Heading2"/>
      </w:pPr>
      <w:r>
        <w:rPr>
          <w:color w:val="003366"/>
        </w:rPr>
        <w:t>4.1 Pourquoi ce modèle ?</w:t>
      </w:r>
    </w:p>
    <w:p>
      <w:r>
        <w:t>Le modèle de Thomas nécessite un coefficient Kth déterminé expérimentalement (norme ASTM D4548), non disponible dans le cadre de ce travail. Le modèle à compartiments est une alternative physique qui ne nécessite aucun paramètre expérimental : on divise simplement la colonne en N sections égales en série.</w:t>
      </w:r>
    </w:p>
    <w:p>
      <w:pPr>
        <w:pStyle w:val="Heading2"/>
      </w:pPr>
      <w:r>
        <w:rPr>
          <w:color w:val="003366"/>
        </w:rPr>
        <w:t>4.2 Principe Physique</w:t>
      </w:r>
    </w:p>
    <w:p>
      <w:r>
        <w:t>Dans une colonne d'échange d'ions, l'eau entre par le haut et les ions Ca²⁺ sont absorbés d'abord en haut de la colonne. Le front d'échange descend progressivement. Le modèle à compartiments capture ce comportement en divisant la colonne en N réacteurs parfaitement mélangés en série.</w:t>
      </w:r>
    </w:p>
    <w:p>
      <w:r>
        <w:t xml:space="preserve">  - N = 1 : pas de gradient axial (modèle tout-ou-rien, pas de courbe de percée)</w:t>
        <w:br/>
        <w:t xml:space="preserve">  - N = 5 : bonne approximation du comportement réel</w:t>
        <w:br/>
        <w:t xml:space="preserve">  - N → ∞ : comportement piston (plug flow)</w:t>
      </w:r>
    </w:p>
    <w:p>
      <w:pPr>
        <w:pStyle w:val="Heading2"/>
      </w:pPr>
      <w:r>
        <w:rPr>
          <w:color w:val="003366"/>
        </w:rPr>
        <w:t>4.3 Équations</w:t>
      </w:r>
    </w:p>
    <w:p>
      <w:r>
        <w:t>Capacité par compartiment :</w:t>
      </w:r>
    </w:p>
    <w:p>
      <w:r>
        <w:rPr>
          <w:i/>
        </w:rPr>
        <w:t>qm_i = qm / N = 23 094 / 5 = 4 619 mg</w:t>
      </w:r>
    </w:p>
    <w:p>
      <w:r>
        <w:t>Saturation du compartiment i :</w:t>
      </w:r>
    </w:p>
    <w:p>
      <w:r>
        <w:rPr>
          <w:i/>
        </w:rPr>
        <w:t>Sat_i = (Cin_i × V) / qm_i</w:t>
      </w:r>
    </w:p>
    <w:p>
      <w:r>
        <w:t>Concentration de sortie du compartiment i (fonction sigmoid) :</w:t>
      </w:r>
    </w:p>
    <w:p>
      <w:r>
        <w:rPr>
          <w:i/>
        </w:rPr>
        <w:t>Cout_i = Cin_i / [1 + exp(-k × (Sat_i - 0,8))]</w:t>
      </w:r>
    </w:p>
    <w:p>
      <w:r>
        <w:t>Où k = 15 (pente de la transition) et 0,8 = seuil de saturation à 80 %.</w:t>
        <w:br/>
        <w:t>Quand Sat_i &lt;&lt; 0,8 → Cout_i ≈ 0 (compartiment absorbe tout)</w:t>
        <w:br/>
        <w:t>Quand Sat_i = 0,8 → Cout_i = Cin_i / 2 (mi-percée)</w:t>
        <w:br/>
        <w:t>Quand Sat_i &gt;&gt; 0,8 → Cout_i ≈ Cin_i (compartiment épuisé)</w:t>
      </w:r>
    </w:p>
    <w:p>
      <w:pPr>
        <w:pStyle w:val="Heading2"/>
      </w:pPr>
      <w:r>
        <w:rPr>
          <w:color w:val="003366"/>
        </w:rPr>
        <w:t>4.4 Visualisation</w:t>
      </w:r>
    </w:p>
    <w:p>
      <w:r>
        <w:t>Avec N=5, la courbe de sortie Cout = f(Volume) est une S-curbe discrète progressive :</w:t>
        <w:br/>
        <w:t xml:space="preserve">  - Les 4 premiers compartiments saturent séquentiellement</w:t>
        <w:br/>
        <w:t xml:space="preserve">  - Le 5e (dernier) détermine la concentration de sortie de la colonne</w:t>
        <w:br/>
        <w:t xml:space="preserve">  - La percée est détectée quand Cout ≥ 150 mg/L (15 °f)</w:t>
      </w:r>
    </w:p>
    <w:p>
      <w:pPr>
        <w:pStyle w:val="Heading1"/>
      </w:pPr>
      <w:r>
        <w:rPr>
          <w:color w:val="003366"/>
        </w:rPr>
        <w:t>5. Glossaire des Termes Techniques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Terme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Définition</w:t>
            </w:r>
          </w:p>
        </w:tc>
      </w:tr>
      <w:tr>
        <w:tc>
          <w:tcPr>
            <w:tcW w:type="dxa" w:w="4320"/>
          </w:tcPr>
          <w:p>
            <w:r>
              <w:t>Cin</w:t>
            </w:r>
          </w:p>
        </w:tc>
        <w:tc>
          <w:tcPr>
            <w:tcW w:type="dxa" w:w="4320"/>
          </w:tcPr>
          <w:p>
            <w:r>
              <w:t>Concentration de dureté en entrée de colonne (mg/L CaCO₃)</w:t>
            </w:r>
          </w:p>
        </w:tc>
      </w:tr>
      <w:tr>
        <w:tc>
          <w:tcPr>
            <w:tcW w:type="dxa" w:w="4320"/>
          </w:tcPr>
          <w:p>
            <w:r>
              <w:t>Cout</w:t>
            </w:r>
          </w:p>
        </w:tc>
        <w:tc>
          <w:tcPr>
            <w:tcW w:type="dxa" w:w="4320"/>
          </w:tcPr>
          <w:p>
            <w:r>
              <w:t>Concentration de dureté en sortie de colonne (mg/L CaCO₃)</w:t>
            </w:r>
          </w:p>
        </w:tc>
      </w:tr>
      <w:tr>
        <w:tc>
          <w:tcPr>
            <w:tcW w:type="dxa" w:w="4320"/>
          </w:tcPr>
          <w:p>
            <w:r>
              <w:t>qm</w:t>
            </w:r>
          </w:p>
        </w:tc>
        <w:tc>
          <w:tcPr>
            <w:tcW w:type="dxa" w:w="4320"/>
          </w:tcPr>
          <w:p>
            <w:r>
              <w:t>Capacité totale d'échange de la colonne (mg CaCO₃)</w:t>
            </w:r>
          </w:p>
        </w:tc>
      </w:tr>
      <w:tr>
        <w:tc>
          <w:tcPr>
            <w:tcW w:type="dxa" w:w="4320"/>
          </w:tcPr>
          <w:p>
            <w:r>
              <w:t>TH</w:t>
            </w:r>
          </w:p>
        </w:tc>
        <w:tc>
          <w:tcPr>
            <w:tcW w:type="dxa" w:w="4320"/>
          </w:tcPr>
          <w:p>
            <w:r>
              <w:t>Titre Hydrotimétrique — mesure de la dureté de l'eau (°f)</w:t>
            </w:r>
          </w:p>
        </w:tc>
      </w:tr>
      <w:tr>
        <w:tc>
          <w:tcPr>
            <w:tcW w:type="dxa" w:w="4320"/>
          </w:tcPr>
          <w:p>
            <w:r>
              <w:t>1 °f</w:t>
            </w:r>
          </w:p>
        </w:tc>
        <w:tc>
          <w:tcPr>
            <w:tcW w:type="dxa" w:w="4320"/>
          </w:tcPr>
          <w:p>
            <w:r>
              <w:t>10 mg/L de CaCO₃</w:t>
            </w:r>
          </w:p>
        </w:tc>
      </w:tr>
      <w:tr>
        <w:tc>
          <w:tcPr>
            <w:tcW w:type="dxa" w:w="4320"/>
          </w:tcPr>
          <w:p>
            <w:r>
              <w:t>Saumure / BRINE</w:t>
            </w:r>
          </w:p>
        </w:tc>
        <w:tc>
          <w:tcPr>
            <w:tcW w:type="dxa" w:w="4320"/>
          </w:tcPr>
          <w:p>
            <w:r>
              <w:t>Solution de NaCl (8-12 %) utilisée pour la régénération</w:t>
            </w:r>
          </w:p>
        </w:tc>
      </w:tr>
      <w:tr>
        <w:tc>
          <w:tcPr>
            <w:tcW w:type="dxa" w:w="4320"/>
          </w:tcPr>
          <w:p>
            <w:r>
              <w:t>Drain / SAU</w:t>
            </w:r>
          </w:p>
        </w:tc>
        <w:tc>
          <w:tcPr>
            <w:tcW w:type="dxa" w:w="4320"/>
          </w:tcPr>
          <w:p>
            <w:r>
              <w:t>Évacuation des eaux usées de régénération vers l'égout</w:t>
            </w:r>
          </w:p>
        </w:tc>
      </w:tr>
      <w:tr>
        <w:tc>
          <w:tcPr>
            <w:tcW w:type="dxa" w:w="4320"/>
          </w:tcPr>
          <w:p>
            <w:r>
              <w:t>Percée / Breakthrough</w:t>
            </w:r>
          </w:p>
        </w:tc>
        <w:tc>
          <w:tcPr>
            <w:tcW w:type="dxa" w:w="4320"/>
          </w:tcPr>
          <w:p>
            <w:r>
              <w:t>Moment où la concentration en sortie commence à augmenter</w:t>
            </w:r>
          </w:p>
        </w:tc>
      </w:tr>
      <w:tr>
        <w:tc>
          <w:tcPr>
            <w:tcW w:type="dxa" w:w="4320"/>
          </w:tcPr>
          <w:p>
            <w:r>
              <w:t>Régénération</w:t>
            </w:r>
          </w:p>
        </w:tc>
        <w:tc>
          <w:tcPr>
            <w:tcW w:type="dxa" w:w="4320"/>
          </w:tcPr>
          <w:p>
            <w:r>
              <w:t>Opération qui restaure la capacité d'échange de la résine</w:t>
            </w:r>
          </w:p>
        </w:tc>
      </w:tr>
      <w:tr>
        <w:tc>
          <w:tcPr>
            <w:tcW w:type="dxa" w:w="4320"/>
          </w:tcPr>
          <w:p>
            <w:r>
              <w:t>Compartiment</w:t>
            </w:r>
          </w:p>
        </w:tc>
        <w:tc>
          <w:tcPr>
            <w:tcW w:type="dxa" w:w="4320"/>
          </w:tcPr>
          <w:p>
            <w:r>
              <w:t>Section de colonne modélisée comme un réacteur parfaitement mélangé</w:t>
            </w:r>
          </w:p>
        </w:tc>
      </w:tr>
      <w:tr>
        <w:tc>
          <w:tcPr>
            <w:tcW w:type="dxa" w:w="4320"/>
          </w:tcPr>
          <w:p>
            <w:r>
              <w:t>Sigmoid</w:t>
            </w:r>
          </w:p>
        </w:tc>
        <w:tc>
          <w:tcPr>
            <w:tcW w:type="dxa" w:w="4320"/>
          </w:tcPr>
          <w:p>
            <w:r>
              <w:t>Fonction mathématique en S qui lisse la transition de saturation</w:t>
            </w:r>
          </w:p>
        </w:tc>
      </w:tr>
      <w:tr>
        <w:tc>
          <w:tcPr>
            <w:tcW w:type="dxa" w:w="4320"/>
          </w:tcPr>
          <w:p>
            <w:r>
              <w:t>Facteur de capacité</w:t>
            </w:r>
          </w:p>
        </w:tc>
        <w:tc>
          <w:tcPr>
            <w:tcW w:type="dxa" w:w="4320"/>
          </w:tcPr>
          <w:p>
            <w:r>
              <w:t>Rapport (0,95) entre capacité cycle 2 et cycle 1</w:t>
            </w:r>
          </w:p>
        </w:tc>
      </w:tr>
      <w:tr>
        <w:tc>
          <w:tcPr>
            <w:tcW w:type="dxa" w:w="4320"/>
          </w:tcPr>
          <w:p>
            <w:r>
              <w:t>BV</w:t>
            </w:r>
          </w:p>
        </w:tc>
        <w:tc>
          <w:tcPr>
            <w:tcW w:type="dxa" w:w="4320"/>
          </w:tcPr>
          <w:p>
            <w:r>
              <w:t>Bed Volume — volume de résine (405 mL)</w:t>
            </w:r>
          </w:p>
        </w:tc>
      </w:tr>
      <w:tr>
        <w:tc>
          <w:tcPr>
            <w:tcW w:type="dxa" w:w="4320"/>
          </w:tcPr>
          <w:p>
            <w:r>
              <w:t>BV/h</w:t>
            </w:r>
          </w:p>
        </w:tc>
        <w:tc>
          <w:tcPr>
            <w:tcW w:type="dxa" w:w="4320"/>
          </w:tcPr>
          <w:p>
            <w:r>
              <w:t>Débit exprimé en volumes de lit par heure</w:t>
            </w:r>
          </w:p>
        </w:tc>
      </w:tr>
      <w:tr>
        <w:tc>
          <w:tcPr>
            <w:tcW w:type="dxa" w:w="4320"/>
          </w:tcPr>
          <w:p>
            <w:r>
              <w:t>TDS</w:t>
            </w:r>
          </w:p>
        </w:tc>
        <w:tc>
          <w:tcPr>
            <w:tcW w:type="dxa" w:w="4320"/>
          </w:tcPr>
          <w:p>
            <w:r>
              <w:t>Total Dissolved Solids — mesure de la conductivité (mg/L)</w:t>
            </w:r>
          </w:p>
        </w:tc>
      </w:tr>
      <w:tr>
        <w:tc>
          <w:tcPr>
            <w:tcW w:type="dxa" w:w="4320"/>
          </w:tcPr>
          <w:p>
            <w:r>
              <w:t>Soft sensor</w:t>
            </w:r>
          </w:p>
        </w:tc>
        <w:tc>
          <w:tcPr>
            <w:tcW w:type="dxa" w:w="4320"/>
          </w:tcPr>
          <w:p>
            <w:r>
              <w:t>Capteur virtuel : le TDS est calculé, pas mesuré</w:t>
            </w:r>
          </w:p>
        </w:tc>
      </w:tr>
      <w:tr>
        <w:tc>
          <w:tcPr>
            <w:tcW w:type="dxa" w:w="4320"/>
          </w:tcPr>
          <w:p>
            <w:r>
              <w:t>Électrovanne</w:t>
            </w:r>
          </w:p>
        </w:tc>
        <w:tc>
          <w:tcPr>
            <w:tcW w:type="dxa" w:w="4320"/>
          </w:tcPr>
          <w:p>
            <w:r>
              <w:t>Vanne pilotée électriquement (ouverte/fermée)</w:t>
            </w:r>
          </w:p>
        </w:tc>
      </w:tr>
      <w:tr>
        <w:tc>
          <w:tcPr>
            <w:tcW w:type="dxa" w:w="4320"/>
          </w:tcPr>
          <w:p>
            <w:r>
              <w:t>Relais</w:t>
            </w:r>
          </w:p>
        </w:tc>
        <w:tc>
          <w:tcPr>
            <w:tcW w:type="dxa" w:w="4320"/>
          </w:tcPr>
          <w:p>
            <w:r>
              <w:t>Composant qui permet à l'ESP32 de commander une électrovanne</w:t>
            </w:r>
          </w:p>
        </w:tc>
      </w:tr>
      <w:tr>
        <w:tc>
          <w:tcPr>
            <w:tcW w:type="dxa" w:w="4320"/>
          </w:tcPr>
          <w:p>
            <w:r>
              <w:t>Plug flow</w:t>
            </w:r>
          </w:p>
        </w:tc>
        <w:tc>
          <w:tcPr>
            <w:tcW w:type="dxa" w:w="4320"/>
          </w:tcPr>
          <w:p>
            <w:r>
              <w:t>Écoulement piston idéal (pas de mélange axial)</w:t>
            </w:r>
          </w:p>
        </w:tc>
      </w:tr>
      <w:tr>
        <w:tc>
          <w:tcPr>
            <w:tcW w:type="dxa" w:w="4320"/>
          </w:tcPr>
          <w:p>
            <w:r>
              <w:t>CSTR</w:t>
            </w:r>
          </w:p>
        </w:tc>
        <w:tc>
          <w:tcPr>
            <w:tcW w:type="dxa" w:w="4320"/>
          </w:tcPr>
          <w:p>
            <w:r>
              <w:t>Continuous Stirred Tank Reactor — réacteur parfaitement mélangé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