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Continuamos con los siguientes apartados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del video tutorial: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33650" cy="11238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Tarea: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Modifica en tu proyecto el archivo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coche.ts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 el constructor para definir los valores iniciales de color (“Blanco”), velocidad(0) y modelo. Hazlo de forma que al crearse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objeto coche </w:t>
      </w:r>
      <w:r w:rsidDel="00000000" w:rsidR="00000000" w:rsidRPr="00000000">
        <w:rPr>
          <w:sz w:val="20"/>
          <w:szCs w:val="20"/>
          <w:rtl w:val="0"/>
        </w:rPr>
        <w:t xml:space="preserve">le pases un parámetro opcional (</w:t>
      </w:r>
      <w:r w:rsidDel="00000000" w:rsidR="00000000" w:rsidRPr="00000000">
        <w:rPr>
          <w:i w:val="1"/>
          <w:sz w:val="20"/>
          <w:szCs w:val="20"/>
          <w:rtl w:val="0"/>
        </w:rPr>
        <w:t xml:space="preserve">modelo</w:t>
      </w:r>
      <w:r w:rsidDel="00000000" w:rsidR="00000000" w:rsidRPr="00000000">
        <w:rPr>
          <w:sz w:val="20"/>
          <w:szCs w:val="20"/>
          <w:rtl w:val="0"/>
        </w:rPr>
        <w:t xml:space="preserve">). Si el modelo es null se ha de asignar a este atributo el valor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“BMW genérico”,</w:t>
      </w:r>
      <w:r w:rsidDel="00000000" w:rsidR="00000000" w:rsidRPr="00000000">
        <w:rPr>
          <w:sz w:val="20"/>
          <w:szCs w:val="20"/>
          <w:rtl w:val="0"/>
        </w:rPr>
        <w:t xml:space="preserve"> en otro caso se asignará el valor del parámetro modelo</w:t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 los métodos getModelo y setModelo para comprobar el funcionamiento en la consola del constructor (prueba el constructor pasándole parámetro y sin pasarlo).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628650</wp:posOffset>
            </wp:positionH>
            <wp:positionV relativeFrom="paragraph">
              <wp:posOffset>9525</wp:posOffset>
            </wp:positionV>
            <wp:extent cx="2247900" cy="1110299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102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3143250</wp:posOffset>
            </wp:positionH>
            <wp:positionV relativeFrom="paragraph">
              <wp:posOffset>9525</wp:posOffset>
            </wp:positionV>
            <wp:extent cx="2243138" cy="992015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992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Visibilidad. Comprensión de los métodos públicos, protegidos y privates. Verifica con la compilación la visibilidad de los métodos. Haz capturas de pantalla del compilador en las que muestres errores por uso indebido de estas métodos.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Sube a moodle</w:t>
      </w:r>
      <w:r w:rsidDel="00000000" w:rsidR="00000000" w:rsidRPr="00000000">
        <w:rPr>
          <w:sz w:val="20"/>
          <w:szCs w:val="20"/>
          <w:rtl w:val="0"/>
        </w:rPr>
        <w:t xml:space="preserve"> tu proyecto junto a un documento con las capturas de pantalla </w:t>
      </w:r>
      <w:r w:rsidDel="00000000" w:rsidR="00000000" w:rsidRPr="00000000">
        <w:rPr>
          <w:i w:val="1"/>
          <w:sz w:val="20"/>
          <w:szCs w:val="20"/>
          <w:rtl w:val="0"/>
        </w:rPr>
        <w:t xml:space="preserve">(de console.log y compilador)</w:t>
      </w:r>
      <w:r w:rsidDel="00000000" w:rsidR="00000000" w:rsidRPr="00000000">
        <w:rPr>
          <w:sz w:val="20"/>
          <w:szCs w:val="20"/>
          <w:rtl w:val="0"/>
        </w:rPr>
        <w:t xml:space="preserve"> de las pruebas realizadas.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20"/>
      <w:gridCol w:w="7940"/>
      <w:tblGridChange w:id="0">
        <w:tblGrid>
          <w:gridCol w:w="1420"/>
          <w:gridCol w:w="7940"/>
        </w:tblGrid>
      </w:tblGridChange>
    </w:tblGrid>
    <w:tr>
      <w:trPr>
        <w:trHeight w:val="680" w:hRule="atLeast"/>
      </w:trPr>
      <w:tc>
        <w:tcPr>
          <w:vAlign w:val="top"/>
        </w:tcPr>
        <w:p w:rsidR="00000000" w:rsidDel="00000000" w:rsidP="00000000" w:rsidRDefault="00000000" w:rsidRPr="00000000">
          <w:pPr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4" name="image8.jpg"/>
                <a:graphic>
                  <a:graphicData uri="http://schemas.openxmlformats.org/drawingml/2006/picture">
                    <pic:pic>
                      <pic:nvPicPr>
                        <pic:cNvPr id="0" name="image8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120" w:line="240" w:lineRule="auto"/>
            <w:ind w:left="5760" w:firstLine="0"/>
            <w:contextualSpacing w:val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120" w:line="240" w:lineRule="auto"/>
            <w:contextualSpacing w:val="0"/>
            <w:jc w:val="center"/>
            <w:rPr>
              <w:b w:val="1"/>
              <w:color w:val="1c4587"/>
              <w:sz w:val="20"/>
              <w:szCs w:val="20"/>
            </w:rPr>
          </w:pPr>
          <w:r w:rsidDel="00000000" w:rsidR="00000000" w:rsidRPr="00000000">
            <w:rPr>
              <w:b w:val="1"/>
              <w:color w:val="1c4587"/>
              <w:sz w:val="20"/>
              <w:szCs w:val="20"/>
              <w:rtl w:val="0"/>
            </w:rPr>
            <w:t xml:space="preserve">T</w:t>
          </w:r>
          <w:r w:rsidDel="00000000" w:rsidR="00000000" w:rsidRPr="00000000">
            <w:rPr>
              <w:b w:val="1"/>
              <w:color w:val="1c4587"/>
              <w:sz w:val="20"/>
              <w:szCs w:val="20"/>
              <w:rtl w:val="0"/>
            </w:rPr>
            <w:t xml:space="preserve">S-Tarea4-Constructores - Visibilidad de propiedades y métodos </w:t>
          </w:r>
        </w:p>
        <w:p w:rsidR="00000000" w:rsidDel="00000000" w:rsidP="00000000" w:rsidRDefault="00000000" w:rsidRPr="00000000">
          <w:pPr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i w:val="1"/>
              <w:color w:val="1c4587"/>
              <w:sz w:val="16"/>
              <w:szCs w:val="16"/>
              <w:rtl w:val="0"/>
            </w:rPr>
            <w:t xml:space="preserve">DAM2 - DWEB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https://www.udemy.com/curso-de-typescript-el-lenguaje-utilizado-por-angular-2/learn/v4/content" TargetMode="Externa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