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Recuerda: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Ejemplo1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Estos dos ejemplos crean un Array, y le asignan valores: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cars = </w:t>
      </w: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Array(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"Saab"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"Volvo"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"BMW"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cars2 = [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"Saab"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"Volvo"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a52a2a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"BMW"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160" w:before="160"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f6nrydnacf90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Los dos ejemplos anteriores hacen exactamente lo mismo. No hay necesidad de utilizar nuevo Array (). </w:t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160" w:before="160" w:line="360" w:lineRule="auto"/>
        <w:contextualSpacing w:val="0"/>
        <w:jc w:val="both"/>
        <w:rPr>
          <w:sz w:val="20"/>
          <w:szCs w:val="20"/>
        </w:rPr>
      </w:pPr>
      <w:bookmarkStart w:colFirst="0" w:colLast="0" w:name="_7tcmlez71gb6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simplicidad, legibilidad y velocidad de ejecución, se aconseja utilizar el primero (el método literal de la matriz).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Ejemplo2: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person = [];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person[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person[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person[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x = person.length;        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person.length devuelve 3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y = person[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];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// person[0] "John"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Ejemplo3: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 person = [];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person[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person[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person[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 x = person.length;         // person.length devuelve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 y = person[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highlight w:val="white"/>
          <w:rtl w:val="0"/>
        </w:rPr>
        <w:t xml:space="preserve">];             // person[0] de undefined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Las matrices usan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números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para acceder a sus "elementos". En este ejemplo,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person [0]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devuelve “John”: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person = [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Los objetos usan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nombres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para acceder a sus "miembros". En este ejemplo,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highlight w:val="white"/>
          <w:rtl w:val="0"/>
        </w:rPr>
        <w:t xml:space="preserve">person.firstName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devuelve John: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0"/>
          <w:szCs w:val="20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person = {firstName: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lastName:</w:t>
      </w:r>
      <w:r w:rsidDel="00000000" w:rsidR="00000000" w:rsidRPr="00000000">
        <w:rPr>
          <w:rFonts w:ascii="Consolas" w:cs="Consolas" w:eastAsia="Consolas" w:hAnsi="Consolas"/>
          <w:color w:val="a52a2a"/>
          <w:sz w:val="20"/>
          <w:szCs w:val="20"/>
          <w:highlight w:val="white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 age: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hd w:fill="ffffff" w:val="clear"/>
        <w:spacing w:after="160" w:before="160" w:line="360" w:lineRule="auto"/>
        <w:contextualSpacing w:val="0"/>
        <w:jc w:val="both"/>
        <w:rPr>
          <w:b w:val="1"/>
          <w:sz w:val="20"/>
          <w:szCs w:val="20"/>
        </w:rPr>
      </w:pPr>
      <w:bookmarkStart w:colFirst="0" w:colLast="0" w:name="_vvwbk1iylwru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b w:val="1"/>
          <w:sz w:val="20"/>
          <w:szCs w:val="20"/>
          <w:rtl w:val="0"/>
        </w:rPr>
        <w:t xml:space="preserve">iferencia entre matrices y objetos: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JavaScript, los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utilizan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índices numerados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.  </w:t>
      </w:r>
    </w:p>
    <w:p w:rsidR="00000000" w:rsidDel="00000000" w:rsidP="00000000" w:rsidRDefault="00000000" w:rsidRPr="00000000">
      <w:pPr>
        <w:shd w:fill="ffffff" w:val="clear"/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JavaScript, los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objetos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usan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índices con nombre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matrices son un tipo especial de objetos, con índices numerados.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“Cuándo utilizar matrices y cuándo utilizar objetos”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JavaScript no es compatible con matrices asociativas.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Debes utilizar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objetos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cuando desees que los nombres de elementos sean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cadenas (texto)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Debes utilizar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matrices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cuando desees que los nombres de elementos sean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números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Ejercicios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Ejercicio1:</w:t>
      </w:r>
      <w:r w:rsidDel="00000000" w:rsidR="00000000" w:rsidRPr="00000000">
        <w:rPr>
          <w:sz w:val="20"/>
          <w:szCs w:val="20"/>
          <w:rtl w:val="0"/>
        </w:rPr>
        <w:t xml:space="preserve"> define, carga y muestra por pantalla un array unidimensional asociativo (índices con nombre).  Maquetar la salida en una tabla html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Ejercicio2:</w:t>
      </w:r>
      <w:r w:rsidDel="00000000" w:rsidR="00000000" w:rsidRPr="00000000">
        <w:rPr>
          <w:sz w:val="20"/>
          <w:szCs w:val="20"/>
          <w:rtl w:val="0"/>
        </w:rPr>
        <w:t xml:space="preserve"> ídem para un array bidimensional.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Ejercicio3: </w:t>
      </w:r>
      <w:r w:rsidDel="00000000" w:rsidR="00000000" w:rsidRPr="00000000">
        <w:rPr>
          <w:sz w:val="20"/>
          <w:szCs w:val="20"/>
          <w:rtl w:val="0"/>
        </w:rPr>
        <w:t xml:space="preserve">ídem pero esta vez permite que sea el usuario quien indique número y valor de los índices y el contenido de los elementos. 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la página pide al usuario número de alumnos, nombre de cada uno de ellos, número de asignaturas y nombre de cada una de ellas. Para cargar las notas pedirá “nota de Ana en JavaScript”, “nota de Ana en Acda” y “nota de Ana en Móviles”. ídem para el resto de alumnos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819650" cy="1285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2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60"/>
      <w:gridCol w:w="7660"/>
      <w:tblGridChange w:id="0">
        <w:tblGrid>
          <w:gridCol w:w="1360"/>
          <w:gridCol w:w="766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JS-Tarea16-Arrays asociativos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