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1.png" ContentType="image/png"/>
  <Override PartName="/word/media/image12.png" ContentType="image/png"/>
  <Override PartName="/word/media/image10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ind w:firstLine="709" w:left="0" w:right="0"/>
        <w:jc w:val="both"/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Расчет износа комплектующих изделий (деталей, узлов и агрегатов), подлежащих замене при восстановительном ремонте транспортного средства в соответствии с Постановлением правительства РФ от 24.05.2010 г. N 361 «Об утверждении Правил установления размера расходов на материалы и запасные части при восстановительном ремонте транспортных средств» с изменениями, внесенными Постановлением правительства РФ от 30.07.2014г. №717 «О внесении изменений в Правила установления размера расходов на материалы и запасные части при восстановительном ремонте транспортных средств».</w:t>
        <w:pict>
          <v:shapetype id="shapetype_32" coordsize="21600,21600" o:spt="32" path="m,l21600,21600nfe">
            <v:stroke joinstyle="miter"/>
            <v:path gradientshapeok="t" o:connecttype="rect" textboxrect="0,0,21600,21600"/>
          </v:shapetype>
          <v:shape id="shape_0" style="position:absolute;margin-left:0pt;margin-top:3.45pt;width:518.95pt;height:0pt" type="shapetype_32">
            <v:wrap v:type="none"/>
            <v:fill detectmouseclick="t"/>
            <v:stroke color="black" joinstyle="round" weight="38160"/>
          </v:shape>
        </w:pict>
      </w:r>
    </w:p>
    <w:p>
      <w:pPr>
        <w:pStyle w:val="style0"/>
        <w:spacing w:after="0" w:before="0" w:line="100" w:lineRule="atLeast"/>
        <w:ind w:firstLine="709" w:left="0" w:right="0"/>
        <w:jc w:val="both"/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r>
    </w:p>
    <w:p>
      <w:pPr>
        <w:pStyle w:val="style0"/>
        <w:spacing w:after="0" w:before="0" w:line="100" w:lineRule="atLeast"/>
        <w:ind w:firstLine="709" w:left="0" w:right="0"/>
        <w:jc w:val="both"/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  <w:lang w:eastAsia="ru-RU"/>
        </w:rPr>
        <w:t>- Износ комплектующих изделий (деталей, узлов и агрегатов) транспортного средства И</w:t>
      </w:r>
      <w:r>
        <w:rPr>
          <w:rFonts w:ascii="Times New Roman" w:cs="Times New Roman" w:eastAsia="Times New Roman" w:hAnsi="Times New Roman"/>
          <w:b/>
          <w:color w:val="000000"/>
          <w:sz w:val="28"/>
          <w:szCs w:val="28"/>
          <w:vertAlign w:val="subscript"/>
          <w:lang w:eastAsia="ru-RU"/>
        </w:rPr>
        <w:t>ки</w:t>
      </w:r>
      <w:r>
        <w:rPr>
          <w:rFonts w:ascii="Times New Roman" w:cs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рассчитывается по формуле:</w:t>
      </w:r>
    </w:p>
    <w:tbl>
      <w:tblPr>
        <w:jc w:val="left"/>
        <w:tblInd w:type="dxa" w:w="1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3107"/>
        <w:gridCol w:w="5822"/>
        <w:gridCol w:w="1562"/>
      </w:tblGrid>
      <w:tr>
        <w:trPr>
          <w:trHeight w:hRule="atLeast" w:val="158"/>
          <w:cantSplit w:val="false"/>
        </w:trPr>
        <w:tc>
          <w:tcPr>
            <w:tcW w:type="dxa" w:w="3107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/>
              <w:drawing>
                <wp:inline distB="0" distL="0" distR="0" distT="0">
                  <wp:extent cx="1752600" cy="352425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8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both"/>
            </w:pPr>
            <w:r>
              <w:rPr/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>-  Износ комплектующего изделия (детали, узла, агрегата), %</w:t>
            </w:r>
          </w:p>
        </w:tc>
        <w:tc>
          <w:tcPr>
            <w:tcW w:type="dxa" w:w="15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${Value3}</w:t>
            </w:r>
          </w:p>
        </w:tc>
      </w:tr>
      <w:tr>
        <w:trPr>
          <w:trHeight w:hRule="atLeast" w:val="90"/>
          <w:cantSplit w:val="false"/>
        </w:trPr>
        <w:tc>
          <w:tcPr>
            <w:tcW w:type="dxa" w:w="3107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type="dxa" w:w="58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both"/>
            </w:pPr>
            <w:r>
              <w:rPr/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 xml:space="preserve">     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>- Основание натуральных логарифмов (</w:t>
            </w:r>
            <w:r>
              <w:rPr/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>= 2,72)</w:t>
            </w:r>
          </w:p>
        </w:tc>
        <w:tc>
          <w:tcPr>
            <w:tcW w:type="dxa" w:w="15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2,72</w:t>
            </w:r>
          </w:p>
        </w:tc>
      </w:tr>
      <w:tr>
        <w:trPr>
          <w:trHeight w:hRule="atLeast" w:val="90"/>
          <w:cantSplit w:val="false"/>
        </w:trPr>
        <w:tc>
          <w:tcPr>
            <w:tcW w:type="dxa" w:w="3107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type="dxa" w:w="58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both"/>
            </w:pPr>
            <w:r>
              <w:rPr>
                <w:rFonts w:ascii="Times New Roman" w:cs="Times New Roman" w:eastAsia="Times New Roman" w:hAnsi="Times New Roman"/>
                <w:position w:val="-12"/>
                <w:sz w:val="28"/>
                <w:szCs w:val="28"/>
                <w:lang w:eastAsia="ru-RU"/>
              </w:rPr>
              <w:t>∆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 xml:space="preserve">Т    -  </w:t>
            </w:r>
            <w:bookmarkStart w:id="0" w:name="OLE_LINK1"/>
            <w:bookmarkStart w:id="1" w:name="OLE_LINK2"/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 xml:space="preserve">Коэффициент учитывающий влияние на износ </w:t>
            </w:r>
            <w:bookmarkEnd w:id="0"/>
            <w:bookmarkEnd w:id="1"/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>возраста</w:t>
            </w:r>
          </w:p>
        </w:tc>
        <w:tc>
          <w:tcPr>
            <w:tcW w:type="dxa" w:w="15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  <w:spacing w:after="0" w:before="28"/>
              <w:jc w:val="center"/>
            </w:pPr>
            <w:r>
              <w:rPr>
                <w:b/>
                <w:bCs/>
                <w:sz w:val="28"/>
                <w:szCs w:val="28"/>
              </w:rPr>
              <w:t>${Value7}</w:t>
            </w:r>
          </w:p>
        </w:tc>
      </w:tr>
      <w:tr>
        <w:trPr>
          <w:trHeight w:hRule="atLeast" w:val="90"/>
          <w:cantSplit w:val="false"/>
        </w:trPr>
        <w:tc>
          <w:tcPr>
            <w:tcW w:type="dxa" w:w="3107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type="dxa" w:w="58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both"/>
            </w:pPr>
            <w:r>
              <w:rPr/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 xml:space="preserve">  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>-  Возраст комплектующего изделия транспортного средства (в годах с точностью до одного десятичного знака)</w:t>
            </w:r>
          </w:p>
        </w:tc>
        <w:tc>
          <w:tcPr>
            <w:tcW w:type="dxa" w:w="15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  <w:spacing w:after="0" w:before="28"/>
              <w:jc w:val="center"/>
            </w:pPr>
            <w:r>
              <w:rPr>
                <w:b/>
                <w:bCs/>
                <w:sz w:val="28"/>
                <w:szCs w:val="28"/>
              </w:rPr>
              <w:t>${Value8}</w:t>
            </w:r>
          </w:p>
        </w:tc>
      </w:tr>
      <w:tr>
        <w:trPr>
          <w:trHeight w:hRule="atLeast" w:val="90"/>
          <w:cantSplit w:val="false"/>
        </w:trPr>
        <w:tc>
          <w:tcPr>
            <w:tcW w:type="dxa" w:w="3107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type="dxa" w:w="58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both"/>
            </w:pPr>
            <w:r>
              <w:rPr>
                <w:rFonts w:ascii="Times New Roman" w:cs="Times New Roman" w:eastAsia="Times New Roman" w:hAnsi="Times New Roman"/>
                <w:position w:val="-12"/>
                <w:sz w:val="28"/>
                <w:szCs w:val="28"/>
                <w:lang w:eastAsia="ru-RU"/>
              </w:rPr>
              <w:t>∆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 w:val="en-US"/>
              </w:rPr>
              <w:t>L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 xml:space="preserve">     -  Коэффициент учитывающий влияние на износ пробега</w:t>
            </w:r>
          </w:p>
        </w:tc>
        <w:tc>
          <w:tcPr>
            <w:tcW w:type="dxa" w:w="15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  <w:spacing w:after="0" w:before="28"/>
              <w:jc w:val="center"/>
            </w:pPr>
            <w:r>
              <w:rPr>
                <w:b/>
                <w:bCs/>
                <w:sz w:val="28"/>
                <w:szCs w:val="28"/>
              </w:rPr>
              <w:t>${Value9}</w:t>
            </w:r>
          </w:p>
        </w:tc>
      </w:tr>
      <w:tr>
        <w:trPr>
          <w:trHeight w:hRule="atLeast" w:val="90"/>
          <w:cantSplit w:val="false"/>
        </w:trPr>
        <w:tc>
          <w:tcPr>
            <w:tcW w:type="dxa" w:w="3107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type="dxa" w:w="58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both"/>
            </w:pPr>
            <w:r>
              <w:rPr/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 xml:space="preserve">  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>- пробег транспортного средства с комплектующим изделием (деталью, узлом и агрегатом), (километров)</w:t>
            </w:r>
          </w:p>
        </w:tc>
        <w:tc>
          <w:tcPr>
            <w:tcW w:type="dxa" w:w="15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  <w:spacing w:after="0" w:before="28"/>
              <w:jc w:val="center"/>
            </w:pPr>
            <w:r>
              <w:rPr>
                <w:b/>
                <w:bCs/>
                <w:sz w:val="28"/>
                <w:szCs w:val="28"/>
              </w:rPr>
              <w:t>${Value10}</w:t>
            </w:r>
          </w:p>
        </w:tc>
      </w:tr>
    </w:tbl>
    <w:p>
      <w:pPr>
        <w:pStyle w:val="style0"/>
        <w:spacing w:after="0" w:before="0" w:line="100" w:lineRule="atLeast"/>
        <w:ind w:firstLine="709" w:left="0" w:right="0"/>
        <w:jc w:val="both"/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 w:val="en-US"/>
        </w:rPr>
      </w:r>
    </w:p>
    <w:p>
      <w:pPr>
        <w:pStyle w:val="style0"/>
        <w:spacing w:after="0" w:before="0" w:line="100" w:lineRule="atLeast"/>
        <w:ind w:firstLine="709" w:left="0" w:right="0"/>
        <w:jc w:val="both"/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  <w:lang w:eastAsia="ru-RU"/>
        </w:rPr>
        <w:t>- Износ шины транспортного средства И</w:t>
      </w:r>
      <w:r>
        <w:rPr>
          <w:rFonts w:ascii="Times New Roman" w:cs="Times New Roman" w:eastAsia="Times New Roman" w:hAnsi="Times New Roman"/>
          <w:b/>
          <w:color w:val="000000"/>
          <w:sz w:val="28"/>
          <w:szCs w:val="28"/>
          <w:vertAlign w:val="subscript"/>
          <w:lang w:eastAsia="ru-RU"/>
        </w:rPr>
        <w:t>ш</w:t>
      </w:r>
      <w:r>
        <w:rPr>
          <w:rFonts w:ascii="Times New Roman" w:cs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рассчитывается по формуле:</w:t>
      </w:r>
    </w:p>
    <w:tbl>
      <w:tblPr>
        <w:jc w:val="left"/>
        <w:tblInd w:type="dxa" w:w="1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3116"/>
        <w:gridCol w:w="5816"/>
        <w:gridCol w:w="1558"/>
      </w:tblGrid>
      <w:tr>
        <w:trPr>
          <w:trHeight w:hRule="atLeast" w:val="180"/>
          <w:cantSplit w:val="false"/>
        </w:trPr>
        <w:tc>
          <w:tcPr>
            <w:tcW w:type="dxa" w:w="3116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hanging="38" w:left="72" w:right="0"/>
            </w:pPr>
            <w:r>
              <w:rPr/>
              <w:drawing>
                <wp:inline distB="0" distL="0" distR="0" distT="0">
                  <wp:extent cx="1777365" cy="714375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7365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8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6" w:left="0" w:right="0"/>
              <w:jc w:val="both"/>
            </w:pPr>
            <w:r>
              <w:rPr/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 xml:space="preserve">  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>- Износ шины (%)</w:t>
            </w:r>
          </w:p>
        </w:tc>
        <w:tc>
          <w:tcPr>
            <w:tcW w:type="dxa" w:w="15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${Value4}</w:t>
            </w:r>
          </w:p>
        </w:tc>
      </w:tr>
      <w:tr>
        <w:trPr>
          <w:trHeight w:hRule="atLeast" w:val="180"/>
          <w:cantSplit w:val="false"/>
        </w:trPr>
        <w:tc>
          <w:tcPr>
            <w:tcW w:type="dxa" w:w="3116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hanging="38" w:left="0" w:right="0"/>
            </w:pPr>
            <w:r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type="dxa" w:w="58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6" w:left="0" w:right="0"/>
              <w:jc w:val="both"/>
            </w:pPr>
            <w:r>
              <w:rPr/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 xml:space="preserve">   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>- Высота рисунка протектора новой шины (мм)</w:t>
            </w:r>
          </w:p>
        </w:tc>
        <w:tc>
          <w:tcPr>
            <w:tcW w:type="dxa" w:w="15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${Value11}</w:t>
            </w:r>
          </w:p>
        </w:tc>
      </w:tr>
      <w:tr>
        <w:trPr>
          <w:trHeight w:hRule="atLeast" w:val="180"/>
          <w:cantSplit w:val="false"/>
        </w:trPr>
        <w:tc>
          <w:tcPr>
            <w:tcW w:type="dxa" w:w="3116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hanging="38" w:left="0" w:right="0"/>
            </w:pPr>
            <w:r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type="dxa" w:w="58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6" w:left="0" w:right="0"/>
              <w:jc w:val="both"/>
            </w:pPr>
            <w:r>
              <w:rPr/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 xml:space="preserve">  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>- Фактическая высота протектора шины (мм)</w:t>
            </w:r>
          </w:p>
        </w:tc>
        <w:tc>
          <w:tcPr>
            <w:tcW w:type="dxa" w:w="15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  <w:spacing w:after="0" w:before="28"/>
              <w:jc w:val="center"/>
            </w:pPr>
            <w:r>
              <w:rPr>
                <w:b/>
                <w:sz w:val="28"/>
                <w:szCs w:val="28"/>
              </w:rPr>
              <w:t>${Value12}</w:t>
            </w:r>
          </w:p>
        </w:tc>
      </w:tr>
      <w:tr>
        <w:trPr>
          <w:trHeight w:hRule="atLeast" w:val="180"/>
          <w:cantSplit w:val="false"/>
        </w:trPr>
        <w:tc>
          <w:tcPr>
            <w:tcW w:type="dxa" w:w="3116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hanging="38" w:left="0" w:right="0"/>
            </w:pPr>
            <w:r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type="dxa" w:w="58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6" w:left="0" w:right="0"/>
              <w:jc w:val="both"/>
            </w:pPr>
            <w:r>
              <w:rPr/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>- Минимально допустимая высота рисунка протектора (мм)</w:t>
            </w:r>
          </w:p>
        </w:tc>
        <w:tc>
          <w:tcPr>
            <w:tcW w:type="dxa" w:w="15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  <w:spacing w:after="0" w:before="28"/>
              <w:jc w:val="center"/>
            </w:pPr>
            <w:r>
              <w:rPr>
                <w:b/>
                <w:sz w:val="28"/>
                <w:szCs w:val="28"/>
              </w:rPr>
              <w:t>${Value13}</w:t>
            </w:r>
          </w:p>
        </w:tc>
      </w:tr>
      <w:tr>
        <w:trPr>
          <w:trHeight w:hRule="atLeast" w:val="290"/>
          <w:cantSplit w:val="false"/>
        </w:trPr>
        <w:tc>
          <w:tcPr>
            <w:tcW w:type="dxa" w:w="10490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  <w:spacing w:after="0" w:before="28"/>
              <w:jc w:val="both"/>
            </w:pPr>
            <w:r>
              <w:rPr>
                <w:color w:val="000000"/>
                <w:sz w:val="20"/>
                <w:szCs w:val="20"/>
                <w:shd w:fill="FFFFFF" w:val="clear"/>
              </w:rPr>
              <w:t>Примечание: Износ шины дополнительно увеличивается для шин с возрастом от 3 до 5 лет - на 15 процентов, свыше 5 лет - на 25 процентов.</w:t>
            </w:r>
          </w:p>
        </w:tc>
      </w:tr>
    </w:tbl>
    <w:p>
      <w:pPr>
        <w:pStyle w:val="style0"/>
        <w:spacing w:after="0" w:before="0" w:line="100" w:lineRule="atLeast"/>
        <w:ind w:firstLine="709" w:left="0" w:right="0"/>
        <w:jc w:val="both"/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  <w:lang w:eastAsia="ru-RU"/>
        </w:rPr>
      </w:r>
    </w:p>
    <w:p>
      <w:pPr>
        <w:pStyle w:val="style0"/>
        <w:spacing w:after="0" w:before="0" w:line="100" w:lineRule="atLeast"/>
        <w:ind w:firstLine="709" w:left="0" w:right="0"/>
        <w:jc w:val="both"/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  <w:lang w:eastAsia="ru-RU"/>
        </w:rPr>
        <w:t>- Износ аккумуляторной батареи транспортного средства И</w:t>
      </w:r>
      <w:r>
        <w:rPr>
          <w:rFonts w:ascii="Times New Roman" w:cs="Times New Roman" w:eastAsia="Times New Roman" w:hAnsi="Times New Roman"/>
          <w:b/>
          <w:color w:val="000000"/>
          <w:sz w:val="28"/>
          <w:szCs w:val="28"/>
          <w:vertAlign w:val="subscript"/>
          <w:lang w:eastAsia="ru-RU"/>
        </w:rPr>
        <w:t>ак</w:t>
      </w:r>
      <w:r>
        <w:rPr>
          <w:rFonts w:ascii="Times New Roman" w:cs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рассчитывается по формуле:</w:t>
      </w:r>
    </w:p>
    <w:tbl>
      <w:tblPr>
        <w:jc w:val="left"/>
        <w:tblInd w:type="dxa" w:w="1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2974"/>
        <w:gridCol w:w="5958"/>
        <w:gridCol w:w="1558"/>
      </w:tblGrid>
      <w:tr>
        <w:trPr>
          <w:trHeight w:hRule="atLeast" w:val="240"/>
          <w:cantSplit w:val="false"/>
        </w:trPr>
        <w:tc>
          <w:tcPr>
            <w:tcW w:type="dxa" w:w="2974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  <w:drawing>
                <wp:inline distB="0" distL="0" distR="0" distT="0">
                  <wp:extent cx="1723390" cy="819785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3390" cy="819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9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6" w:left="0" w:right="0"/>
              <w:jc w:val="both"/>
            </w:pPr>
            <w:r>
              <w:rPr/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>- Износ аккумуляторной батареи (%)</w:t>
            </w:r>
          </w:p>
        </w:tc>
        <w:tc>
          <w:tcPr>
            <w:tcW w:type="dxa" w:w="15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${Value5}</w:t>
            </w:r>
          </w:p>
        </w:tc>
      </w:tr>
      <w:tr>
        <w:trPr>
          <w:trHeight w:hRule="atLeast" w:val="240"/>
          <w:cantSplit w:val="false"/>
        </w:trPr>
        <w:tc>
          <w:tcPr>
            <w:tcW w:type="dxa" w:w="2974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type="dxa" w:w="59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6" w:left="0" w:right="0"/>
              <w:jc w:val="both"/>
            </w:pPr>
            <w:r>
              <w:rPr/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>-  Возраст комплектующего изделия транспортного средства (в годах с точностью до одного десятичного знака)</w:t>
            </w:r>
          </w:p>
        </w:tc>
        <w:tc>
          <w:tcPr>
            <w:tcW w:type="dxa" w:w="15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${Value14}</w:t>
            </w:r>
          </w:p>
        </w:tc>
      </w:tr>
      <w:tr>
        <w:trPr>
          <w:trHeight w:hRule="atLeast" w:val="240"/>
          <w:cantSplit w:val="false"/>
        </w:trPr>
        <w:tc>
          <w:tcPr>
            <w:tcW w:type="dxa" w:w="2974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type="dxa" w:w="59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6" w:left="0" w:right="0"/>
              <w:jc w:val="both"/>
            </w:pPr>
            <w:r>
              <w:rPr/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 xml:space="preserve">  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>-  Нормативный срок службы до списания (замены) лет</w:t>
            </w:r>
          </w:p>
        </w:tc>
        <w:tc>
          <w:tcPr>
            <w:tcW w:type="dxa" w:w="15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${Value15}</w:t>
            </w:r>
          </w:p>
        </w:tc>
      </w:tr>
      <w:tr>
        <w:trPr>
          <w:trHeight w:hRule="atLeast" w:val="370"/>
          <w:cantSplit w:val="false"/>
        </w:trPr>
        <w:tc>
          <w:tcPr>
            <w:tcW w:type="dxa" w:w="10490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both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lang w:eastAsia="ru-RU"/>
              </w:rPr>
              <w:t>Примечание: Нормативный срок службы аккумуляторной батареи до замены/списания принимается равным: 4 годам - при среднегодовом пробеге транспортного средства до 40 тыс. километров включительно; 3 годам - при среднегодовом пробеге транспортного средства более 40 тыс. километров.</w:t>
            </w:r>
          </w:p>
        </w:tc>
      </w:tr>
    </w:tbl>
    <w:p>
      <w:pPr>
        <w:pStyle w:val="style0"/>
        <w:spacing w:after="0" w:before="0" w:line="100" w:lineRule="atLeast"/>
        <w:ind w:firstLine="709" w:left="0" w:right="0"/>
        <w:jc w:val="both"/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  <w:lang w:eastAsia="ru-RU"/>
        </w:rPr>
      </w:r>
    </w:p>
    <w:p>
      <w:pPr>
        <w:pStyle w:val="style0"/>
        <w:spacing w:after="0" w:before="0" w:line="100" w:lineRule="atLeast"/>
        <w:ind w:firstLine="709" w:left="0" w:right="0"/>
        <w:jc w:val="both"/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  <w:lang w:eastAsia="ru-RU"/>
        </w:rPr>
        <w:t>Примечание:</w:t>
      </w:r>
    </w:p>
    <w:p>
      <w:pPr>
        <w:pStyle w:val="style0"/>
        <w:spacing w:after="0" w:before="0" w:line="100" w:lineRule="atLeast"/>
        <w:ind w:firstLine="709" w:left="0" w:right="0"/>
        <w:jc w:val="both"/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Если комплектующее изделие (деталь, узел и агрегат) не заменялось с начала эксплуатации транспортного средства или отсутствует документальное подтверждение замены с указанием ее даты, возраст комплектующего изделия (детали, узла и агрегата) рассчитывается с даты выпуска транспортного средства, а пробег транспортного средства с этим комплектующим принимается равным пробегу транспортного средства с начала эксплуатации. За дату выпуска транспортного средства принимается дата (число, месяц и год) изготовления транспортного средства, а при отсутствии этих данных - дата приобретения транспортного средства первым владельцем. В случае если ни одна из указанных дат не известна, за дату выпуска принимается первое января года выпуска транспортного средства в соответствии с паспортом транспортного средства.</w:t>
      </w:r>
    </w:p>
    <w:p>
      <w:pPr>
        <w:pStyle w:val="style0"/>
        <w:spacing w:after="0" w:before="0" w:line="100" w:lineRule="atLeast"/>
        <w:ind w:firstLine="709" w:left="0" w:right="0"/>
        <w:jc w:val="both"/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Если по результатам независимой технической экспертизы транспортного средства установлено или имеется документальное подтверждение (запись в паспорте транспортного средства, оплаченный заказ-наряд авторемонтной организации, маркировка организации-изготовителя даты выпуска комплектующего изделия и т.п.) того, что комплектующее изделие (деталь, узел и агрегат) было установлено при замене, произведенной до даты дорожно-транспортного происшествия, его возраст принимается равным разности между датой дорожно-транспортного происшествия и датой предыдущей замены, а пробег транспортного средства с этим комплектующим изделием принимается равным разности между пробегом транспортного средства на дату дорожно-транспортного происшествия и пробегом на дату предыдущей замены комплектующего изделия.</w:t>
      </w:r>
    </w:p>
    <w:p>
      <w:pPr>
        <w:pStyle w:val="style0"/>
        <w:spacing w:after="0" w:before="0" w:line="100" w:lineRule="atLeast"/>
        <w:ind w:firstLine="709" w:left="0" w:right="0"/>
        <w:jc w:val="both"/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Возраст комплектующего изделия, подлежащего замене при восстановительном ремонте транспортного средства, рассчитывается в годах с точностью до одного десятичного знака.</w:t>
      </w:r>
    </w:p>
    <w:p>
      <w:pPr>
        <w:pStyle w:val="style0"/>
        <w:spacing w:after="0" w:before="0" w:line="100" w:lineRule="atLeast"/>
        <w:ind w:firstLine="709" w:left="0" w:right="0"/>
        <w:jc w:val="both"/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Пробег транспортного средства определяется по одометру. Если одометр неисправен или его состояние не соответствует установленным требованиям, пробег с начала эксплуатации транспортного средства определяется расчетным путем в соответствии со справочными данными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, например, по таблицам 10.1 и 10.2. Методического руководства для судебных экспертов "Исследование автомототранспортных средств в целях определения стоимости восстановительного ремонта и оценки" ФБУ РФЦСЭ Минюст РФ (2013г.).</w:t>
      </w:r>
    </w:p>
    <w:p>
      <w:pPr>
        <w:pStyle w:val="style0"/>
        <w:spacing w:after="0" w:before="0" w:line="100" w:lineRule="atLeast"/>
        <w:ind w:firstLine="709" w:left="0" w:right="0"/>
        <w:jc w:val="both"/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r>
    </w:p>
    <w:p>
      <w:pPr>
        <w:pStyle w:val="style0"/>
        <w:spacing w:after="0" w:before="0" w:line="100" w:lineRule="atLeast"/>
        <w:ind w:firstLine="709" w:left="0" w:right="0"/>
        <w:jc w:val="both"/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Значения коэффициентов ∆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vertAlign w:val="subscript"/>
          <w:lang w:eastAsia="ru-RU" w:val="en-US"/>
        </w:rPr>
        <w:t>T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 xml:space="preserve"> и ∆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vertAlign w:val="subscript"/>
          <w:lang w:eastAsia="ru-RU" w:val="en-US"/>
        </w:rPr>
        <w:t>L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 xml:space="preserve"> для различных видов ТС приведены ниже</w:t>
      </w:r>
    </w:p>
    <w:tbl>
      <w:tblPr>
        <w:jc w:val="left"/>
        <w:tblInd w:type="dxa" w:w="284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709"/>
        <w:gridCol w:w="7087"/>
        <w:gridCol w:w="1295"/>
        <w:gridCol w:w="1066"/>
      </w:tblGrid>
      <w:tr>
        <w:trPr>
          <w:trHeight w:hRule="atLeast" w:val="315"/>
          <w:cantSplit w:val="false"/>
        </w:trPr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4" w:left="0" w:right="0"/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№ 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п/п</w:t>
            </w:r>
          </w:p>
        </w:tc>
        <w:tc>
          <w:tcPr>
            <w:tcW w:type="dxa" w:w="7087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Вид транспортного средства</w:t>
            </w:r>
          </w:p>
        </w:tc>
        <w:tc>
          <w:tcPr>
            <w:tcW w:type="dxa" w:w="1295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3" w:left="0" w:right="0"/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∆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Т</w:t>
            </w:r>
          </w:p>
        </w:tc>
        <w:tc>
          <w:tcPr>
            <w:tcW w:type="dxa" w:w="106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13" w:left="0" w:right="0"/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∆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L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7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4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type="dxa" w:w="708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bookmarkStart w:id="2" w:name="RANGE!B2:B34"/>
            <w:bookmarkEnd w:id="2"/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Легковые автомобили, страной происхождения которых является Российская Федерация</w:t>
            </w:r>
          </w:p>
        </w:tc>
        <w:tc>
          <w:tcPr>
            <w:tcW w:type="dxa" w:w="129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0,055</w:t>
            </w:r>
          </w:p>
        </w:tc>
        <w:tc>
          <w:tcPr>
            <w:tcW w:type="dxa" w:w="106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1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0,0028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7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4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type="dxa" w:w="708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Грузовые бортовые автомобили, страной происхождения которых является Российская Федерация</w:t>
            </w:r>
          </w:p>
        </w:tc>
        <w:tc>
          <w:tcPr>
            <w:tcW w:type="dxa" w:w="129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0,08</w:t>
            </w:r>
          </w:p>
        </w:tc>
        <w:tc>
          <w:tcPr>
            <w:tcW w:type="dxa" w:w="106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1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0,0024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7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4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type="dxa" w:w="708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Автомобили-тягачи, страной происхождения которых является Российская Федерация</w:t>
            </w:r>
          </w:p>
        </w:tc>
        <w:tc>
          <w:tcPr>
            <w:tcW w:type="dxa" w:w="129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0,072</w:t>
            </w:r>
          </w:p>
        </w:tc>
        <w:tc>
          <w:tcPr>
            <w:tcW w:type="dxa" w:w="106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1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0,0016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4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type="dxa" w:w="70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Автомобили-самосвалы, страной происхождения которых является Российская Федерация         </w:t>
            </w:r>
          </w:p>
        </w:tc>
        <w:tc>
          <w:tcPr>
            <w:tcW w:type="dxa" w:w="12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0,12</w:t>
            </w:r>
          </w:p>
        </w:tc>
        <w:tc>
          <w:tcPr>
            <w:tcW w:type="dxa" w:w="10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1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0,002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4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type="dxa" w:w="7087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Специализированные автомобили, страной происхождения которых является Российская Федерация          </w:t>
            </w:r>
          </w:p>
        </w:tc>
        <w:tc>
          <w:tcPr>
            <w:tcW w:type="dxa" w:w="1295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0,11</w:t>
            </w:r>
          </w:p>
        </w:tc>
        <w:tc>
          <w:tcPr>
            <w:tcW w:type="dxa" w:w="106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1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0,0016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7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4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type="dxa" w:w="708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Автобусы, страной происхождения которых является Российская Федерация </w:t>
            </w:r>
          </w:p>
        </w:tc>
        <w:tc>
          <w:tcPr>
            <w:tcW w:type="dxa" w:w="129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0,122</w:t>
            </w:r>
          </w:p>
        </w:tc>
        <w:tc>
          <w:tcPr>
            <w:tcW w:type="dxa" w:w="106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1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0,0008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7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4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type="dxa" w:w="708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Легковые автомобили, странами происхождения которых являются государства Европы, включая Турцию</w:t>
            </w:r>
          </w:p>
        </w:tc>
        <w:tc>
          <w:tcPr>
            <w:tcW w:type="dxa" w:w="129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0,04</w:t>
            </w:r>
          </w:p>
        </w:tc>
        <w:tc>
          <w:tcPr>
            <w:tcW w:type="dxa" w:w="106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1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0,002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7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4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type="dxa" w:w="708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Легковые автомобили, странами происхождения которых являются государства Северной Америки и Южной Америки</w:t>
            </w:r>
          </w:p>
        </w:tc>
        <w:tc>
          <w:tcPr>
            <w:tcW w:type="dxa" w:w="129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0,044</w:t>
            </w:r>
          </w:p>
        </w:tc>
        <w:tc>
          <w:tcPr>
            <w:tcW w:type="dxa" w:w="106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1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0,0024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7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4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type="dxa" w:w="708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Легковые автомобили, странами происхождения которых являются государства Азии (кроме Японии)</w:t>
            </w:r>
          </w:p>
        </w:tc>
        <w:tc>
          <w:tcPr>
            <w:tcW w:type="dxa" w:w="129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type="dxa" w:w="106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1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0,0026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7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4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type="dxa" w:w="708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Легковые автомобили, страной происхождения которых является Япония</w:t>
            </w:r>
          </w:p>
        </w:tc>
        <w:tc>
          <w:tcPr>
            <w:tcW w:type="dxa" w:w="129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0,036</w:t>
            </w:r>
          </w:p>
        </w:tc>
        <w:tc>
          <w:tcPr>
            <w:tcW w:type="dxa" w:w="106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1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0,0016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7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4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type="dxa" w:w="708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Грузовые автомобили иностранного производства        </w:t>
            </w:r>
          </w:p>
        </w:tc>
        <w:tc>
          <w:tcPr>
            <w:tcW w:type="dxa" w:w="129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0,072</w:t>
            </w:r>
          </w:p>
        </w:tc>
        <w:tc>
          <w:tcPr>
            <w:tcW w:type="dxa" w:w="106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1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0,0017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7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4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type="dxa" w:w="708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Автобусы иностранного производства                   </w:t>
            </w:r>
          </w:p>
        </w:tc>
        <w:tc>
          <w:tcPr>
            <w:tcW w:type="dxa" w:w="129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0,096</w:t>
            </w:r>
          </w:p>
        </w:tc>
        <w:tc>
          <w:tcPr>
            <w:tcW w:type="dxa" w:w="106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1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0,0008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7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4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type="dxa" w:w="708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Прицепы и полуприцепы, страной происхождения которых является Российская Федерация, для грузовых автомобилей</w:t>
            </w:r>
          </w:p>
        </w:tc>
        <w:tc>
          <w:tcPr>
            <w:tcW w:type="dxa" w:w="129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0,096</w:t>
            </w:r>
          </w:p>
        </w:tc>
        <w:tc>
          <w:tcPr>
            <w:tcW w:type="dxa" w:w="106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1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7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4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type="dxa" w:w="708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Прицепы и полуприцепы иностранного производства для грузовых автомобилей</w:t>
            </w:r>
          </w:p>
        </w:tc>
        <w:tc>
          <w:tcPr>
            <w:tcW w:type="dxa" w:w="129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0,08</w:t>
            </w:r>
          </w:p>
        </w:tc>
        <w:tc>
          <w:tcPr>
            <w:tcW w:type="dxa" w:w="106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1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7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4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type="dxa" w:w="708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Прицепы для легковых автомобилей и жилых автомобилей (типа автомобиль-дача)</w:t>
            </w:r>
          </w:p>
        </w:tc>
        <w:tc>
          <w:tcPr>
            <w:tcW w:type="dxa" w:w="129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0,048</w:t>
            </w:r>
          </w:p>
        </w:tc>
        <w:tc>
          <w:tcPr>
            <w:tcW w:type="dxa" w:w="106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1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7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4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type="dxa" w:w="708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Мотоциклы, страной происхождения которых является Российская Федерация</w:t>
            </w:r>
          </w:p>
        </w:tc>
        <w:tc>
          <w:tcPr>
            <w:tcW w:type="dxa" w:w="129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0,095</w:t>
            </w:r>
          </w:p>
        </w:tc>
        <w:tc>
          <w:tcPr>
            <w:tcW w:type="dxa" w:w="106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1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7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4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type="dxa" w:w="708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Мотоциклы иностранного производства</w:t>
            </w:r>
          </w:p>
        </w:tc>
        <w:tc>
          <w:tcPr>
            <w:tcW w:type="dxa" w:w="129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0,055</w:t>
            </w:r>
          </w:p>
        </w:tc>
        <w:tc>
          <w:tcPr>
            <w:tcW w:type="dxa" w:w="106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1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7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4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type="dxa" w:w="708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Сельскохозяйственные тракторы, страной происхождения которых является Российская Федерация</w:t>
            </w:r>
          </w:p>
        </w:tc>
        <w:tc>
          <w:tcPr>
            <w:tcW w:type="dxa" w:w="129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0,16</w:t>
            </w:r>
          </w:p>
        </w:tc>
        <w:tc>
          <w:tcPr>
            <w:tcW w:type="dxa" w:w="106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1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7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4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type="dxa" w:w="708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Сельскохозяйственные тракторы (80 - 100 л.с.) иностранного производства</w:t>
            </w:r>
          </w:p>
        </w:tc>
        <w:tc>
          <w:tcPr>
            <w:tcW w:type="dxa" w:w="129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0,055</w:t>
            </w:r>
          </w:p>
        </w:tc>
        <w:tc>
          <w:tcPr>
            <w:tcW w:type="dxa" w:w="106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1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7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4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type="dxa" w:w="708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Прочие тракторы иностранного производства</w:t>
            </w:r>
          </w:p>
        </w:tc>
        <w:tc>
          <w:tcPr>
            <w:tcW w:type="dxa" w:w="129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0,088</w:t>
            </w:r>
          </w:p>
        </w:tc>
        <w:tc>
          <w:tcPr>
            <w:tcW w:type="dxa" w:w="106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1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7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4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type="dxa" w:w="708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Прочая самоходная сельскохозяйственная техника и машины</w:t>
            </w:r>
          </w:p>
        </w:tc>
        <w:tc>
          <w:tcPr>
            <w:tcW w:type="dxa" w:w="129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0,12</w:t>
            </w:r>
          </w:p>
        </w:tc>
        <w:tc>
          <w:tcPr>
            <w:tcW w:type="dxa" w:w="106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1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7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4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type="dxa" w:w="708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Автогрейдеры</w:t>
            </w:r>
          </w:p>
        </w:tc>
        <w:tc>
          <w:tcPr>
            <w:tcW w:type="dxa" w:w="129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0,126</w:t>
            </w:r>
          </w:p>
        </w:tc>
        <w:tc>
          <w:tcPr>
            <w:tcW w:type="dxa" w:w="106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1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7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4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type="dxa" w:w="708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Погрузчики фронтальные одноковшовые</w:t>
            </w:r>
          </w:p>
        </w:tc>
        <w:tc>
          <w:tcPr>
            <w:tcW w:type="dxa" w:w="129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0,124</w:t>
            </w:r>
          </w:p>
        </w:tc>
        <w:tc>
          <w:tcPr>
            <w:tcW w:type="dxa" w:w="106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1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7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4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type="dxa" w:w="708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Экскаваторы одноковшовые</w:t>
            </w:r>
          </w:p>
        </w:tc>
        <w:tc>
          <w:tcPr>
            <w:tcW w:type="dxa" w:w="129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0,08</w:t>
            </w:r>
          </w:p>
        </w:tc>
        <w:tc>
          <w:tcPr>
            <w:tcW w:type="dxa" w:w="106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1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7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4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type="dxa" w:w="708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Катки дорожные</w:t>
            </w:r>
          </w:p>
        </w:tc>
        <w:tc>
          <w:tcPr>
            <w:tcW w:type="dxa" w:w="129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0,085</w:t>
            </w:r>
          </w:p>
        </w:tc>
        <w:tc>
          <w:tcPr>
            <w:tcW w:type="dxa" w:w="106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1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7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4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type="dxa" w:w="708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Прочая самоходная дорожно-строительная техника и машины</w:t>
            </w:r>
          </w:p>
        </w:tc>
        <w:tc>
          <w:tcPr>
            <w:tcW w:type="dxa" w:w="129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0,11</w:t>
            </w:r>
          </w:p>
        </w:tc>
        <w:tc>
          <w:tcPr>
            <w:tcW w:type="dxa" w:w="106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1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7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4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type="dxa" w:w="708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Аэродромная самоходная техника и машины</w:t>
            </w:r>
          </w:p>
        </w:tc>
        <w:tc>
          <w:tcPr>
            <w:tcW w:type="dxa" w:w="129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type="dxa" w:w="106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1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7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4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type="dxa" w:w="708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Землеройная самоходная техника и машины</w:t>
            </w:r>
          </w:p>
        </w:tc>
        <w:tc>
          <w:tcPr>
            <w:tcW w:type="dxa" w:w="129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0,08</w:t>
            </w:r>
          </w:p>
        </w:tc>
        <w:tc>
          <w:tcPr>
            <w:tcW w:type="dxa" w:w="106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1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7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4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type="dxa" w:w="708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Коммунальная самоходная техника и машины</w:t>
            </w:r>
          </w:p>
        </w:tc>
        <w:tc>
          <w:tcPr>
            <w:tcW w:type="dxa" w:w="129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0,13</w:t>
            </w:r>
          </w:p>
        </w:tc>
        <w:tc>
          <w:tcPr>
            <w:tcW w:type="dxa" w:w="106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1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7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4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type="dxa" w:w="708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Лесозаготовительная самоходная техника и машины</w:t>
            </w:r>
          </w:p>
        </w:tc>
        <w:tc>
          <w:tcPr>
            <w:tcW w:type="dxa" w:w="129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0,11</w:t>
            </w:r>
          </w:p>
        </w:tc>
        <w:tc>
          <w:tcPr>
            <w:tcW w:type="dxa" w:w="106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1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7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4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type="dxa" w:w="708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Пожарная самоходная техника и машины</w:t>
            </w:r>
          </w:p>
        </w:tc>
        <w:tc>
          <w:tcPr>
            <w:tcW w:type="dxa" w:w="129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0,15</w:t>
            </w:r>
          </w:p>
        </w:tc>
        <w:tc>
          <w:tcPr>
            <w:tcW w:type="dxa" w:w="106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1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7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4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type="dxa" w:w="708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Строительная самоходная техника и машины</w:t>
            </w:r>
          </w:p>
        </w:tc>
        <w:tc>
          <w:tcPr>
            <w:tcW w:type="dxa" w:w="129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0,06</w:t>
            </w:r>
          </w:p>
        </w:tc>
        <w:tc>
          <w:tcPr>
            <w:tcW w:type="dxa" w:w="106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1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7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4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33</w:t>
            </w:r>
          </w:p>
        </w:tc>
        <w:tc>
          <w:tcPr>
            <w:tcW w:type="dxa" w:w="708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Самоходная техника и машины для нефтедобычи и нефтепереработки</w:t>
            </w:r>
          </w:p>
        </w:tc>
        <w:tc>
          <w:tcPr>
            <w:tcW w:type="dxa" w:w="129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0,18</w:t>
            </w:r>
          </w:p>
        </w:tc>
        <w:tc>
          <w:tcPr>
            <w:tcW w:type="dxa" w:w="106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13" w:left="0" w:right="0"/>
              <w:jc w:val="center"/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>
      <w:pPr>
        <w:pStyle w:val="style0"/>
        <w:spacing w:after="0" w:before="0" w:line="100" w:lineRule="atLeast"/>
        <w:ind w:firstLine="709" w:left="0" w:right="0"/>
        <w:jc w:val="both"/>
      </w:pPr>
      <w:r>
        <w:rPr>
          <w:rFonts w:ascii="Times New Roman" w:cs="Times New Roman" w:eastAsia="Times New Roman" w:hAnsi="Times New Roman"/>
          <w:sz w:val="28"/>
          <w:szCs w:val="28"/>
          <w:lang w:eastAsia="ru-RU" w:val="en-US"/>
        </w:rPr>
      </w:r>
    </w:p>
    <w:p>
      <w:pPr>
        <w:pStyle w:val="style0"/>
        <w:spacing w:after="0" w:before="0" w:line="100" w:lineRule="atLeast"/>
        <w:ind w:firstLine="709" w:left="0" w:right="0"/>
        <w:jc w:val="both"/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  <w:t>Таким образом, в соответствии с Постановлением Правительства РФ от 24.05.2010г. №361 "Об утверждении Правил установления размера расходов на материалы и запасные части при восстановительном ремонте транспортных средств» и Постановлением правительства РФ от 30.07.2014г. №717 «О внесении изменений в Правила установления размера расходов на материалы и запасные части при восстановительном ремонте транспортных средств» должны приниматься следующие значения износа комплектующих изделий (деталей, узлов и агрегатов), подлежащих замене при восстановительном ремонте транспортного средства:</w:t>
      </w:r>
    </w:p>
    <w:p>
      <w:pPr>
        <w:pStyle w:val="style0"/>
        <w:spacing w:after="0" w:before="0" w:line="100" w:lineRule="atLeast"/>
        <w:ind w:firstLine="709" w:left="0" w:right="0"/>
        <w:jc w:val="both"/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</w:r>
    </w:p>
    <w:tbl>
      <w:tblPr>
        <w:jc w:val="left"/>
        <w:tblInd w:type="dxa" w:w="284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8645"/>
        <w:gridCol w:w="1418"/>
      </w:tblGrid>
      <w:tr>
        <w:trPr>
          <w:trHeight w:hRule="exact" w:val="840"/>
          <w:cantSplit w:val="false"/>
        </w:trPr>
        <w:tc>
          <w:tcPr>
            <w:tcW w:type="dxa" w:w="86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17" w:left="0" w:right="0"/>
            </w:pPr>
            <w:r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Износ комплектующих изделий (деталей, узлов и агрегатов) транспортного средства И</w:t>
            </w:r>
            <w:r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  <w:vertAlign w:val="subscript"/>
                <w:lang w:eastAsia="ru-RU"/>
              </w:rPr>
              <w:t>ки</w:t>
            </w:r>
            <w:bookmarkStart w:id="3" w:name="_GoBack"/>
            <w:bookmarkEnd w:id="3"/>
            <w:r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 xml:space="preserve"> принимается равным</w:t>
            </w:r>
          </w:p>
        </w:tc>
        <w:tc>
          <w:tcPr>
            <w:tcW w:type="dxa" w:w="14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  <w:spacing w:after="0" w:before="28"/>
              <w:ind w:firstLine="33" w:left="0" w:right="0"/>
              <w:jc w:val="center"/>
            </w:pPr>
            <w:r>
              <w:rPr>
                <w:b/>
                <w:bCs/>
                <w:sz w:val="28"/>
                <w:szCs w:val="28"/>
              </w:rPr>
              <w:t>${Value3}</w:t>
            </w:r>
          </w:p>
        </w:tc>
      </w:tr>
      <w:tr>
        <w:trPr>
          <w:trHeight w:hRule="exact" w:val="555"/>
          <w:cantSplit w:val="false"/>
        </w:trPr>
        <w:tc>
          <w:tcPr>
            <w:tcW w:type="dxa" w:w="86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17" w:left="0" w:right="0"/>
            </w:pPr>
            <w:r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Износ шины транспортного средства И</w:t>
            </w:r>
            <w:r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  <w:vertAlign w:val="subscript"/>
                <w:lang w:eastAsia="ru-RU"/>
              </w:rPr>
              <w:t>ш</w:t>
            </w:r>
            <w:r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 xml:space="preserve"> принимается равным</w:t>
            </w:r>
          </w:p>
        </w:tc>
        <w:tc>
          <w:tcPr>
            <w:tcW w:type="dxa" w:w="14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  <w:spacing w:after="0" w:before="28"/>
              <w:ind w:firstLine="33" w:left="0" w:right="0"/>
              <w:jc w:val="center"/>
            </w:pPr>
            <w:r>
              <w:rPr>
                <w:b/>
                <w:bCs/>
                <w:sz w:val="28"/>
                <w:szCs w:val="28"/>
              </w:rPr>
              <w:t>${Value4}</w:t>
            </w:r>
          </w:p>
        </w:tc>
      </w:tr>
      <w:tr>
        <w:trPr>
          <w:trHeight w:hRule="exact" w:val="706"/>
          <w:cantSplit w:val="false"/>
        </w:trPr>
        <w:tc>
          <w:tcPr>
            <w:tcW w:type="dxa" w:w="86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17" w:left="0" w:right="0"/>
            </w:pPr>
            <w:r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Износ аккумуляторной батареи транспортного средства И</w:t>
            </w:r>
            <w:r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  <w:vertAlign w:val="subscript"/>
                <w:lang w:eastAsia="ru-RU"/>
              </w:rPr>
              <w:t>ак</w:t>
            </w:r>
            <w:r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 xml:space="preserve"> принимается равным</w:t>
            </w:r>
          </w:p>
        </w:tc>
        <w:tc>
          <w:tcPr>
            <w:tcW w:type="dxa" w:w="14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  <w:spacing w:after="0" w:before="28"/>
              <w:ind w:firstLine="33" w:left="0" w:right="0"/>
              <w:jc w:val="center"/>
            </w:pPr>
            <w:r>
              <w:rPr>
                <w:b/>
                <w:bCs/>
                <w:sz w:val="28"/>
                <w:szCs w:val="28"/>
              </w:rPr>
              <w:t>${Value5}</w:t>
            </w:r>
          </w:p>
        </w:tc>
      </w:tr>
    </w:tbl>
    <w:p>
      <w:pPr>
        <w:pStyle w:val="style0"/>
        <w:ind w:firstLine="709" w:left="0" w:right="0"/>
        <w:jc w:val="both"/>
      </w:pPr>
      <w:r>
        <w:rPr/>
      </w:r>
    </w:p>
    <w:sectPr>
      <w:headerReference r:id="rId5" w:type="default"/>
      <w:type w:val="nextPage"/>
      <w:pgSz w:h="16838" w:w="11906"/>
      <w:pgMar w:bottom="851" w:footer="0" w:gutter="0" w:header="142" w:left="1134" w:right="425" w:top="225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7"/>
      <w:jc w:val="center"/>
    </w:pPr>
    <w:r>
      <w:rPr>
        <w:rFonts w:ascii="Times New Roman" w:cs="Times New Roman" w:hAnsi="Times New Roman"/>
        <w:sz w:val="30"/>
        <w:szCs w:val="30"/>
      </w:rPr>
      <w:t>Автоэкспертиза и оценка «ИНАВЭКС»</w:t>
    </w:r>
  </w:p>
  <w:p>
    <w:pPr>
      <w:pStyle w:val="style27"/>
      <w:jc w:val="center"/>
    </w:pPr>
    <w:r>
      <w:rPr>
        <w:lang w:val="en-US"/>
      </w:rPr>
      <w:t>www</w:t>
    </w:r>
    <w:r>
      <w:rPr/>
      <w:t>.</w:t>
    </w:r>
    <w:r>
      <w:rPr>
        <w:lang w:val="en-US"/>
      </w:rPr>
      <w:t>inavex</w:t>
    </w:r>
    <w:r>
      <w:rPr/>
      <w:t>.</w:t>
    </w:r>
    <w:r>
      <w:rPr>
        <w:lang w:val="en-US"/>
      </w:rPr>
      <w:t>ru</w:t>
    </w:r>
    <w:r>
      <w:rPr/>
      <w:t xml:space="preserve">    /    </w:t>
    </w:r>
    <w:hyperlink r:id="rId1">
      <w:r>
        <w:rPr>
          <w:rStyle w:val="style19"/>
          <w:color w:val="00000A"/>
          <w:u w:val="none"/>
          <w:lang w:val="en-US"/>
        </w:rPr>
        <w:t>www</w:t>
      </w:r>
      <w:r>
        <w:rPr>
          <w:rStyle w:val="style19"/>
          <w:color w:val="00000A"/>
          <w:u w:val="none"/>
        </w:rPr>
        <w:t>.</w:t>
      </w:r>
      <w:r>
        <w:rPr>
          <w:rStyle w:val="style19"/>
          <w:color w:val="00000A"/>
          <w:u w:val="none"/>
          <w:lang w:val="en-US"/>
        </w:rPr>
        <w:t>vk</w:t>
      </w:r>
      <w:r>
        <w:rPr>
          <w:rStyle w:val="style19"/>
          <w:color w:val="00000A"/>
          <w:u w:val="none"/>
        </w:rPr>
        <w:t>.</w:t>
      </w:r>
      <w:r>
        <w:rPr>
          <w:rStyle w:val="style19"/>
          <w:color w:val="00000A"/>
          <w:u w:val="none"/>
          <w:lang w:val="en-US"/>
        </w:rPr>
        <w:t>com</w:t>
      </w:r>
      <w:r>
        <w:rPr>
          <w:rStyle w:val="style19"/>
          <w:color w:val="00000A"/>
          <w:u w:val="none"/>
        </w:rPr>
        <w:t>/</w:t>
      </w:r>
      <w:r>
        <w:rPr>
          <w:rStyle w:val="style19"/>
          <w:color w:val="00000A"/>
          <w:u w:val="none"/>
          <w:lang w:val="en-US"/>
        </w:rPr>
        <w:t>avtoadvokat</w:t>
      </w:r>
      <w:r>
        <w:rPr>
          <w:rStyle w:val="style19"/>
          <w:color w:val="00000A"/>
          <w:u w:val="none"/>
        </w:rPr>
        <w:t>_</w:t>
      </w:r>
      <w:r>
        <w:rPr>
          <w:rStyle w:val="style19"/>
          <w:color w:val="00000A"/>
          <w:u w:val="none"/>
          <w:lang w:val="en-US"/>
        </w:rPr>
        <w:t>msk</w:t>
      </w:r>
      <w:r>
        <w:rPr>
          <w:rStyle w:val="style19"/>
          <w:color w:val="00000A"/>
          <w:u w:val="none"/>
        </w:rPr>
        <w:t xml:space="preserve">    /</w:t>
      </w:r>
    </w:hyperlink>
    <w:r>
      <w:rPr>
        <w:color w:val="00000A"/>
        <w:u w:val="none"/>
      </w:rPr>
      <w:t xml:space="preserve">  </w:t>
    </w:r>
    <w:r>
      <w:rPr/>
      <w:t xml:space="preserve">  </w:t>
    </w:r>
    <w:r>
      <w:rPr>
        <w:lang w:val="en-US"/>
      </w:rPr>
      <w:t>info</w:t>
    </w:r>
    <w:r>
      <w:rPr/>
      <w:t>@</w:t>
    </w:r>
    <w:r>
      <w:rPr>
        <w:lang w:val="en-US"/>
      </w:rPr>
      <w:t>inavex</w:t>
    </w:r>
    <w:r>
      <w:rPr/>
      <w:t>.</w:t>
    </w:r>
    <w:r>
      <w:rPr>
        <w:lang w:val="en-US"/>
      </w:rPr>
      <w:t>ru</w:t>
    </w:r>
    <w:r>
      <w:rPr/>
      <w:t xml:space="preserve">    /    м.т. 89168368793</w:t>
    </w:r>
  </w:p>
  <w:p>
    <w:pPr>
      <w:pStyle w:val="style27"/>
    </w:pPr>
    <w:r>
      <w:rPr/>
    </w:r>
  </w:p>
</w:hdr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character">
    <w:name w:val="Текст выноски Знак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Верхний колонтитул Знак"/>
    <w:basedOn w:val="style15"/>
    <w:next w:val="style17"/>
    <w:rPr/>
  </w:style>
  <w:style w:styleId="style18" w:type="character">
    <w:name w:val="Нижний колонтитул Знак"/>
    <w:basedOn w:val="style15"/>
    <w:next w:val="style18"/>
    <w:rPr/>
  </w:style>
  <w:style w:styleId="style19" w:type="character">
    <w:name w:val="Интернет-ссылка"/>
    <w:basedOn w:val="style15"/>
    <w:next w:val="style19"/>
    <w:rPr>
      <w:color w:val="0000FF"/>
      <w:u w:val="single"/>
      <w:lang w:bidi="ru-RU" w:eastAsia="ru-RU" w:val="ru-RU"/>
    </w:rPr>
  </w:style>
  <w:style w:styleId="style20" w:type="paragraph">
    <w:name w:val="Заголовок"/>
    <w:basedOn w:val="style0"/>
    <w:next w:val="style21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21" w:type="paragraph">
    <w:name w:val="Основной текст"/>
    <w:basedOn w:val="style0"/>
    <w:next w:val="style21"/>
    <w:pPr>
      <w:spacing w:after="120" w:before="0"/>
    </w:pPr>
    <w:rPr/>
  </w:style>
  <w:style w:styleId="style22" w:type="paragraph">
    <w:name w:val="Список"/>
    <w:basedOn w:val="style21"/>
    <w:next w:val="style22"/>
    <w:pPr/>
    <w:rPr>
      <w:rFonts w:cs="Lohit Hindi"/>
    </w:rPr>
  </w:style>
  <w:style w:styleId="style23" w:type="paragraph">
    <w:name w:val="Название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Указатель"/>
    <w:basedOn w:val="style0"/>
    <w:next w:val="style24"/>
    <w:pPr>
      <w:suppressLineNumbers/>
    </w:pPr>
    <w:rPr>
      <w:rFonts w:cs="Lohit Hindi"/>
    </w:rPr>
  </w:style>
  <w:style w:styleId="style25" w:type="paragraph">
    <w:name w:val="Balloon Text"/>
    <w:basedOn w:val="style0"/>
    <w:next w:val="style25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26" w:type="paragraph">
    <w:name w:val="Normal (Web)"/>
    <w:basedOn w:val="style0"/>
    <w:next w:val="style26"/>
    <w:pPr>
      <w:spacing w:after="119" w:before="28" w:line="100" w:lineRule="atLeast"/>
    </w:pPr>
    <w:rPr>
      <w:rFonts w:ascii="Times New Roman" w:cs="Times New Roman" w:eastAsia="Times New Roman" w:hAnsi="Times New Roman"/>
      <w:sz w:val="24"/>
      <w:szCs w:val="24"/>
      <w:lang w:eastAsia="ru-RU"/>
    </w:rPr>
  </w:style>
  <w:style w:styleId="style27" w:type="paragraph">
    <w:name w:val="Верхний колонтитул"/>
    <w:basedOn w:val="style0"/>
    <w:next w:val="style27"/>
    <w:pPr>
      <w:suppressLineNumbers/>
      <w:tabs>
        <w:tab w:leader="none" w:pos="4677" w:val="center"/>
        <w:tab w:leader="none" w:pos="9355" w:val="right"/>
      </w:tabs>
      <w:spacing w:after="0" w:before="0" w:line="100" w:lineRule="atLeast"/>
    </w:pPr>
    <w:rPr/>
  </w:style>
  <w:style w:styleId="style28" w:type="paragraph">
    <w:name w:val="Нижний колонтитул"/>
    <w:basedOn w:val="style0"/>
    <w:next w:val="style28"/>
    <w:pPr>
      <w:suppressLineNumbers/>
      <w:tabs>
        <w:tab w:leader="none" w:pos="4677" w:val="center"/>
        <w:tab w:leader="none" w:pos="9355" w:val="right"/>
      </w:tabs>
      <w:spacing w:after="0" w:before="0" w:line="100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0.png"/><Relationship Id="rId3" Type="http://schemas.openxmlformats.org/officeDocument/2006/relationships/image" Target="media/image11.png"/><Relationship Id="rId4" Type="http://schemas.openxmlformats.org/officeDocument/2006/relationships/image" Target="media/image12.png"/><Relationship Id="rId5" Type="http://schemas.openxmlformats.org/officeDocument/2006/relationships/header" Target="header1.xml"/><Relationship Id="rId6" Type="http://schemas.openxmlformats.org/officeDocument/2006/relationships/fontTable" Target="fontTable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://www.vk.com/club25703701  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2014-08-16T14:44:00.00Z</dcterms:created>
  <dc:creator>Inavex</dc:creator>
  <cp:lastModifiedBy>Inavex</cp:lastModifiedBy>
  <dcterms:modified xsi:type="dcterms:W3CDTF">2014-08-16T14:48:00.00Z</dcterms:modified>
  <cp:revision>3</cp:revision>
  <dc:title>Автоэкспертиза и оценка «ИНАВЭКС» - видим все!!!</dc:title>
</cp:coreProperties>
</file>