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17" w:rsidRDefault="00BA0474">
      <w:pPr>
        <w:pStyle w:val="a3"/>
        <w:spacing w:after="0" w:line="1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Постановлением правительства РФ от 24.05.2010 г. N 361 «Об утверждении Правил установления размера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расходов на материалы и запасные части при восстановительном ремонте транспортных средств» с изменениями, внесенными Постановлением правительства РФ от 30.07.2014г. №717 «О внесении изменений в Правила установления размера расходов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материалы и запасные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 при восстановительном ремонте транспортных средств».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shapetype_32" o:spid="_x0000_s1027" style="position:absolute;left:0;text-align:left;margin-left:0;margin-top:0;width:50pt;height:50pt;z-index:251657216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комплектующих изделий (деталей, узлов и агрегатов)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848"/>
        <w:gridCol w:w="1570"/>
      </w:tblGrid>
      <w:tr w:rsidR="00ED0993" w:rsidTr="00A9261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8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CBBEB40" wp14:editId="103CC41B">
                  <wp:extent cx="1852654" cy="580446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l="2536" r="6521"/>
                          <a:stretch/>
                        </pic:blipFill>
                        <pic:spPr bwMode="auto">
                          <a:xfrm>
                            <a:off x="0" y="0"/>
                            <a:ext cx="1852654" cy="580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Износ комплектующего изделия (детали, узла, агрегата), %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ℓ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Основание натуральных логарифмов (= 2,72)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ru-RU"/>
              </w:rPr>
              <w:t>∆</w:t>
            </w:r>
            <w:r w:rsidR="00C57E3E"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bookmarkStart w:id="0" w:name="OLE_LINK1"/>
            <w:bookmarkStart w:id="1" w:name="OLE_LINK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учитывающий влияние на износ </w:t>
            </w:r>
            <w:bookmarkEnd w:id="0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T</w:t>
            </w: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 комплектующего изделия транспортного средства (в годах с точностью до одного десятичного знака)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ru-RU"/>
              </w:rPr>
              <w:t>∆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L</w:t>
            </w:r>
            <w:r w:rsidR="00C57E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учитывающий влияние на износ пробега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L</w:t>
            </w: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пробег транспортного средства с комплектующим изделием (деталью, узлом и агрегатом), (километров)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шины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ш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7"/>
        <w:gridCol w:w="5856"/>
        <w:gridCol w:w="1570"/>
      </w:tblGrid>
      <w:tr w:rsidR="00ED0993" w:rsidTr="00A9261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485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A92617">
            <w:pPr>
              <w:pStyle w:val="a3"/>
              <w:spacing w:after="0" w:line="100" w:lineRule="atLeast"/>
              <w:ind w:left="72" w:hanging="3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27E334" wp14:editId="77442791">
                  <wp:extent cx="1800000" cy="650262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l="6698" t="8890" r="8004" b="14443"/>
                          <a:stretch/>
                        </pic:blipFill>
                        <pic:spPr bwMode="auto">
                          <a:xfrm>
                            <a:off x="0" y="0"/>
                            <a:ext cx="1800000" cy="65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Износ шины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Высота рисунка протектора новой шины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Фактическая высота протектора шины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sz w:val="28"/>
                <w:szCs w:val="28"/>
              </w:rPr>
              <w:t>${Value12}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Минимально допустимая высота рисунка протектора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sz w:val="28"/>
                <w:szCs w:val="28"/>
              </w:rPr>
              <w:t>${Value13}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both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Примечание: Износ шины дополнительно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увеличивается для шин с возрастом от 3 до 5 лет - на 15 процентов, свыше 5 лет - на 25 процентов.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аккумуляторной батареи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ак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4865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1"/>
        <w:gridCol w:w="5667"/>
        <w:gridCol w:w="1560"/>
      </w:tblGrid>
      <w:tr w:rsidR="00ED0993" w:rsidTr="00A9261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48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A92617">
            <w:pPr>
              <w:pStyle w:val="a3"/>
              <w:spacing w:after="0" w:line="100" w:lineRule="atLeast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19D316E" wp14:editId="567DF851">
                  <wp:extent cx="1800000" cy="814523"/>
                  <wp:effectExtent l="0" t="0" r="0" b="0"/>
                  <wp:docPr id="3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6466" t="10679" r="10867" b="10679"/>
                          <a:stretch/>
                        </pic:blipFill>
                        <pic:spPr bwMode="auto">
                          <a:xfrm>
                            <a:off x="0" y="0"/>
                            <a:ext cx="1800000" cy="81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аккумуляторной батареи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48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Возраст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комплектующего изделия транспортного средства (в годах с точностью до одного десятичного знака)</w:t>
            </w:r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48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 до списания (замены) лет</w:t>
            </w:r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70"/>
          <w:jc w:val="center"/>
        </w:trPr>
        <w:tc>
          <w:tcPr>
            <w:tcW w:w="500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Примечание: Нормативный срок службы аккумуляторной батареи до замены/списания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принимается равным: 4 годам - при среднегодовом пробеге транспортного средства до 40 тыс. километров включительно; 3 годам - при среднегодовом пробеге транспортного средства более 40 тыс. километров.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комплектующее изделие (деталь, узел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агрегат) не заменялось с начала эксплуатации транспортного средства или отсутствует документальное подтверждение замены с указанием ее даты, возраст комплектующего изделия (детали, узла и агрегата) рассчитывается с даты выпуска транспортного средства, 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робег транспортного средства с этим комплектующим принимается равным пробегу транспортного средства с начала эксплуатации.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дату выпуска транспортного средства принимается дата (число, месяц и год) изготовления транспортного средства, а при отсутствии эт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их данных - дата приобретения транспортного средства первым владельцем. В случае если ни одна из указанных дат не известна, за дату выпуска принимается первое января года выпуска транспортного средства в соответствии с паспортом транспортного средства.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 результатам независимой технической экспертизы транспортного средства установлено или имеется документальное подтверждение (запись в паспорте транспортного средства, оплаченный заказ-наряд авторемонтной организации, маркировка организации-изготовителя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даты выпуска комплектующего изделия и т.п.) того, что комплектующее изделие (деталь, узел и агрегат) было установлено при замене, произведенной до даты дорожно-транспортного происшествия, его возраст принимается равным разности между датой дорожно-транспо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ртного происшествия и датой предыдущей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замены, а пробег транспортного средства с этим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предыдущей замены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омплектующего изделия.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комплектующего изделия, подлежащего замене при восстановительном ремонте транспортного средства, рассчитывается в годах с точностью до одного десятичного знака.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Пробег транспортного средства определяется по одометру. Если одо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 неисправен или его состояние не соответствует установленным требованиям, пробег с начала эксплуатации транспортного средства определяется расчетным путем в соответствии со справочными 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по таблицам 10.1 и 10.2. Методического руководст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для судебных экспертов "Исследование автомототранспортных сре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(2013г.).</w:t>
      </w:r>
    </w:p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коэффициентов 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7371"/>
        <w:gridCol w:w="1346"/>
        <w:gridCol w:w="1109"/>
      </w:tblGrid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bookmarkStart w:id="2" w:name="_GoBack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3489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ого средства</w:t>
            </w:r>
          </w:p>
        </w:tc>
        <w:tc>
          <w:tcPr>
            <w:tcW w:w="637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∆Т</w:t>
            </w:r>
          </w:p>
        </w:tc>
        <w:tc>
          <w:tcPr>
            <w:tcW w:w="525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∆L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bookmarkStart w:id="3" w:name="RANGE!B2:B34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Автомобили-тягачи, страной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348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6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89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637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являются государства Европы, включая Турцию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Азии (кроме Японии)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автомобилей (типа автомобиль-дача)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Сельскохозяйственные тракторы, страной происхождения которых является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Сельскохозяйственные тракторы (80 - 100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л.с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Самоходная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техника и машины для нефтедобычи и нефтепереработки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bookmarkEnd w:id="2"/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Таким образом, в соответствии с Постановлением Правительства РФ от 24.05.2010г. №361 "Об утверждении Правил установления размера расходов на материалы и запасные части при восстановительном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ремонте транспортных средств» и Постановлением правительства РФ от 30.07.2014г. №717 «О внесении изменений в Правила установления размера расходов на материалы и запасные части при восстановительном ремонте транспортных средств» должны приниматься следующи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 значения износа комплектующих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изделий (деталей, узлов и агрегатов), подлежащих замене при восстановительном ремонте транспортного средства:</w:t>
      </w:r>
    </w:p>
    <w:p w:rsidR="00ED0993" w:rsidRDefault="00ED0993">
      <w:pPr>
        <w:pStyle w:val="a3"/>
        <w:spacing w:after="0" w:line="100" w:lineRule="atLeast"/>
        <w:ind w:firstLine="709"/>
        <w:jc w:val="both"/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4"/>
        <w:gridCol w:w="1489"/>
      </w:tblGrid>
      <w:tr w:rsidR="00ED0993" w:rsidTr="00A92617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комплектующих изделий (деталей, узлов и агрегатов)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hRule="exact" w:val="555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шины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ED0993" w:rsidTr="00A92617">
        <w:tblPrEx>
          <w:tblCellMar>
            <w:top w:w="0" w:type="dxa"/>
            <w:bottom w:w="0" w:type="dxa"/>
          </w:tblCellMar>
        </w:tblPrEx>
        <w:trPr>
          <w:trHeight w:hRule="exact" w:val="706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 w:rsidR="00ED0993" w:rsidRDefault="00ED0993">
      <w:pPr>
        <w:pStyle w:val="a3"/>
        <w:ind w:firstLine="709"/>
        <w:jc w:val="both"/>
      </w:pPr>
    </w:p>
    <w:sectPr w:rsidR="00ED0993">
      <w:headerReference w:type="default" r:id="rId10"/>
      <w:pgSz w:w="11906" w:h="16838"/>
      <w:pgMar w:top="225" w:right="425" w:bottom="851" w:left="1134" w:header="142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74" w:rsidRDefault="00BA0474">
      <w:pPr>
        <w:spacing w:after="0" w:line="240" w:lineRule="auto"/>
      </w:pPr>
      <w:r>
        <w:separator/>
      </w:r>
    </w:p>
  </w:endnote>
  <w:endnote w:type="continuationSeparator" w:id="0">
    <w:p w:rsidR="00BA0474" w:rsidRDefault="00BA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74" w:rsidRDefault="00BA0474">
      <w:pPr>
        <w:spacing w:after="0" w:line="240" w:lineRule="auto"/>
      </w:pPr>
      <w:r>
        <w:separator/>
      </w:r>
    </w:p>
  </w:footnote>
  <w:footnote w:type="continuationSeparator" w:id="0">
    <w:p w:rsidR="00BA0474" w:rsidRDefault="00BA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93" w:rsidRDefault="00BA0474">
    <w:pPr>
      <w:pStyle w:val="ae"/>
      <w:jc w:val="center"/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</w:t>
    </w:r>
    <w:r>
      <w:rPr>
        <w:rFonts w:ascii="Times New Roman" w:hAnsi="Times New Roman" w:cs="Times New Roman"/>
        <w:sz w:val="30"/>
        <w:szCs w:val="30"/>
      </w:rPr>
      <w:t>«ИНАВЭКС»</w:t>
    </w:r>
  </w:p>
  <w:p w:rsidR="00ED0993" w:rsidRDefault="00BA0474">
    <w:pPr>
      <w:pStyle w:val="ae"/>
      <w:jc w:val="center"/>
    </w:pPr>
    <w:r>
      <w:rPr>
        <w:lang w:val="en-US"/>
      </w:rPr>
      <w:t>www</w:t>
    </w:r>
    <w:r>
      <w:t>.</w:t>
    </w:r>
    <w:proofErr w:type="spellStart"/>
    <w:r>
      <w:rPr>
        <w:lang w:val="en-US"/>
      </w:rPr>
      <w:t>inavex</w:t>
    </w:r>
    <w:proofErr w:type="spellEnd"/>
    <w:r>
      <w:t>.</w:t>
    </w:r>
    <w:proofErr w:type="spellStart"/>
    <w:r>
      <w:rPr>
        <w:lang w:val="en-US"/>
      </w:rPr>
      <w:t>ru</w:t>
    </w:r>
    <w:proofErr w:type="spellEnd"/>
    <w:r>
      <w:t xml:space="preserve">    /    </w:t>
    </w:r>
    <w:hyperlink r:id="rId1">
      <w:r>
        <w:rPr>
          <w:rStyle w:val="-"/>
          <w:color w:val="00000A"/>
          <w:u w:val="none"/>
          <w:lang w:val="en-US"/>
        </w:rPr>
        <w:t>www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vk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com</w:t>
      </w:r>
      <w:r>
        <w:rPr>
          <w:rStyle w:val="-"/>
          <w:color w:val="00000A"/>
          <w:u w:val="none"/>
        </w:rPr>
        <w:t>/</w:t>
      </w:r>
      <w:r>
        <w:rPr>
          <w:rStyle w:val="-"/>
          <w:color w:val="00000A"/>
          <w:u w:val="none"/>
          <w:lang w:val="en-US"/>
        </w:rPr>
        <w:t>avtoadvokat</w:t>
      </w:r>
      <w:r>
        <w:rPr>
          <w:rStyle w:val="-"/>
          <w:color w:val="00000A"/>
          <w:u w:val="none"/>
        </w:rPr>
        <w:t>_</w:t>
      </w:r>
      <w:r>
        <w:rPr>
          <w:rStyle w:val="-"/>
          <w:color w:val="00000A"/>
          <w:u w:val="none"/>
          <w:lang w:val="en-US"/>
        </w:rPr>
        <w:t>msk</w:t>
      </w:r>
      <w:r>
        <w:rPr>
          <w:rStyle w:val="-"/>
          <w:color w:val="00000A"/>
          <w:u w:val="none"/>
        </w:rPr>
        <w:t xml:space="preserve">    /</w:t>
      </w:r>
    </w:hyperlink>
    <w:r>
      <w:rPr>
        <w:color w:val="00000A"/>
      </w:rPr>
      <w:t xml:space="preserve">  </w:t>
    </w:r>
    <w:r>
      <w:t xml:space="preserve">  </w:t>
    </w:r>
    <w:r>
      <w:rPr>
        <w:lang w:val="en-US"/>
      </w:rPr>
      <w:t>info</w:t>
    </w:r>
    <w:r>
      <w:t>@</w:t>
    </w:r>
    <w:r>
      <w:rPr>
        <w:lang w:val="en-US"/>
      </w:rPr>
      <w:t>inavex</w:t>
    </w:r>
    <w:r>
      <w:t>.</w:t>
    </w:r>
    <w:r>
      <w:rPr>
        <w:lang w:val="en-US"/>
      </w:rPr>
      <w:t>ru</w:t>
    </w:r>
    <w:r>
      <w:t xml:space="preserve">    /    </w:t>
    </w:r>
    <w:proofErr w:type="spellStart"/>
    <w:r>
      <w:t>м.т</w:t>
    </w:r>
    <w:proofErr w:type="spellEnd"/>
    <w:r>
      <w:t>. 89168368793</w:t>
    </w:r>
  </w:p>
  <w:p w:rsidR="00ED0993" w:rsidRDefault="00C57E3E">
    <w:pPr>
      <w:pStyle w:val="ae"/>
    </w:pPr>
    <w:r>
      <w:rPr>
        <w:rFonts w:ascii="Times New Roman" w:hAnsi="Times New Roman" w:cs="Times New Roman"/>
        <w:sz w:val="24"/>
        <w:szCs w:val="24"/>
      </w:rPr>
      <w:pict>
        <v:shape id="shape_0" o:spid="_x0000_s2049" style="position:absolute;margin-left:-5.55pt;margin-top:5.7pt;width:518.95pt;height:0;z-index:251658240;visibility:visible" coordsize="21600,21600" o:spt="100" adj="0,,0" path="m,l21600,21600nfe" strokeweight="1.06mm">
          <v:stroke joinstyle="round"/>
          <v:formulas/>
          <v:path gradientshapeok="t" o:connecttype="rect" textboxrect="0,0,21600,2160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0993"/>
    <w:rsid w:val="00A92617"/>
    <w:rsid w:val="00BA0474"/>
    <w:rsid w:val="00C57E3E"/>
    <w:rsid w:val="00E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</w:style>
  <w:style w:type="character" w:customStyle="1" w:styleId="a6">
    <w:name w:val="Нижний колонтитул Знак"/>
    <w:basedOn w:val="a0"/>
  </w:style>
  <w:style w:type="character" w:customStyle="1" w:styleId="-">
    <w:name w:val="Интернет-ссылка"/>
    <w:basedOn w:val="a0"/>
    <w:rPr>
      <w:color w:val="0000FF"/>
      <w:u w:val="single"/>
      <w:lang w:val="ru-RU" w:eastAsia="ru-RU" w:bidi="ru-RU"/>
    </w:rPr>
  </w:style>
  <w:style w:type="paragraph" w:customStyle="1" w:styleId="a7">
    <w:name w:val="Заголовок"/>
    <w:basedOn w:val="a3"/>
    <w:next w:val="a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Lohit Hindi"/>
    </w:rPr>
  </w:style>
  <w:style w:type="paragraph" w:styleId="aa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Lohit Hindi"/>
    </w:rPr>
  </w:style>
  <w:style w:type="paragraph" w:styleId="ac">
    <w:name w:val="Balloon Text"/>
    <w:basedOn w:val="a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d">
    <w:name w:val="Normal (Web)"/>
    <w:basedOn w:val="a3"/>
    <w:pPr>
      <w:spacing w:before="28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5</cp:revision>
  <dcterms:created xsi:type="dcterms:W3CDTF">2014-08-16T14:44:00Z</dcterms:created>
  <dcterms:modified xsi:type="dcterms:W3CDTF">2014-09-10T15:11:00Z</dcterms:modified>
</cp:coreProperties>
</file>