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7.wmf" ContentType="image/x-wmf"/>
  <Override PartName="/word/media/image6.png" ContentType="image/png"/>
  <Override PartName="/word/media/image8.wmf" ContentType="image/x-wmf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firstLine="900" w:left="0" w:right="0"/>
        <w:jc w:val="both"/>
      </w:pPr>
      <w:r>
        <w:rPr/>
        <w:pict>
          <v:rect id="shape_0" style="position:absolute;margin-left:0pt;margin-top:5.7pt;width:518.8pt;height:0pt">
            <v:wrap v:type="none"/>
            <v:fill color="white" color2="black" detectmouseclick="t" type="solid"/>
            <v:stroke color="black" joinstyle="round" weight="38160"/>
          </v:rect>
        </w:pict>
      </w:r>
    </w:p>
    <w:p>
      <w:pPr>
        <w:pStyle w:val="style0"/>
        <w:ind w:firstLine="900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Расчет износа комплектующих изделий (деталей, узлов и агрегатов), подлежащих замене при восстановительном ремонте транспортного средства в соответствии с Положением Банка России от 19.09.2014 года № 432-П «О единой методике определения размера расходов на восстановительный ремонт в отношении поврежденного транспортного средства».</w:t>
      </w:r>
    </w:p>
    <w:p>
      <w:pPr>
        <w:pStyle w:val="style0"/>
        <w:spacing w:after="0" w:before="0" w:line="100" w:lineRule="atLeast"/>
        <w:ind w:firstLine="900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- Износ комплектующих изделий (деталей, узлов и агрегатов) 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vertAlign w:val="subscript"/>
        </w:rPr>
        <w:t>ки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, транспортного средства рассчитывается по формуле;</w:t>
      </w:r>
    </w:p>
    <w:tbl>
      <w:tblPr>
        <w:jc w:val="left"/>
        <w:tblInd w:type="dxa" w:w="-32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006"/>
        <w:gridCol w:w="4404"/>
        <w:gridCol w:w="1152"/>
      </w:tblGrid>
      <w:tr>
        <w:trPr>
          <w:trHeight w:hRule="atLeast" w:val="158"/>
          <w:cantSplit w:val="false"/>
        </w:trPr>
        <w:tc>
          <w:tcPr>
            <w:tcW w:type="dxa" w:w="500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drawing>
                <wp:inline distB="0" distL="0" distR="0" distT="0">
                  <wp:extent cx="2962275" cy="59055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И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ки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Износ комплектующего изделия (детали, узла, агрегата), (%)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>${Value3}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 xml:space="preserve">ℓ 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- Основание натуральных логарифмов, (е≈2,72)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∆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Т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Коэффициент, учитывающий влияние на износ комплектующего изделия (детали, узла, агрегата) его срока эксплуатации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bCs/>
                <w:sz w:val="28"/>
                <w:szCs w:val="28"/>
                <w:lang w:eastAsia="en-US"/>
              </w:rPr>
              <w:t>${Value7}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val="en-US"/>
              </w:rPr>
              <w:t>T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ки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Срок эксплуатации (возраст) комплектующего изделия (детали, узла, агрегата), (лет</w:t>
            </w:r>
            <w:bookmarkStart w:id="0" w:name="_GoBack"/>
            <w:bookmarkEnd w:id="0"/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)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bCs/>
                <w:sz w:val="28"/>
                <w:szCs w:val="28"/>
                <w:lang w:eastAsia="en-US"/>
              </w:rPr>
              <w:t>${Value8}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∆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Коэффициент, учитывающий влияние на износ комплектующего (детали, узла, агрегата) величины пробега транспортного средства с этим комплектующим изделием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bCs/>
                <w:sz w:val="28"/>
                <w:szCs w:val="28"/>
                <w:lang w:eastAsia="en-US"/>
              </w:rPr>
              <w:t>${Value9}</w:t>
            </w:r>
          </w:p>
        </w:tc>
      </w:tr>
      <w:tr>
        <w:trPr>
          <w:trHeight w:hRule="atLeast" w:val="90"/>
          <w:cantSplit w:val="false"/>
        </w:trPr>
        <w:tc>
          <w:tcPr>
            <w:tcW w:type="dxa" w:w="500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40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lang w:val="en-US"/>
              </w:rPr>
              <w:t>L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ки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Пробег транспортного средства на дату дорожно-транспортного происшествия, (км)</w:t>
            </w:r>
          </w:p>
        </w:tc>
        <w:tc>
          <w:tcPr>
            <w:tcW w:type="dxa" w:w="115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bCs/>
                <w:sz w:val="28"/>
                <w:szCs w:val="28"/>
                <w:lang w:eastAsia="en-US"/>
              </w:rPr>
              <w:t>${Value10}</w:t>
            </w:r>
          </w:p>
        </w:tc>
      </w:tr>
    </w:tbl>
    <w:p>
      <w:pPr>
        <w:pStyle w:val="style0"/>
        <w:spacing w:after="0" w:before="0" w:line="100" w:lineRule="atLeast"/>
        <w:ind w:firstLine="900" w:left="0" w:right="0"/>
        <w:jc w:val="both"/>
      </w:pPr>
      <w:r>
        <w:rPr/>
      </w:r>
    </w:p>
    <w:p>
      <w:pPr>
        <w:pStyle w:val="style0"/>
        <w:spacing w:after="0" w:before="0" w:line="100" w:lineRule="atLeast"/>
        <w:ind w:firstLine="900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- Износ шины И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vertAlign w:val="subscript"/>
        </w:rPr>
        <w:t>ш</w:t>
      </w: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, транспортного средства рассчитывается по формуле;</w:t>
      </w:r>
    </w:p>
    <w:tbl>
      <w:tblPr>
        <w:jc w:val="left"/>
        <w:tblInd w:type="dxa" w:w="-32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3136"/>
        <w:gridCol w:w="5855"/>
        <w:gridCol w:w="1572"/>
      </w:tblGrid>
      <w:tr>
        <w:trPr>
          <w:trHeight w:hRule="atLeast" w:val="180"/>
          <w:cantSplit w:val="false"/>
        </w:trPr>
        <w:tc>
          <w:tcPr>
            <w:tcW w:type="dxa" w:w="3136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hanging="38" w:left="72" w:right="0"/>
            </w:pPr>
            <w:r>
              <w:rPr/>
              <w:drawing>
                <wp:inline distB="0" distL="0" distR="0" distT="0">
                  <wp:extent cx="1695450" cy="70421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704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ind w:firstLine="36" w:left="0" w:right="0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И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ш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Износ шины, (%)</w:t>
            </w:r>
          </w:p>
        </w:tc>
        <w:tc>
          <w:tcPr>
            <w:tcW w:type="dxa" w:w="1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>${Value4}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313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5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ind w:firstLine="36" w:left="0" w:right="0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н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Высота рисунка протектора новой шины, (мм)</w:t>
            </w:r>
          </w:p>
        </w:tc>
        <w:tc>
          <w:tcPr>
            <w:tcW w:type="dxa" w:w="1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313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5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ind w:firstLine="36" w:left="0" w:right="0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ф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Фактическая высота протектора шины, (мм)</w:t>
            </w:r>
          </w:p>
        </w:tc>
        <w:tc>
          <w:tcPr>
            <w:tcW w:type="dxa" w:w="1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sz w:val="28"/>
                <w:szCs w:val="28"/>
                <w:lang w:eastAsia="en-US"/>
              </w:rPr>
              <w:t>${Value12}</w:t>
            </w:r>
          </w:p>
        </w:tc>
      </w:tr>
      <w:tr>
        <w:trPr>
          <w:trHeight w:hRule="atLeast" w:val="180"/>
          <w:cantSplit w:val="false"/>
        </w:trPr>
        <w:tc>
          <w:tcPr>
            <w:tcW w:type="dxa" w:w="3136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585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tabs>
                <w:tab w:leader="none" w:pos="708" w:val="left"/>
              </w:tabs>
              <w:suppressAutoHyphens w:val="true"/>
              <w:spacing w:after="0" w:before="0" w:line="100" w:lineRule="atLeast"/>
              <w:ind w:firstLine="36" w:left="0" w:right="0"/>
              <w:jc w:val="both"/>
            </w:pP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</w:rPr>
              <w:t>Н</w:t>
            </w:r>
            <w:r>
              <w:rPr>
                <w:rFonts w:ascii="Times New Roman" w:cs="Times New Roman" w:eastAsia="Times New Roman" w:hAnsi="Times New Roman"/>
                <w:i/>
                <w:sz w:val="28"/>
                <w:szCs w:val="28"/>
                <w:vertAlign w:val="subscript"/>
              </w:rPr>
              <w:t>доп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- Минимально допустимая высота рисунка протектора шины в соответствии с требованиями законодательства Российской Федерации, (мм)</w:t>
            </w:r>
          </w:p>
        </w:tc>
        <w:tc>
          <w:tcPr>
            <w:tcW w:type="dxa" w:w="157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29"/>
              <w:spacing w:after="0" w:before="28"/>
              <w:jc w:val="center"/>
            </w:pPr>
            <w:r>
              <w:rPr>
                <w:rFonts w:cs="Times New Roman" w:eastAsia="Times New Roman"/>
                <w:b/>
                <w:sz w:val="28"/>
                <w:szCs w:val="28"/>
                <w:lang w:eastAsia="en-US"/>
              </w:rPr>
              <w:t>${Value13}</w:t>
            </w:r>
          </w:p>
        </w:tc>
      </w:tr>
      <w:tr>
        <w:trPr>
          <w:trHeight w:hRule="atLeast" w:val="290"/>
          <w:cantSplit w:val="false"/>
        </w:trPr>
        <w:tc>
          <w:tcPr>
            <w:tcW w:type="dxa" w:w="10563"/>
            <w:gridSpan w:val="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8" w:before="28"/>
              <w:jc w:val="both"/>
            </w:pPr>
            <w:r>
              <w:rPr>
                <w:rFonts w:ascii="Times New Roman" w:cs="Times New Roman" w:eastAsia="Times New Roman" w:hAnsi="Times New Roman"/>
                <w:color w:val="000000"/>
                <w:sz w:val="20"/>
                <w:szCs w:val="20"/>
                <w:shd w:fill="FFFFFF" w:val="clear"/>
                <w:lang w:eastAsia="en-US"/>
              </w:rPr>
              <w:t>Примечание: Износ шины дополнительно увеличивается для шин с возрастом от 3 до 5 лет – на 15 процентов, свыше 5 лет – на 25 процентов..</w:t>
            </w:r>
          </w:p>
        </w:tc>
      </w:tr>
    </w:tbl>
    <w:p>
      <w:pPr>
        <w:pStyle w:val="style0"/>
        <w:spacing w:after="0" w:before="0" w:line="100" w:lineRule="atLeast"/>
        <w:ind w:firstLine="900" w:left="0" w:right="0"/>
        <w:jc w:val="both"/>
      </w:pPr>
      <w:r>
        <w:rPr/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</w:rPr>
        <w:t>Примечание: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>Для комплектующих изделий (деталей, узлов, агрегатов), при неисправности которых в соответствии с законодательством Российской Федерации о безопасности дорожного движения запрещается движение транспортного средства, а также для раскрывающихся элементов подушек безопасности и удерживающих устройств (ремней безопасности) транспортного средства принимается нулевое значение износа.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Номенклатура комплектующих изделий (деталей, узлов, агрегатов), для которых устанавливается нулевое значение износа при расчете размера расходов на запасные части при восстановительном ремонте транспортного средства, приведена в приложении 7 к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единой методике определения размера расходов на восстановительный ремонт в отношении поврежденного транспортного средства, утвержденной Положением Банка России от «19» сентября 2014 года № 432-П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>Если комплектующее изделие (деталь, узел, агрегат) не заменялось с начала эксплуатации транспортного средства, его возраст и пробег транспортного средства с этим комплектующим изделием (деталью, узлом, агрегатом) принимается равными возрасту и пробегу транспортного средства.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>Если по результатам осмотра установлено или имеется документальное подтверждение (например, запись в паспорте транспортного средства, оплаченный заказ-наряд авторемонтной организации, маркировка изготовителя даты выпуска детали) того, что комплектующее изделие (деталь, узел, агрегат) установлено (установлена, установлен) при замене, произведенной до даты дорожно-транспортного происшествия, его возраст принимается равным разности между датой дорожно-транспортного происшествия и датой предыдущей замены, а пробег транспортного средства с этим комплектующим изделием принимается равным разности между пробегом транспортного средства на дату дорожно-транспортного происшествия и пробегом на дату замены комплектующего изделия.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>Срок эксплуатации комплектующего изделия (детали, узла, агрегата), подлежащего замене, рассчитывается в годах (с использованием целых значений и применением округления в соответствии с правилами математики) от даты начала эксплуатации транспортного средства либо от даты замены такого комплектующего изделия. Если точная дата начала эксплуатации не известна, она принимается равной 1 января года выпуска.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Пробег транспортного средства определяется по одометру. Если одометр неисправен, заменялся или его состояние не соответствует установленным требованиям либо значение пробега по одометру явно не соответствует состоянию транспортного средства и среднегодовому пробегу, пробег с начала эксплуатации определяется расчетным путем в соответствии со справочными данными, приведенными в приложении 8 к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единой методике определения размера расходов на восстановительный ремонт в отношении поврежденного транспортного средства, утвержденной Положением Банка России от «19» сентября 2014 года № 432-П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При наличии на поврежденной в дорожно-транспортном происшествии и подлежащей замене детали сквозной коррозии износ такой детали устанавливается по максимально допустимому значению независимо от расчетных показателей (к указанным случаям не относится определение наличия сквозной коррозии по ее следам).</w:t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/>
      </w:r>
    </w:p>
    <w:p>
      <w:pPr>
        <w:pStyle w:val="style0"/>
        <w:spacing w:after="0" w:before="0" w:line="100" w:lineRule="atLeast"/>
        <w:ind w:firstLine="709" w:left="0" w:right="0"/>
        <w:jc w:val="both"/>
      </w:pP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Значения коэффициентов ∆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lang w:val="en-US"/>
        </w:rPr>
        <w:t>T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и ∆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vertAlign w:val="subscript"/>
          <w:lang w:val="en-US"/>
        </w:rPr>
        <w:t>L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 xml:space="preserve"> учитывающих влияние на износ комплектующего (детали, узла, агрегата) величины пробега и срока эксплуатации транспортного средства для различных категорий (видов) и марок транспортных средств.</w:t>
      </w:r>
    </w:p>
    <w:tbl>
      <w:tblPr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744"/>
        <w:gridCol w:w="4285"/>
        <w:gridCol w:w="2491"/>
        <w:gridCol w:w="1493"/>
        <w:gridCol w:w="1497"/>
      </w:tblGrid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N п/п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Категория (вид) ТС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Марка ТС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/>
              <w:drawing>
                <wp:inline distB="0" distL="0" distR="0" distT="0">
                  <wp:extent cx="219075" cy="21907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/>
              <w:drawing>
                <wp:inline distB="0" distL="0" distR="0" distT="0">
                  <wp:extent cx="209550" cy="21907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</w:tr>
      <w:tr>
        <w:trPr>
          <w:cantSplit w:val="false"/>
        </w:trPr>
        <w:tc>
          <w:tcPr>
            <w:tcW w:type="dxa" w:w="744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type="dxa" w:w="4285"/>
            <w:vMerge w:val="restart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Легковые автомобили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ВАЗ (Lada), ГАЗ, ЗАЗ, ТагАЗ, УАЗ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0,057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0,0030</w:t>
            </w:r>
          </w:p>
        </w:tc>
      </w:tr>
      <w:tr>
        <w:trPr>
          <w:cantSplit w:val="false"/>
        </w:trPr>
        <w:tc>
          <w:tcPr>
            <w:tcW w:type="dxa" w:w="74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Brilliance, BYD, Chery, Derways, FAW, Geely, Great Wall, Hafei, Haima, Lifan, Luxgen, Xin Kai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0,057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0,0029</w:t>
            </w:r>
          </w:p>
        </w:tc>
      </w:tr>
      <w:tr>
        <w:trPr>
          <w:cantSplit w:val="false"/>
        </w:trPr>
        <w:tc>
          <w:tcPr>
            <w:tcW w:type="dxa" w:w="74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Aston Martin, Bentley, Bugatti, Ferrari, Jaguar, Maserati, Porsche Audi, BMW, Mercedes-Benz, Mini, Rover Alfa Romeo, Citroen, Fiat, Ford, Opel, Peugeot, Renault, Saab, SEAT, Skoda, Volkswagen, Volvo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0,042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0,0023</w:t>
            </w:r>
          </w:p>
        </w:tc>
      </w:tr>
      <w:tr>
        <w:trPr>
          <w:cantSplit w:val="false"/>
        </w:trPr>
        <w:tc>
          <w:tcPr>
            <w:tcW w:type="dxa" w:w="74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Acura, Buick,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Cadillac,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Chevrolet,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Chrysler,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Dodge,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Hummer,</w:t>
            </w:r>
          </w:p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Infiniti, Jeep, Lexus, Lincoln, Mercury, Pontiac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0,045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0,0024</w:t>
            </w:r>
          </w:p>
        </w:tc>
      </w:tr>
      <w:tr>
        <w:trPr>
          <w:cantSplit w:val="false"/>
        </w:trPr>
        <w:tc>
          <w:tcPr>
            <w:tcW w:type="dxa" w:w="74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Hyundai, Kia, Ssang Yong, Daewoo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0,052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0,0026</w:t>
            </w:r>
          </w:p>
        </w:tc>
      </w:tr>
      <w:tr>
        <w:trPr>
          <w:cantSplit w:val="false"/>
        </w:trPr>
        <w:tc>
          <w:tcPr>
            <w:tcW w:type="dxa" w:w="744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285"/>
            <w:vMerge w:val="continue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lang w:val="en-US"/>
              </w:rPr>
              <w:t>Daihatsu, Honda, Isuzu, Mazda, Mitsubishi, Nissan, Subaru, Suzuki, Toyota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0,049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0,0025</w:t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Грузовые автомобили - грузовые бортовые автомобили, грузовые автомобили-фургоны, автомобили-самосвалы, автомобили-тягачи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0,077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0,0023</w:t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Автобусы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0,113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0,0008</w:t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Троллейбусы и вагоны трамваев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0,098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0,0008</w:t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5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Прицепы и полуприцепы для грузовых автомобилей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0,09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6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Прицепы для легковых автомобилей и жилых автомобилей (типа автомобиль-дача)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0,06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7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Мотоциклы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0,07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8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Скутеры, мопеды, мотороллеры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0,09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9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Сельскохозяйственные тракторы, самоходная сельскохозяйственная, пожарная, коммунальная, погрузочная, строительная, дорожная, землеройная техника и иная техника на базе автомобилей и иных самоходных базах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0, 15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  <w:tr>
        <w:trPr>
          <w:cantSplit w:val="false"/>
        </w:trPr>
        <w:tc>
          <w:tcPr>
            <w:tcW w:type="dxa" w:w="7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10</w:t>
            </w:r>
          </w:p>
        </w:tc>
        <w:tc>
          <w:tcPr>
            <w:tcW w:type="dxa" w:w="42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Велосипеды</w:t>
            </w:r>
          </w:p>
        </w:tc>
        <w:tc>
          <w:tcPr>
            <w:tcW w:type="dxa" w:w="2491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Независимо от марки</w:t>
            </w:r>
          </w:p>
        </w:tc>
        <w:tc>
          <w:tcPr>
            <w:tcW w:type="dxa" w:w="14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0, 04</w:t>
            </w:r>
          </w:p>
        </w:tc>
        <w:tc>
          <w:tcPr>
            <w:tcW w:type="dxa" w:w="149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 w:val="false"/>
              <w:spacing w:after="0" w:before="0"/>
              <w:jc w:val="center"/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0</w:t>
            </w:r>
          </w:p>
        </w:tc>
      </w:tr>
    </w:tbl>
    <w:p>
      <w:pPr>
        <w:pStyle w:val="style0"/>
        <w:spacing w:after="0" w:before="0" w:line="100" w:lineRule="atLeast"/>
        <w:ind w:firstLine="709" w:left="0" w:right="0"/>
        <w:jc w:val="both"/>
      </w:pPr>
      <w:r>
        <w:rPr/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>
          <w:rFonts w:ascii="Times New Roman" w:cs="Times New Roman" w:eastAsia="Times New Roman" w:hAnsi="Times New Roman"/>
          <w:bCs/>
          <w:sz w:val="28"/>
          <w:szCs w:val="28"/>
        </w:rPr>
        <w:t xml:space="preserve">Таким образом, в соответствии с 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  <w:t>единой методикой определения размера расходов на восстановительный ремонт в отношении поврежденного транспортного средства, утвержденной Положением Банка России от 19.09.2014 года № 432-П должны назначаться следующие значения износа комплектующих изделий (деталей, узлов и агрегатов) транспортного средства</w:t>
      </w:r>
      <w:r>
        <w:rPr>
          <w:rFonts w:ascii="Times New Roman" w:cs="Times New Roman" w:eastAsia="Times New Roman" w:hAnsi="Times New Roman"/>
          <w:bCs/>
          <w:sz w:val="28"/>
          <w:szCs w:val="28"/>
        </w:rPr>
        <w:t>:</w:t>
      </w:r>
    </w:p>
    <w:p>
      <w:pPr>
        <w:pStyle w:val="style0"/>
        <w:spacing w:after="0" w:before="0" w:line="100" w:lineRule="atLeast"/>
        <w:ind w:firstLine="851" w:left="0" w:right="0"/>
        <w:jc w:val="both"/>
      </w:pPr>
      <w:r>
        <w:rPr/>
      </w:r>
    </w:p>
    <w:tbl>
      <w:tblPr>
        <w:jc w:val="left"/>
        <w:tblInd w:type="dxa" w:w="6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8644"/>
        <w:gridCol w:w="1418"/>
      </w:tblGrid>
      <w:tr>
        <w:trPr>
          <w:trHeight w:hRule="exact" w:val="840"/>
          <w:cantSplit w:val="false"/>
        </w:trPr>
        <w:tc>
          <w:tcPr>
            <w:tcW w:type="dxa" w:w="86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17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>Износ комплектующих изделий (деталей, узлов и агрегатов) транспортного средства И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vertAlign w:val="subscript"/>
              </w:rPr>
              <w:t>ки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 xml:space="preserve"> принимается равным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8" w:before="28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en-US"/>
              </w:rPr>
              <w:t>${Value3}</w:t>
            </w:r>
          </w:p>
        </w:tc>
      </w:tr>
      <w:tr>
        <w:trPr>
          <w:trHeight w:hRule="exact" w:val="555"/>
          <w:cantSplit w:val="false"/>
        </w:trPr>
        <w:tc>
          <w:tcPr>
            <w:tcW w:type="dxa" w:w="864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ind w:firstLine="317" w:left="0" w:right="0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>Износ шины транспортного средства И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vertAlign w:val="subscript"/>
              </w:rPr>
              <w:t>ш</w:t>
            </w: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</w:rPr>
              <w:t xml:space="preserve"> принимается равным</w:t>
            </w:r>
          </w:p>
        </w:tc>
        <w:tc>
          <w:tcPr>
            <w:tcW w:type="dxa" w:w="141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28" w:before="28"/>
              <w:ind w:firstLine="33" w:left="0" w:right="0"/>
              <w:jc w:val="center"/>
            </w:pPr>
            <w:r>
              <w:rPr>
                <w:rFonts w:ascii="Times New Roman" w:cs="Times New Roman" w:eastAsia="Times New Roman" w:hAnsi="Times New Roman"/>
                <w:b/>
                <w:bCs/>
                <w:sz w:val="28"/>
                <w:szCs w:val="28"/>
                <w:lang w:eastAsia="en-US"/>
              </w:rPr>
              <w:t>${Value4}</w:t>
            </w:r>
          </w:p>
        </w:tc>
      </w:tr>
    </w:tbl>
    <w:p>
      <w:pPr>
        <w:pStyle w:val="style0"/>
        <w:spacing w:after="0" w:before="0" w:line="100" w:lineRule="atLeast"/>
        <w:ind w:firstLine="709" w:left="0" w:right="0"/>
        <w:jc w:val="both"/>
      </w:pPr>
      <w:r>
        <w:rPr/>
      </w:r>
    </w:p>
    <w:sectPr>
      <w:headerReference r:id="rId6" w:type="default"/>
      <w:type w:val="nextPage"/>
      <w:pgSz w:h="16838" w:w="11906"/>
      <w:pgMar w:bottom="851" w:footer="0" w:gutter="0" w:header="142" w:left="1134" w:right="425" w:top="225"/>
      <w:pgNumType w:fmt="decimal"/>
      <w:formProt w:val="false"/>
      <w:textDirection w:val="lrTb"/>
      <w:docGrid w:charSpace="1638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  <w:jc w:val="center"/>
    </w:pPr>
    <w:r>
      <w:rPr>
        <w:rFonts w:ascii="Times New Roman" w:cs="Times New Roman" w:hAnsi="Times New Roman"/>
        <w:sz w:val="30"/>
        <w:szCs w:val="30"/>
      </w:rPr>
      <w:t>Автоэкспертиза и оценка «ИНАВЭКС»</w:t>
    </w:r>
  </w:p>
  <w:p>
    <w:pPr>
      <w:pStyle w:val="style30"/>
      <w:jc w:val="center"/>
    </w:pPr>
    <w:r>
      <w:rPr>
        <w:lang w:val="en-US"/>
      </w:rPr>
      <w:t>www</w:t>
    </w:r>
    <w:r>
      <w:rPr/>
      <w:t>.</w:t>
    </w:r>
    <w:r>
      <w:rPr>
        <w:lang w:val="en-US"/>
      </w:rPr>
      <w:t>inavex</w:t>
    </w:r>
    <w:r>
      <w:rPr/>
      <w:t>.</w:t>
    </w:r>
    <w:r>
      <w:rPr>
        <w:lang w:val="en-US"/>
      </w:rPr>
      <w:t>ru</w:t>
    </w:r>
    <w:r>
      <w:rPr/>
      <w:t xml:space="preserve">    /    </w:t>
    </w:r>
    <w:hyperlink r:id="rId1">
      <w:r>
        <w:rPr>
          <w:rStyle w:val="style19"/>
          <w:rStyle w:val="style19"/>
          <w:color w:val="00000A"/>
          <w:u w:val="none"/>
          <w:lang w:val="en-US"/>
        </w:rPr>
        <w:t>www</w:t>
      </w:r>
      <w:r>
        <w:rPr>
          <w:rStyle w:val="style19"/>
          <w:rStyle w:val="style19"/>
          <w:color w:val="00000A"/>
          <w:u w:val="none"/>
        </w:rPr>
        <w:t>.</w:t>
      </w:r>
      <w:r>
        <w:rPr>
          <w:rStyle w:val="style19"/>
          <w:rStyle w:val="style19"/>
          <w:color w:val="00000A"/>
          <w:u w:val="none"/>
          <w:lang w:val="en-US"/>
        </w:rPr>
        <w:t>vk</w:t>
      </w:r>
      <w:r>
        <w:rPr>
          <w:rStyle w:val="style19"/>
          <w:rStyle w:val="style19"/>
          <w:color w:val="00000A"/>
          <w:u w:val="none"/>
        </w:rPr>
        <w:t>.</w:t>
      </w:r>
      <w:r>
        <w:rPr>
          <w:rStyle w:val="style19"/>
          <w:rStyle w:val="style19"/>
          <w:color w:val="00000A"/>
          <w:u w:val="none"/>
          <w:lang w:val="en-US"/>
        </w:rPr>
        <w:t>com</w:t>
      </w:r>
      <w:r>
        <w:rPr>
          <w:rStyle w:val="style19"/>
          <w:rStyle w:val="style19"/>
          <w:color w:val="00000A"/>
          <w:u w:val="none"/>
        </w:rPr>
        <w:t>/</w:t>
      </w:r>
      <w:r>
        <w:rPr>
          <w:rStyle w:val="style19"/>
          <w:rStyle w:val="style19"/>
          <w:color w:val="00000A"/>
          <w:u w:val="none"/>
          <w:lang w:val="en-US"/>
        </w:rPr>
        <w:t>avtoadvokat</w:t>
      </w:r>
      <w:r>
        <w:rPr>
          <w:rStyle w:val="style19"/>
          <w:rStyle w:val="style19"/>
          <w:color w:val="00000A"/>
          <w:u w:val="none"/>
        </w:rPr>
        <w:t>_</w:t>
      </w:r>
      <w:r>
        <w:rPr>
          <w:rStyle w:val="style19"/>
          <w:rStyle w:val="style19"/>
          <w:color w:val="00000A"/>
          <w:u w:val="none"/>
          <w:lang w:val="en-US"/>
        </w:rPr>
        <w:t>msk</w:t>
      </w:r>
      <w:r>
        <w:rPr>
          <w:rStyle w:val="style19"/>
          <w:rStyle w:val="style19"/>
          <w:color w:val="00000A"/>
          <w:u w:val="none"/>
        </w:rPr>
        <w:t xml:space="preserve">    /</w:t>
      </w:r>
    </w:hyperlink>
    <w:r>
      <w:rPr>
        <w:color w:val="00000A"/>
      </w:rPr>
      <w:t xml:space="preserve">  </w:t>
    </w:r>
    <w:r>
      <w:rPr/>
      <w:t xml:space="preserve">  </w:t>
    </w:r>
    <w:r>
      <w:rPr>
        <w:lang w:val="en-US"/>
      </w:rPr>
      <w:t>info</w:t>
    </w:r>
    <w:r>
      <w:rPr/>
      <w:t>@</w:t>
    </w:r>
    <w:r>
      <w:rPr>
        <w:lang w:val="en-US"/>
      </w:rPr>
      <w:t>inavex</w:t>
    </w:r>
    <w:r>
      <w:rPr/>
      <w:t>.</w:t>
    </w:r>
    <w:r>
      <w:rPr>
        <w:lang w:val="en-US"/>
      </w:rPr>
      <w:t>ru</w:t>
    </w:r>
    <w:r>
      <w:rPr/>
      <w:t xml:space="preserve">    /    м.т. 89168368793</w:t>
    </w:r>
  </w:p>
  <w:p>
    <w:pPr>
      <w:pStyle w:val="style30"/>
      <w:jc w:val="center"/>
    </w:pPr>
    <w:r>
      <w:rPr/>
    </w:r>
  </w:p>
</w:hdr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character">
    <w:name w:val="Текст выноски Знак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Верхний колонтитул Знак"/>
    <w:basedOn w:val="style15"/>
    <w:next w:val="style17"/>
    <w:rPr/>
  </w:style>
  <w:style w:styleId="style18" w:type="character">
    <w:name w:val="Нижний колонтитул Знак"/>
    <w:basedOn w:val="style15"/>
    <w:next w:val="style18"/>
    <w:rPr/>
  </w:style>
  <w:style w:styleId="style19" w:type="character">
    <w:name w:val="Интернет-ссылка"/>
    <w:basedOn w:val="style15"/>
    <w:next w:val="style19"/>
    <w:rPr>
      <w:color w:val="0000FF"/>
      <w:u w:val="single"/>
      <w:lang w:bidi="ru-RU" w:eastAsia="ru-RU" w:val="ru-RU"/>
    </w:rPr>
  </w:style>
  <w:style w:styleId="style20" w:type="paragraph">
    <w:name w:val="Заголовок"/>
    <w:basedOn w:val="style0"/>
    <w:next w:val="style2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1" w:type="paragraph">
    <w:name w:val="Основной текст"/>
    <w:basedOn w:val="style0"/>
    <w:next w:val="style21"/>
    <w:pPr>
      <w:spacing w:after="120" w:before="0"/>
    </w:pPr>
    <w:rPr/>
  </w:style>
  <w:style w:styleId="style22" w:type="paragraph">
    <w:name w:val="Список"/>
    <w:basedOn w:val="style21"/>
    <w:next w:val="style22"/>
    <w:pPr/>
    <w:rPr>
      <w:rFonts w:cs="Lohit Hindi"/>
    </w:rPr>
  </w:style>
  <w:style w:styleId="style23" w:type="paragraph">
    <w:name w:val="Название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Указатель"/>
    <w:basedOn w:val="style0"/>
    <w:next w:val="style24"/>
    <w:pPr>
      <w:suppressLineNumbers/>
    </w:pPr>
    <w:rPr>
      <w:rFonts w:cs="Lohit Hindi"/>
    </w:rPr>
  </w:style>
  <w:style w:styleId="style25" w:type="paragraph">
    <w:name w:val="Заглавие"/>
    <w:basedOn w:val="style0"/>
    <w:next w:val="style26"/>
    <w:pPr>
      <w:suppressLineNumbers/>
      <w:spacing w:after="120" w:before="120"/>
      <w:jc w:val="center"/>
    </w:pPr>
    <w:rPr>
      <w:rFonts w:cs="Lohit Hindi"/>
      <w:b/>
      <w:bCs/>
      <w:i/>
      <w:iCs/>
      <w:sz w:val="24"/>
      <w:szCs w:val="24"/>
    </w:rPr>
  </w:style>
  <w:style w:styleId="style26" w:type="paragraph">
    <w:name w:val="Подзаголовок"/>
    <w:basedOn w:val="style20"/>
    <w:next w:val="style21"/>
    <w:pPr>
      <w:jc w:val="center"/>
    </w:pPr>
    <w:rPr>
      <w:i/>
      <w:iCs/>
      <w:sz w:val="28"/>
      <w:szCs w:val="28"/>
    </w:rPr>
  </w:style>
  <w:style w:styleId="style27" w:type="paragraph">
    <w:name w:val="index heading"/>
    <w:basedOn w:val="style0"/>
    <w:next w:val="style27"/>
    <w:pPr>
      <w:suppressLineNumbers/>
    </w:pPr>
    <w:rPr>
      <w:rFonts w:cs="Lohit Hindi"/>
    </w:rPr>
  </w:style>
  <w:style w:styleId="style28" w:type="paragraph">
    <w:name w:val="Balloon Text"/>
    <w:basedOn w:val="style0"/>
    <w:next w:val="style28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9" w:type="paragraph">
    <w:name w:val="Normal (Web)"/>
    <w:basedOn w:val="style0"/>
    <w:next w:val="style29"/>
    <w:pPr>
      <w:spacing w:after="119" w:before="28" w:line="100" w:lineRule="atLeast"/>
    </w:pPr>
    <w:rPr>
      <w:rFonts w:ascii="Times New Roman" w:cs="Times New Roman" w:eastAsia="Times New Roman" w:hAnsi="Times New Roman"/>
      <w:sz w:val="24"/>
      <w:szCs w:val="24"/>
      <w:lang w:eastAsia="ru-RU"/>
    </w:rPr>
  </w:style>
  <w:style w:styleId="style30" w:type="paragraph">
    <w:name w:val="Верхний колонтитул"/>
    <w:basedOn w:val="style0"/>
    <w:next w:val="style30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  <w:style w:styleId="style31" w:type="paragraph">
    <w:name w:val="Нижний колонтитул"/>
    <w:basedOn w:val="style0"/>
    <w:next w:val="style31"/>
    <w:pPr>
      <w:suppressLineNumbers/>
      <w:tabs>
        <w:tab w:leader="none" w:pos="4677" w:val="center"/>
        <w:tab w:leader="none" w:pos="9355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wmf"/><Relationship Id="rId5" Type="http://schemas.openxmlformats.org/officeDocument/2006/relationships/image" Target="media/image8.wmf"/><Relationship Id="rId6" Type="http://schemas.openxmlformats.org/officeDocument/2006/relationships/header" Target="header1.xml"/><Relationship Id="rId7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vk.com/club25703701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2014-08-16T14:44:00.00Z</dcterms:created>
  <dc:creator>Inavex</dc:creator>
  <cp:lastModifiedBy>Inavex</cp:lastModifiedBy>
  <dcterms:modified xsi:type="dcterms:W3CDTF">2014-10-15T06:31:00.00Z</dcterms:modified>
  <cp:revision>9</cp:revision>
  <dc:title>Автоэкспертиза и оценка «ИНАВЭКС» - видим все!!!</dc:title>
</cp:coreProperties>
</file>