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271" w:rsidRDefault="005D1E21">
      <w:pPr>
        <w:pStyle w:val="a3"/>
        <w:ind w:firstLine="900"/>
        <w:jc w:val="both"/>
      </w:pPr>
      <w:r>
        <w:pict>
          <v:rect id="shape_0" o:spid="_x0000_s1026" style="position:absolute;left:0;text-align:left;margin-left:0;margin-top:5.7pt;width:518.8pt;height:0;z-index:251657728" strokeweight="1.06mm">
            <v:fill color2="black"/>
            <v:stroke joinstyle="round"/>
          </v:rect>
        </w:pict>
      </w:r>
    </w:p>
    <w:p w:rsidR="003B4271" w:rsidRDefault="005D1E21">
      <w:pPr>
        <w:pStyle w:val="a3"/>
        <w:ind w:firstLine="90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Расчет износа комплектующих изделий (деталей, узлов и агрегатов), подлежащих замене при восстановительном ремонте транспортного средства в соответствии с Положением Банка России от 19.09.2014 года № 432-П «О единой методике определения размера расходов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восстановительный ремонт в отношении поврежденного транспортного средства».</w:t>
      </w:r>
    </w:p>
    <w:p w:rsidR="003B4271" w:rsidRDefault="005D1E21">
      <w:pPr>
        <w:pStyle w:val="a3"/>
        <w:spacing w:after="0" w:line="100" w:lineRule="atLeast"/>
        <w:ind w:firstLine="900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Износ комплектующих изделий (деталей, узлов и агрегатов)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</w:rPr>
        <w:t>ки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 транспортного средства рассчитывается по формуле;</w:t>
      </w:r>
    </w:p>
    <w:tbl>
      <w:tblPr>
        <w:tblW w:w="0" w:type="auto"/>
        <w:tblInd w:w="-32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02"/>
        <w:gridCol w:w="4328"/>
        <w:gridCol w:w="1557"/>
      </w:tblGrid>
      <w:tr w:rsidR="003B4271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50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spacing w:after="0" w:line="100" w:lineRule="atLeast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962275" cy="590550"/>
                  <wp:effectExtent l="0" t="0" r="0" b="0"/>
                  <wp:docPr id="1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5D1E21">
            <w:pPr>
              <w:pStyle w:val="a3"/>
              <w:spacing w:after="0" w:line="100" w:lineRule="atLeast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Износ комплектующего изделия (детали, узла, агрегата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(%)</w:t>
            </w:r>
            <w:proofErr w:type="gramEnd"/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5D1E21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${Value3}</w:t>
            </w:r>
          </w:p>
        </w:tc>
      </w:tr>
      <w:tr w:rsidR="003B4271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0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3B4271">
            <w:pPr>
              <w:pStyle w:val="a3"/>
              <w:spacing w:after="0" w:line="100" w:lineRule="atLeast"/>
            </w:pPr>
          </w:p>
        </w:tc>
        <w:tc>
          <w:tcPr>
            <w:tcW w:w="4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5D1E21">
            <w:pPr>
              <w:pStyle w:val="a3"/>
              <w:spacing w:after="0" w:line="100" w:lineRule="atLeast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Основание натуральных логарифмов, (е≈2,72)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5D1E21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2,72</w:t>
            </w:r>
          </w:p>
        </w:tc>
      </w:tr>
      <w:tr w:rsidR="003B4271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0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3B4271">
            <w:pPr>
              <w:pStyle w:val="a3"/>
              <w:spacing w:after="0" w:line="100" w:lineRule="atLeast"/>
            </w:pPr>
          </w:p>
        </w:tc>
        <w:tc>
          <w:tcPr>
            <w:tcW w:w="4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5D1E21">
            <w:pPr>
              <w:pStyle w:val="a3"/>
              <w:spacing w:after="0" w:line="100" w:lineRule="atLeast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∆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Коэффициент, учитывающий влияние на износ комплектующего изделия (детали, узла, агрегата) его срока эксплуатации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5D1E21">
            <w:pPr>
              <w:pStyle w:val="af"/>
              <w:spacing w:after="0"/>
              <w:jc w:val="center"/>
            </w:pPr>
            <w:r>
              <w:rPr>
                <w:b/>
                <w:bCs/>
                <w:sz w:val="28"/>
                <w:szCs w:val="28"/>
                <w:lang w:eastAsia="en-US"/>
              </w:rPr>
              <w:t>${Value7}</w:t>
            </w:r>
          </w:p>
        </w:tc>
      </w:tr>
      <w:tr w:rsidR="003B4271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0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3B4271">
            <w:pPr>
              <w:pStyle w:val="a3"/>
              <w:spacing w:after="0" w:line="100" w:lineRule="atLeast"/>
            </w:pPr>
          </w:p>
        </w:tc>
        <w:tc>
          <w:tcPr>
            <w:tcW w:w="4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5D1E21">
            <w:pPr>
              <w:pStyle w:val="a3"/>
              <w:spacing w:after="0" w:line="100" w:lineRule="atLeast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Срок эксплуатации (возраст) комплектующего изделия (детали, узла, агрегата), (лет)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5D1E21">
            <w:pPr>
              <w:pStyle w:val="af"/>
              <w:spacing w:after="0"/>
              <w:jc w:val="center"/>
            </w:pPr>
            <w:r>
              <w:rPr>
                <w:b/>
                <w:bCs/>
                <w:sz w:val="28"/>
                <w:szCs w:val="28"/>
                <w:lang w:eastAsia="en-US"/>
              </w:rPr>
              <w:t>${Value8}</w:t>
            </w:r>
          </w:p>
        </w:tc>
      </w:tr>
      <w:tr w:rsidR="003B4271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0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3B4271">
            <w:pPr>
              <w:pStyle w:val="a3"/>
              <w:spacing w:after="0" w:line="100" w:lineRule="atLeast"/>
            </w:pPr>
          </w:p>
        </w:tc>
        <w:tc>
          <w:tcPr>
            <w:tcW w:w="4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5D1E21">
            <w:pPr>
              <w:pStyle w:val="a3"/>
              <w:spacing w:after="0" w:line="100" w:lineRule="atLeast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∆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Коэффициент, учитывающий влияние на износ комплектующего (детали, узла, агрегата) величины пробега транспортного средства с этим комплектующим изделием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5D1E21">
            <w:pPr>
              <w:pStyle w:val="af"/>
              <w:spacing w:after="0"/>
              <w:jc w:val="center"/>
            </w:pPr>
            <w:r>
              <w:rPr>
                <w:b/>
                <w:bCs/>
                <w:sz w:val="28"/>
                <w:szCs w:val="28"/>
                <w:lang w:eastAsia="en-US"/>
              </w:rPr>
              <w:t>${Value9}</w:t>
            </w:r>
          </w:p>
        </w:tc>
      </w:tr>
      <w:tr w:rsidR="003B4271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0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3B4271">
            <w:pPr>
              <w:pStyle w:val="a3"/>
              <w:spacing w:after="0" w:line="100" w:lineRule="atLeast"/>
            </w:pPr>
          </w:p>
        </w:tc>
        <w:tc>
          <w:tcPr>
            <w:tcW w:w="4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5D1E21">
            <w:pPr>
              <w:pStyle w:val="a3"/>
              <w:spacing w:after="0" w:line="100" w:lineRule="atLeast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Пробег транспортного средства на дату дорожно-транспортного происшествия, (км)</w:t>
            </w:r>
          </w:p>
        </w:tc>
        <w:tc>
          <w:tcPr>
            <w:tcW w:w="11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5D1E21">
            <w:pPr>
              <w:pStyle w:val="af"/>
              <w:spacing w:after="0"/>
              <w:jc w:val="center"/>
            </w:pPr>
            <w:r>
              <w:rPr>
                <w:b/>
                <w:bCs/>
                <w:sz w:val="28"/>
                <w:szCs w:val="28"/>
                <w:lang w:eastAsia="en-US"/>
              </w:rPr>
              <w:t>${Value10}</w:t>
            </w:r>
          </w:p>
        </w:tc>
      </w:tr>
    </w:tbl>
    <w:p w:rsidR="003B4271" w:rsidRDefault="003B4271">
      <w:pPr>
        <w:pStyle w:val="a3"/>
        <w:spacing w:after="0" w:line="100" w:lineRule="atLeast"/>
        <w:ind w:firstLine="900"/>
        <w:jc w:val="both"/>
      </w:pPr>
    </w:p>
    <w:p w:rsidR="003B4271" w:rsidRDefault="005D1E21">
      <w:pPr>
        <w:pStyle w:val="a3"/>
        <w:spacing w:after="0" w:line="100" w:lineRule="atLeast"/>
        <w:ind w:firstLine="900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Износ шины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</w:rPr>
        <w:t>ш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 транспортного средства рассчитывается по формуле;</w:t>
      </w:r>
    </w:p>
    <w:tbl>
      <w:tblPr>
        <w:tblW w:w="0" w:type="auto"/>
        <w:tblInd w:w="-32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36"/>
        <w:gridCol w:w="5855"/>
        <w:gridCol w:w="1572"/>
      </w:tblGrid>
      <w:tr w:rsidR="003B4271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13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5D1E21">
            <w:pPr>
              <w:pStyle w:val="a3"/>
              <w:spacing w:after="0" w:line="100" w:lineRule="atLeast"/>
              <w:ind w:left="72" w:hanging="38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95450" cy="704215"/>
                  <wp:effectExtent l="0" t="0" r="0" b="0"/>
                  <wp:docPr id="2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704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5D1E21">
            <w:pPr>
              <w:pStyle w:val="a3"/>
              <w:spacing w:after="0" w:line="100" w:lineRule="atLeast"/>
              <w:ind w:firstLine="36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ш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Износ шины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(%)</w:t>
            </w:r>
            <w:proofErr w:type="gramEnd"/>
          </w:p>
        </w:tc>
        <w:tc>
          <w:tcPr>
            <w:tcW w:w="1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5D1E21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${Value4}</w:t>
            </w:r>
          </w:p>
        </w:tc>
      </w:tr>
      <w:tr w:rsidR="003B4271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13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3B4271">
            <w:pPr>
              <w:pStyle w:val="a3"/>
              <w:spacing w:after="0" w:line="100" w:lineRule="atLeast"/>
            </w:pPr>
          </w:p>
        </w:tc>
        <w:tc>
          <w:tcPr>
            <w:tcW w:w="5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5D1E21">
            <w:pPr>
              <w:pStyle w:val="a3"/>
              <w:spacing w:after="0" w:line="100" w:lineRule="atLeast"/>
              <w:ind w:firstLine="36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Высота рисунка протектора новой шины, 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мм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5D1E21">
            <w:pPr>
              <w:pStyle w:val="a3"/>
              <w:spacing w:after="0" w:line="10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${Value11}</w:t>
            </w:r>
          </w:p>
        </w:tc>
      </w:tr>
      <w:tr w:rsidR="003B4271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13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3B4271">
            <w:pPr>
              <w:pStyle w:val="a3"/>
              <w:spacing w:after="0" w:line="100" w:lineRule="atLeast"/>
            </w:pPr>
          </w:p>
        </w:tc>
        <w:tc>
          <w:tcPr>
            <w:tcW w:w="5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5D1E21">
            <w:pPr>
              <w:pStyle w:val="a3"/>
              <w:spacing w:after="0" w:line="100" w:lineRule="atLeast"/>
              <w:ind w:firstLine="36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ф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Фактическая высота протектора шины, 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мм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5D1E21">
            <w:pPr>
              <w:pStyle w:val="af"/>
              <w:spacing w:after="0"/>
              <w:jc w:val="center"/>
            </w:pPr>
            <w:r>
              <w:rPr>
                <w:b/>
                <w:sz w:val="28"/>
                <w:szCs w:val="28"/>
                <w:lang w:eastAsia="en-US"/>
              </w:rPr>
              <w:t>${Value12}</w:t>
            </w:r>
          </w:p>
        </w:tc>
      </w:tr>
      <w:tr w:rsidR="003B4271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13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3B4271">
            <w:pPr>
              <w:pStyle w:val="a3"/>
              <w:spacing w:after="0" w:line="100" w:lineRule="atLeast"/>
            </w:pPr>
          </w:p>
        </w:tc>
        <w:tc>
          <w:tcPr>
            <w:tcW w:w="5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5D1E21">
            <w:pPr>
              <w:pStyle w:val="a3"/>
              <w:spacing w:after="0" w:line="100" w:lineRule="atLeast"/>
              <w:ind w:firstLine="36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доп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Минимально допустимая высота рисунка протектора шины в соответствии с требованиями законодательства Российской Федерации, 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мм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5D1E21">
            <w:pPr>
              <w:pStyle w:val="af"/>
              <w:spacing w:after="0"/>
              <w:jc w:val="center"/>
            </w:pPr>
            <w:r>
              <w:rPr>
                <w:b/>
                <w:sz w:val="28"/>
                <w:szCs w:val="28"/>
                <w:lang w:eastAsia="en-US"/>
              </w:rPr>
              <w:t>${Value13}</w:t>
            </w:r>
          </w:p>
        </w:tc>
      </w:tr>
      <w:tr w:rsidR="003B427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056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5D1E21">
            <w:pPr>
              <w:pStyle w:val="a3"/>
              <w:spacing w:before="28" w:after="28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Примечание: Износ шины дополнительно увеличивается для шин с возрастом от 3 до 5 лет – на 15 процентов, свыше 5 лет – на 25 процентов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..</w:t>
            </w:r>
            <w:proofErr w:type="gramEnd"/>
          </w:p>
        </w:tc>
      </w:tr>
    </w:tbl>
    <w:p w:rsidR="003B4271" w:rsidRDefault="003B4271">
      <w:pPr>
        <w:pStyle w:val="a3"/>
        <w:spacing w:after="0" w:line="100" w:lineRule="atLeast"/>
        <w:ind w:firstLine="900"/>
        <w:jc w:val="both"/>
      </w:pPr>
    </w:p>
    <w:p w:rsidR="003B4271" w:rsidRDefault="005D1E21">
      <w:pPr>
        <w:pStyle w:val="a3"/>
        <w:spacing w:after="0" w:line="100" w:lineRule="atLeast"/>
        <w:ind w:firstLine="851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Примечание:</w:t>
      </w:r>
    </w:p>
    <w:p w:rsidR="003B4271" w:rsidRDefault="005D1E21">
      <w:pPr>
        <w:pStyle w:val="a3"/>
        <w:spacing w:after="0" w:line="100" w:lineRule="atLeast"/>
        <w:ind w:firstLine="851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комплектующих изделий (деталей, узлов, агрегатов), при неисправности которых в </w:t>
      </w:r>
      <w:r>
        <w:rPr>
          <w:rFonts w:ascii="Times New Roman" w:eastAsia="Times New Roman" w:hAnsi="Times New Roman" w:cs="Times New Roman"/>
          <w:sz w:val="28"/>
          <w:szCs w:val="28"/>
        </w:rPr>
        <w:t>соответствии с законодательством Российской Федерации о безопасности дорожного движения запрещается движение транспортного средства, а также для раскрывающихся элементов подушек безопасности и удерживающих устройств (ремней безопасности) транспортного сред</w:t>
      </w:r>
      <w:r>
        <w:rPr>
          <w:rFonts w:ascii="Times New Roman" w:eastAsia="Times New Roman" w:hAnsi="Times New Roman" w:cs="Times New Roman"/>
          <w:sz w:val="28"/>
          <w:szCs w:val="28"/>
        </w:rPr>
        <w:t>ства принимается нулевое значение износа.</w:t>
      </w:r>
    </w:p>
    <w:p w:rsidR="003B4271" w:rsidRDefault="005D1E21">
      <w:pPr>
        <w:pStyle w:val="a3"/>
        <w:spacing w:after="0" w:line="100" w:lineRule="atLeast"/>
        <w:ind w:firstLine="851"/>
        <w:jc w:val="both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Номенклатура комплектующих изделий (деталей, узлов, агрегатов), для которых устанавливается нулевое значение износа при расчете размера расходов на запасные части при восстановительном ремонте транспортного средств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а, приведена в приложении 7 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единой методике определения размера расходов на восстановительный ремонт в отношении поврежденного транспортного средства, утвержденной Положением Банка России от «19» сентября 2014 года № 432-П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3B4271" w:rsidRDefault="005D1E21">
      <w:pPr>
        <w:pStyle w:val="a3"/>
        <w:spacing w:after="0" w:line="100" w:lineRule="atLeast"/>
        <w:ind w:firstLine="851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Если комплектующее изделие (де</w:t>
      </w:r>
      <w:r>
        <w:rPr>
          <w:rFonts w:ascii="Times New Roman" w:eastAsia="Times New Roman" w:hAnsi="Times New Roman" w:cs="Times New Roman"/>
          <w:sz w:val="28"/>
          <w:szCs w:val="28"/>
        </w:rPr>
        <w:t>таль, узел, агрегат) не заменялось с начала эксплуатации транспортного средства, его возраст и пробег транспортного средства с этим комплектующим изделием (деталью, узлом, агрегатом) принимается равными возрасту и пробегу транспортного средства.</w:t>
      </w:r>
    </w:p>
    <w:p w:rsidR="003B4271" w:rsidRDefault="005D1E21">
      <w:pPr>
        <w:pStyle w:val="a3"/>
        <w:spacing w:after="0" w:line="100" w:lineRule="atLeast"/>
        <w:ind w:firstLine="851"/>
        <w:jc w:val="both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Если по ре</w:t>
      </w:r>
      <w:r>
        <w:rPr>
          <w:rFonts w:ascii="Times New Roman" w:eastAsia="Times New Roman" w:hAnsi="Times New Roman" w:cs="Times New Roman"/>
          <w:sz w:val="28"/>
          <w:szCs w:val="28"/>
        </w:rPr>
        <w:t>зультатам осмотра установлено или имеется документальное подтверждение (например, запись в паспорте транспортного средства, оплаченный заказ-наряд авторемонтной организации, маркировка изготовителя даты выпуска детали) того, что комплектующее изделие (дета</w:t>
      </w:r>
      <w:r>
        <w:rPr>
          <w:rFonts w:ascii="Times New Roman" w:eastAsia="Times New Roman" w:hAnsi="Times New Roman" w:cs="Times New Roman"/>
          <w:sz w:val="28"/>
          <w:szCs w:val="28"/>
        </w:rPr>
        <w:t>ль, узел, агрегат) установлено (установлена, установлен) при замене, произведенной до даты дорожно-транспортного происшествия, его возраст принимается равным разности между датой дорожно-транспортного происшествия и датой предыдущей замены, а пробег трансп</w:t>
      </w:r>
      <w:r>
        <w:rPr>
          <w:rFonts w:ascii="Times New Roman" w:eastAsia="Times New Roman" w:hAnsi="Times New Roman" w:cs="Times New Roman"/>
          <w:sz w:val="28"/>
          <w:szCs w:val="28"/>
        </w:rPr>
        <w:t>ортного средства с этим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комплектующим изделием принимается равным разности между пробегом транспортного средства на дату дорожно-транспортного происшествия и пробегом на дату замены комплектующего изделия.</w:t>
      </w:r>
    </w:p>
    <w:p w:rsidR="003B4271" w:rsidRDefault="005D1E21">
      <w:pPr>
        <w:pStyle w:val="a3"/>
        <w:spacing w:after="0" w:line="100" w:lineRule="atLeast"/>
        <w:ind w:firstLine="851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Срок эксплуатации комплектующего изделия (детали, </w:t>
      </w:r>
      <w:r>
        <w:rPr>
          <w:rFonts w:ascii="Times New Roman" w:eastAsia="Times New Roman" w:hAnsi="Times New Roman" w:cs="Times New Roman"/>
          <w:sz w:val="28"/>
          <w:szCs w:val="28"/>
        </w:rPr>
        <w:t>узла, агрегата), подлежащего замене, рассчитывается в годах (с использованием целых значений и применением округления в соответствии с правилами математики) от даты начала эксплуатации транспортного средства либо от даты замены такого комплектующего издели</w:t>
      </w:r>
      <w:r>
        <w:rPr>
          <w:rFonts w:ascii="Times New Roman" w:eastAsia="Times New Roman" w:hAnsi="Times New Roman" w:cs="Times New Roman"/>
          <w:sz w:val="28"/>
          <w:szCs w:val="28"/>
        </w:rPr>
        <w:t>я. Если точная дата начала эксплуатации не известна, она принимается равной 1 января года выпуска.</w:t>
      </w:r>
    </w:p>
    <w:p w:rsidR="003B4271" w:rsidRDefault="005D1E21">
      <w:pPr>
        <w:pStyle w:val="a3"/>
        <w:spacing w:after="0" w:line="100" w:lineRule="atLeast"/>
        <w:ind w:firstLine="851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Пробег транспортного средства определяется по одометру.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Если одометр неисправен, заменялся или его состояние не соответствует установленным требованиям либо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значение пробега по одометру явно не соответствует состоянию транспортного средства и среднегодовому пробегу, пробег с начала эксплуатации определяется расчетным путем в соответствии со справочными данными, приведенными в приложении 8 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единой методике опр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еделения размера расходов на восстановительный ремонт в отношении поврежденного транспортного средства, утвержденной Положением Банка России от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«19» сентября 2014 года № 432-П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4271" w:rsidRDefault="005D1E21">
      <w:pPr>
        <w:pStyle w:val="a3"/>
        <w:spacing w:after="0" w:line="100" w:lineRule="atLeast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наличии на поврежденной в дорожно-транспортном происшествии и подлежащей 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мене детали сквозной коррозии износ такой детали устанавливается по максимально допустимому значению независимо от расчетных показателей (к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указанным случаям не относится определение наличия сквозной коррозии по ее следам).</w:t>
      </w:r>
    </w:p>
    <w:p w:rsidR="003B4271" w:rsidRPr="004905F9" w:rsidRDefault="004905F9">
      <w:pPr>
        <w:pStyle w:val="a3"/>
        <w:spacing w:after="0" w:line="100" w:lineRule="atLeast"/>
        <w:ind w:firstLine="709"/>
        <w:jc w:val="both"/>
        <w:rPr>
          <w:rFonts w:ascii="Times New Roman" w:hAnsi="Times New Roman" w:cs="Times New Roman"/>
        </w:rPr>
      </w:pPr>
      <w:r w:rsidRPr="004905F9">
        <w:rPr>
          <w:rFonts w:ascii="Times New Roman" w:hAnsi="Times New Roman" w:cs="Times New Roman"/>
          <w:color w:val="000000"/>
          <w:sz w:val="28"/>
          <w:szCs w:val="28"/>
        </w:rPr>
        <w:t>При этом</w:t>
      </w:r>
      <w:proofErr w:type="gramStart"/>
      <w:r w:rsidRPr="004905F9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4905F9">
        <w:rPr>
          <w:rFonts w:ascii="Times New Roman" w:hAnsi="Times New Roman" w:cs="Times New Roman"/>
          <w:color w:val="000000"/>
          <w:sz w:val="28"/>
          <w:szCs w:val="28"/>
        </w:rPr>
        <w:t xml:space="preserve"> согласно абз.2 п.19 статьи 12 ФЗ от 25.04.2002 N 40-ФЗ (действующая редакция от 04.11.2014)</w:t>
      </w:r>
      <w:r>
        <w:rPr>
          <w:rFonts w:ascii="Times New Roman" w:hAnsi="Times New Roman" w:cs="Times New Roman"/>
          <w:color w:val="000000"/>
          <w:sz w:val="28"/>
          <w:szCs w:val="28"/>
        </w:rPr>
        <w:t>, «</w:t>
      </w:r>
      <w:r w:rsidRPr="004905F9">
        <w:rPr>
          <w:rFonts w:ascii="Times New Roman" w:hAnsi="Times New Roman" w:cs="Times New Roman"/>
          <w:color w:val="000000"/>
          <w:sz w:val="28"/>
          <w:szCs w:val="28"/>
        </w:rPr>
        <w:t xml:space="preserve">… </w:t>
      </w:r>
      <w:r w:rsidRPr="004905F9">
        <w:rPr>
          <w:rFonts w:ascii="Times New Roman" w:hAnsi="Times New Roman" w:cs="Times New Roman"/>
          <w:b/>
          <w:color w:val="000000"/>
          <w:sz w:val="28"/>
          <w:szCs w:val="28"/>
        </w:rPr>
        <w:t>на комплектующие изделия</w:t>
      </w:r>
      <w:r w:rsidRPr="004905F9">
        <w:rPr>
          <w:rFonts w:ascii="Times New Roman" w:hAnsi="Times New Roman" w:cs="Times New Roman"/>
          <w:color w:val="000000"/>
          <w:sz w:val="28"/>
          <w:szCs w:val="28"/>
        </w:rPr>
        <w:t xml:space="preserve"> (детали, узлы и агрегаты) </w:t>
      </w:r>
      <w:r w:rsidRPr="004905F9">
        <w:rPr>
          <w:rFonts w:ascii="Times New Roman" w:hAnsi="Times New Roman" w:cs="Times New Roman"/>
          <w:b/>
          <w:color w:val="000000"/>
          <w:sz w:val="28"/>
          <w:szCs w:val="28"/>
        </w:rPr>
        <w:t>не может начисляться износ свыше 50%</w:t>
      </w:r>
      <w:r w:rsidRPr="004905F9">
        <w:rPr>
          <w:rFonts w:ascii="Times New Roman" w:hAnsi="Times New Roman" w:cs="Times New Roman"/>
          <w:color w:val="000000"/>
          <w:sz w:val="28"/>
          <w:szCs w:val="28"/>
        </w:rPr>
        <w:t xml:space="preserve"> их стоимости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bookmarkStart w:id="0" w:name="_GoBack"/>
      <w:bookmarkEnd w:id="0"/>
      <w:r w:rsidRPr="004905F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B4271" w:rsidRDefault="005D1E21">
      <w:pPr>
        <w:pStyle w:val="a3"/>
        <w:spacing w:after="0" w:line="100" w:lineRule="atLeast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Значения коэффициентов 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учитывающих влияние на износ комплектующего (детали, узла, агрегата) величины пробега и срока эксплуатации транспортного средства для различных категорий (видов) и марок транспортных средств.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"/>
        <w:gridCol w:w="4285"/>
        <w:gridCol w:w="2491"/>
        <w:gridCol w:w="1493"/>
        <w:gridCol w:w="1497"/>
      </w:tblGrid>
      <w:tr w:rsidR="003B42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/п</w:t>
            </w:r>
          </w:p>
        </w:tc>
        <w:tc>
          <w:tcPr>
            <w:tcW w:w="4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Категория (вид) ТС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Марка ТС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9075" cy="219075"/>
                  <wp:effectExtent l="0" t="0" r="0" b="0"/>
                  <wp:docPr id="3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9550" cy="219075"/>
                  <wp:effectExtent l="0" t="0" r="0" b="0"/>
                  <wp:docPr id="4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2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B42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4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8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5D1E21">
            <w:pPr>
              <w:pStyle w:val="a3"/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Легковые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автомобили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ВАЗ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ГАЗ, ЗАЗ,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ТагАЗ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УАЗ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0,057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0,0030</w:t>
            </w:r>
          </w:p>
        </w:tc>
      </w:tr>
      <w:tr w:rsidR="003B42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3B4271">
            <w:pPr>
              <w:pStyle w:val="a3"/>
              <w:spacing w:after="0" w:line="100" w:lineRule="atLeast"/>
            </w:pPr>
          </w:p>
        </w:tc>
        <w:tc>
          <w:tcPr>
            <w:tcW w:w="428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3B4271">
            <w:pPr>
              <w:pStyle w:val="a3"/>
              <w:spacing w:after="0" w:line="100" w:lineRule="atLeast"/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Pr="004905F9" w:rsidRDefault="005D1E21">
            <w:pPr>
              <w:pStyle w:val="a3"/>
              <w:widowControl w:val="0"/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Brilliance, BYD,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Derways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FAW,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Geely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Great Wall,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Hafei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Lifan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Luxgen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Kai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0,057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0,0029</w:t>
            </w:r>
          </w:p>
        </w:tc>
      </w:tr>
      <w:tr w:rsidR="003B42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3B4271">
            <w:pPr>
              <w:pStyle w:val="a3"/>
              <w:spacing w:after="0" w:line="100" w:lineRule="atLeast"/>
            </w:pPr>
          </w:p>
        </w:tc>
        <w:tc>
          <w:tcPr>
            <w:tcW w:w="428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3B4271">
            <w:pPr>
              <w:pStyle w:val="a3"/>
              <w:spacing w:after="0" w:line="100" w:lineRule="atLeast"/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Pr="004905F9" w:rsidRDefault="005D1E21">
            <w:pPr>
              <w:pStyle w:val="a3"/>
              <w:widowControl w:val="0"/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Aston Martin, Bentley, Bugatti, Ferrari, Jaguar, Maserati, Porsche Audi, BMW,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Mercedes-Benz, Mini, Rover Alfa Romeo, Citroen, Fiat, Ford, Opel, Peugeot, Renault, Saab, SEAT, Skoda, Volkswagen, Volvo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0,042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0,0023</w:t>
            </w:r>
          </w:p>
        </w:tc>
      </w:tr>
      <w:tr w:rsidR="003B42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3B4271">
            <w:pPr>
              <w:pStyle w:val="a3"/>
              <w:spacing w:after="0" w:line="100" w:lineRule="atLeast"/>
            </w:pPr>
          </w:p>
        </w:tc>
        <w:tc>
          <w:tcPr>
            <w:tcW w:w="428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3B4271">
            <w:pPr>
              <w:pStyle w:val="a3"/>
              <w:spacing w:after="0" w:line="100" w:lineRule="atLeast"/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Pr="004905F9" w:rsidRDefault="005D1E21">
            <w:pPr>
              <w:pStyle w:val="a3"/>
              <w:widowControl w:val="0"/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Acura, Buick,</w:t>
            </w:r>
          </w:p>
          <w:p w:rsidR="003B4271" w:rsidRPr="004905F9" w:rsidRDefault="005D1E21">
            <w:pPr>
              <w:pStyle w:val="a3"/>
              <w:widowControl w:val="0"/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Cadillac,</w:t>
            </w:r>
          </w:p>
          <w:p w:rsidR="003B4271" w:rsidRPr="004905F9" w:rsidRDefault="005D1E21">
            <w:pPr>
              <w:pStyle w:val="a3"/>
              <w:widowControl w:val="0"/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Chevrolet,</w:t>
            </w:r>
          </w:p>
          <w:p w:rsidR="003B4271" w:rsidRPr="004905F9" w:rsidRDefault="005D1E21">
            <w:pPr>
              <w:pStyle w:val="a3"/>
              <w:widowControl w:val="0"/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Chrysler,</w:t>
            </w:r>
          </w:p>
          <w:p w:rsidR="003B4271" w:rsidRPr="004905F9" w:rsidRDefault="005D1E21">
            <w:pPr>
              <w:pStyle w:val="a3"/>
              <w:widowControl w:val="0"/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Dodge,</w:t>
            </w:r>
          </w:p>
          <w:p w:rsidR="003B4271" w:rsidRPr="004905F9" w:rsidRDefault="005D1E21">
            <w:pPr>
              <w:pStyle w:val="a3"/>
              <w:widowControl w:val="0"/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Hummer,</w:t>
            </w:r>
          </w:p>
          <w:p w:rsidR="003B4271" w:rsidRPr="004905F9" w:rsidRDefault="005D1E21">
            <w:pPr>
              <w:pStyle w:val="a3"/>
              <w:widowControl w:val="0"/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Infiniti, Jeep, Lexus, Lincoln, Mercury, Pontiac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0,045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0,0024</w:t>
            </w:r>
          </w:p>
        </w:tc>
      </w:tr>
      <w:tr w:rsidR="003B42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3B4271">
            <w:pPr>
              <w:pStyle w:val="a3"/>
              <w:spacing w:after="0" w:line="100" w:lineRule="atLeast"/>
            </w:pPr>
          </w:p>
        </w:tc>
        <w:tc>
          <w:tcPr>
            <w:tcW w:w="428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3B4271">
            <w:pPr>
              <w:pStyle w:val="a3"/>
              <w:spacing w:after="0" w:line="100" w:lineRule="atLeast"/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Pr="004905F9" w:rsidRDefault="005D1E21">
            <w:pPr>
              <w:pStyle w:val="a3"/>
              <w:widowControl w:val="0"/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Hyundai, Kia,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Ssang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Yong, Daewoo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0,052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0,0026</w:t>
            </w:r>
          </w:p>
        </w:tc>
      </w:tr>
      <w:tr w:rsidR="003B42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4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3B4271">
            <w:pPr>
              <w:pStyle w:val="a3"/>
              <w:spacing w:after="0" w:line="100" w:lineRule="atLeast"/>
            </w:pPr>
          </w:p>
        </w:tc>
        <w:tc>
          <w:tcPr>
            <w:tcW w:w="428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3B4271">
            <w:pPr>
              <w:pStyle w:val="a3"/>
              <w:spacing w:after="0" w:line="100" w:lineRule="atLeast"/>
            </w:pP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Pr="004905F9" w:rsidRDefault="005D1E21">
            <w:pPr>
              <w:pStyle w:val="a3"/>
              <w:widowControl w:val="0"/>
              <w:spacing w:after="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Daihatsu, Honda, Isuzu, Mazda, Mitsubishi, Nissan, Subaru, Suzuki, Toyota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0,049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0,0025</w:t>
            </w:r>
          </w:p>
        </w:tc>
      </w:tr>
      <w:tr w:rsidR="003B42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Грузовые автомобили - грузовые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бортовые автомобили, грузовые автомобили-фургоны, автомобили-самосвалы,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автомобили-тягачи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Независимо от марки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0,077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0,0023</w:t>
            </w:r>
          </w:p>
        </w:tc>
      </w:tr>
      <w:tr w:rsidR="003B42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4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Автобусы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Независимо от марки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0,113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0,0008</w:t>
            </w:r>
          </w:p>
        </w:tc>
      </w:tr>
      <w:tr w:rsidR="003B42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Троллейбусы и вагоны трамваев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Независимо от марки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0,098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0,0008</w:t>
            </w:r>
          </w:p>
        </w:tc>
      </w:tr>
      <w:tr w:rsidR="003B42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Прицепы и полуприцепы для грузовых автомобилей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Независимо от марки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B42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Прицепы для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легковых автомобилей и жилых автомобилей (типа автомобиль-дача)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Независимо от марки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B42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Мотоциклы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Независимо от марки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0,07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B42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Скутеры, мопеды, мотороллеры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Независимо от марки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B42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Сельскохозяйственные тракторы, самоходная сельскохозяйственная,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пожарная, коммунальная, погрузочная, строительная, дорожная, землеройная техника и иная техника на базе автомобилей и иных самоходных базах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Независимо от марки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0, 15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B427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Велосипеды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Независимо от марки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0, 04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4271" w:rsidRDefault="005D1E21">
            <w:pPr>
              <w:pStyle w:val="a3"/>
              <w:widowControl w:val="0"/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3B4271" w:rsidRDefault="003B4271">
      <w:pPr>
        <w:pStyle w:val="a3"/>
        <w:spacing w:after="0" w:line="100" w:lineRule="atLeast"/>
        <w:ind w:firstLine="709"/>
        <w:jc w:val="both"/>
      </w:pPr>
    </w:p>
    <w:p w:rsidR="003B4271" w:rsidRDefault="005D1E21">
      <w:pPr>
        <w:pStyle w:val="a3"/>
        <w:spacing w:after="0" w:line="100" w:lineRule="atLeast"/>
        <w:ind w:firstLine="851"/>
        <w:jc w:val="both"/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Таким образом, в соответствии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единой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методикой определения размера расходов на восстановительный ремонт в отношении поврежденного транспортного средства, утвержденной Положением Банка России от 19.09.2014 года № 432-П должны назначаться следующие значения износа комплектующих изделий (деталей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узлов и агрегатов) транспортного средства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3B4271" w:rsidRDefault="003B4271">
      <w:pPr>
        <w:pStyle w:val="a3"/>
        <w:spacing w:after="0" w:line="100" w:lineRule="atLeast"/>
        <w:ind w:firstLine="851"/>
        <w:jc w:val="both"/>
      </w:pPr>
    </w:p>
    <w:tbl>
      <w:tblPr>
        <w:tblW w:w="0" w:type="auto"/>
        <w:tblInd w:w="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4"/>
        <w:gridCol w:w="1418"/>
      </w:tblGrid>
      <w:tr w:rsidR="003B4271">
        <w:tblPrEx>
          <w:tblCellMar>
            <w:top w:w="0" w:type="dxa"/>
            <w:bottom w:w="0" w:type="dxa"/>
          </w:tblCellMar>
        </w:tblPrEx>
        <w:trPr>
          <w:trHeight w:hRule="exact" w:val="840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5D1E21">
            <w:pPr>
              <w:pStyle w:val="a3"/>
              <w:spacing w:after="0" w:line="100" w:lineRule="atLeast"/>
              <w:ind w:firstLine="317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Износ комплектующих изделий (деталей, узлов и агрегатов) транспортного средства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ки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принимается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равным</w:t>
            </w:r>
            <w:proofErr w:type="gramEnd"/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5D1E21">
            <w:pPr>
              <w:pStyle w:val="a3"/>
              <w:spacing w:before="28" w:after="28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${Value3}</w:t>
            </w:r>
          </w:p>
        </w:tc>
      </w:tr>
      <w:tr w:rsidR="003B4271">
        <w:tblPrEx>
          <w:tblCellMar>
            <w:top w:w="0" w:type="dxa"/>
            <w:bottom w:w="0" w:type="dxa"/>
          </w:tblCellMar>
        </w:tblPrEx>
        <w:trPr>
          <w:trHeight w:hRule="exact" w:val="555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5D1E21">
            <w:pPr>
              <w:pStyle w:val="a3"/>
              <w:spacing w:after="0" w:line="100" w:lineRule="atLeast"/>
              <w:ind w:firstLine="317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Износ шины транспортного средства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ш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принимается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равным</w:t>
            </w:r>
            <w:proofErr w:type="gramEnd"/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4271" w:rsidRDefault="005D1E21">
            <w:pPr>
              <w:pStyle w:val="a3"/>
              <w:spacing w:before="28" w:after="28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${Value4}</w:t>
            </w:r>
          </w:p>
        </w:tc>
      </w:tr>
    </w:tbl>
    <w:p w:rsidR="003B4271" w:rsidRDefault="003B4271">
      <w:pPr>
        <w:pStyle w:val="a3"/>
        <w:spacing w:after="0" w:line="100" w:lineRule="atLeast"/>
        <w:ind w:firstLine="709"/>
        <w:jc w:val="both"/>
      </w:pPr>
    </w:p>
    <w:sectPr w:rsidR="003B4271">
      <w:headerReference w:type="default" r:id="rId11"/>
      <w:pgSz w:w="11906" w:h="16838"/>
      <w:pgMar w:top="225" w:right="425" w:bottom="851" w:left="1134" w:header="142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E21" w:rsidRDefault="005D1E21">
      <w:pPr>
        <w:spacing w:after="0" w:line="240" w:lineRule="auto"/>
      </w:pPr>
      <w:r>
        <w:separator/>
      </w:r>
    </w:p>
  </w:endnote>
  <w:endnote w:type="continuationSeparator" w:id="0">
    <w:p w:rsidR="005D1E21" w:rsidRDefault="005D1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E21" w:rsidRDefault="005D1E21">
      <w:pPr>
        <w:spacing w:after="0" w:line="240" w:lineRule="auto"/>
      </w:pPr>
      <w:r>
        <w:separator/>
      </w:r>
    </w:p>
  </w:footnote>
  <w:footnote w:type="continuationSeparator" w:id="0">
    <w:p w:rsidR="005D1E21" w:rsidRDefault="005D1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271" w:rsidRDefault="005D1E21">
    <w:pPr>
      <w:pStyle w:val="af0"/>
      <w:jc w:val="center"/>
    </w:pPr>
    <w:proofErr w:type="spellStart"/>
    <w:r>
      <w:rPr>
        <w:rFonts w:ascii="Times New Roman" w:hAnsi="Times New Roman" w:cs="Times New Roman"/>
        <w:sz w:val="30"/>
        <w:szCs w:val="30"/>
      </w:rPr>
      <w:t>Автоэкспертиза</w:t>
    </w:r>
    <w:proofErr w:type="spellEnd"/>
    <w:r>
      <w:rPr>
        <w:rFonts w:ascii="Times New Roman" w:hAnsi="Times New Roman" w:cs="Times New Roman"/>
        <w:sz w:val="30"/>
        <w:szCs w:val="30"/>
      </w:rPr>
      <w:t xml:space="preserve"> и оценка «ИНАВЭКС»</w:t>
    </w:r>
  </w:p>
  <w:p w:rsidR="003B4271" w:rsidRDefault="005D1E21">
    <w:pPr>
      <w:pStyle w:val="af0"/>
      <w:jc w:val="center"/>
    </w:pPr>
    <w:r>
      <w:rPr>
        <w:lang w:val="en-US"/>
      </w:rPr>
      <w:t>www</w:t>
    </w:r>
    <w:r>
      <w:t>.</w:t>
    </w:r>
    <w:proofErr w:type="spellStart"/>
    <w:r>
      <w:rPr>
        <w:lang w:val="en-US"/>
      </w:rPr>
      <w:t>inavex</w:t>
    </w:r>
    <w:proofErr w:type="spellEnd"/>
    <w:r>
      <w:t>.</w:t>
    </w:r>
    <w:proofErr w:type="spellStart"/>
    <w:r>
      <w:rPr>
        <w:lang w:val="en-US"/>
      </w:rPr>
      <w:t>ru</w:t>
    </w:r>
    <w:proofErr w:type="spellEnd"/>
    <w:r>
      <w:t xml:space="preserve">    /    </w:t>
    </w:r>
    <w:hyperlink r:id="rId1">
      <w:r>
        <w:rPr>
          <w:rStyle w:val="-"/>
          <w:color w:val="00000A"/>
          <w:u w:val="none"/>
          <w:lang w:val="en-US"/>
        </w:rPr>
        <w:t>www</w:t>
      </w:r>
      <w:r>
        <w:rPr>
          <w:rStyle w:val="-"/>
          <w:color w:val="00000A"/>
          <w:u w:val="none"/>
        </w:rPr>
        <w:t>.</w:t>
      </w:r>
      <w:r>
        <w:rPr>
          <w:rStyle w:val="-"/>
          <w:color w:val="00000A"/>
          <w:u w:val="none"/>
          <w:lang w:val="en-US"/>
        </w:rPr>
        <w:t>vk</w:t>
      </w:r>
      <w:r>
        <w:rPr>
          <w:rStyle w:val="-"/>
          <w:color w:val="00000A"/>
          <w:u w:val="none"/>
        </w:rPr>
        <w:t>.</w:t>
      </w:r>
      <w:r>
        <w:rPr>
          <w:rStyle w:val="-"/>
          <w:color w:val="00000A"/>
          <w:u w:val="none"/>
          <w:lang w:val="en-US"/>
        </w:rPr>
        <w:t>com</w:t>
      </w:r>
      <w:r>
        <w:rPr>
          <w:rStyle w:val="-"/>
          <w:color w:val="00000A"/>
          <w:u w:val="none"/>
        </w:rPr>
        <w:t>/</w:t>
      </w:r>
      <w:r>
        <w:rPr>
          <w:rStyle w:val="-"/>
          <w:color w:val="00000A"/>
          <w:u w:val="none"/>
          <w:lang w:val="en-US"/>
        </w:rPr>
        <w:t>avtoadvokat</w:t>
      </w:r>
      <w:r>
        <w:rPr>
          <w:rStyle w:val="-"/>
          <w:color w:val="00000A"/>
          <w:u w:val="none"/>
        </w:rPr>
        <w:t>_</w:t>
      </w:r>
      <w:r>
        <w:rPr>
          <w:rStyle w:val="-"/>
          <w:color w:val="00000A"/>
          <w:u w:val="none"/>
          <w:lang w:val="en-US"/>
        </w:rPr>
        <w:t>msk</w:t>
      </w:r>
      <w:r>
        <w:rPr>
          <w:rStyle w:val="-"/>
          <w:color w:val="00000A"/>
          <w:u w:val="none"/>
        </w:rPr>
        <w:t xml:space="preserve">    /</w:t>
      </w:r>
    </w:hyperlink>
    <w:r>
      <w:t xml:space="preserve">  </w:t>
    </w:r>
    <w:r>
      <w:t xml:space="preserve">  </w:t>
    </w:r>
    <w:r>
      <w:rPr>
        <w:lang w:val="en-US"/>
      </w:rPr>
      <w:t>info</w:t>
    </w:r>
    <w:r>
      <w:t>@</w:t>
    </w:r>
    <w:r>
      <w:rPr>
        <w:lang w:val="en-US"/>
      </w:rPr>
      <w:t>inavex</w:t>
    </w:r>
    <w:r>
      <w:t>.</w:t>
    </w:r>
    <w:r>
      <w:rPr>
        <w:lang w:val="en-US"/>
      </w:rPr>
      <w:t>ru</w:t>
    </w:r>
    <w:r>
      <w:t xml:space="preserve">    /    </w:t>
    </w:r>
    <w:proofErr w:type="spellStart"/>
    <w:r>
      <w:t>м.т</w:t>
    </w:r>
    <w:proofErr w:type="spellEnd"/>
    <w:r>
      <w:t>. 89168368793</w:t>
    </w:r>
  </w:p>
  <w:p w:rsidR="003B4271" w:rsidRDefault="003B4271">
    <w:pPr>
      <w:pStyle w:val="af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4271"/>
    <w:rsid w:val="003B4271"/>
    <w:rsid w:val="004905F9"/>
    <w:rsid w:val="005D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pPr>
      <w:tabs>
        <w:tab w:val="left" w:pos="708"/>
      </w:tabs>
      <w:suppressAutoHyphens/>
    </w:pPr>
    <w:rPr>
      <w:rFonts w:ascii="Calibri" w:eastAsia="WenQuanYi Micro Hei" w:hAnsi="Calibri" w:cs="Calibri"/>
      <w:color w:val="00000A"/>
      <w:lang w:eastAsia="en-US"/>
    </w:rPr>
  </w:style>
  <w:style w:type="character" w:customStyle="1" w:styleId="a4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</w:style>
  <w:style w:type="character" w:customStyle="1" w:styleId="a6">
    <w:name w:val="Нижний колонтитул Знак"/>
    <w:basedOn w:val="a0"/>
  </w:style>
  <w:style w:type="character" w:customStyle="1" w:styleId="-">
    <w:name w:val="Интернет-ссылка"/>
    <w:basedOn w:val="a0"/>
    <w:rPr>
      <w:color w:val="0000FF"/>
      <w:u w:val="single"/>
      <w:lang w:val="ru-RU" w:eastAsia="ru-RU" w:bidi="ru-RU"/>
    </w:rPr>
  </w:style>
  <w:style w:type="paragraph" w:customStyle="1" w:styleId="a7">
    <w:name w:val="Заголовок"/>
    <w:basedOn w:val="a3"/>
    <w:next w:val="a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a8">
    <w:name w:val="Body Text"/>
    <w:basedOn w:val="a3"/>
    <w:pPr>
      <w:spacing w:after="120"/>
    </w:pPr>
  </w:style>
  <w:style w:type="paragraph" w:styleId="a9">
    <w:name w:val="List"/>
    <w:basedOn w:val="a8"/>
    <w:rPr>
      <w:rFonts w:cs="Lohit Hindi"/>
    </w:rPr>
  </w:style>
  <w:style w:type="paragraph" w:styleId="aa">
    <w:name w:val="Title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b">
    <w:name w:val="index heading"/>
    <w:basedOn w:val="a3"/>
    <w:pPr>
      <w:suppressLineNumbers/>
    </w:pPr>
    <w:rPr>
      <w:rFonts w:cs="Lohit Hindi"/>
    </w:rPr>
  </w:style>
  <w:style w:type="paragraph" w:customStyle="1" w:styleId="ac">
    <w:name w:val="Заглавие"/>
    <w:basedOn w:val="a3"/>
    <w:next w:val="ad"/>
    <w:pPr>
      <w:suppressLineNumbers/>
      <w:spacing w:before="120" w:after="120"/>
      <w:jc w:val="center"/>
    </w:pPr>
    <w:rPr>
      <w:rFonts w:cs="Lohit Hindi"/>
      <w:b/>
      <w:bCs/>
      <w:i/>
      <w:iCs/>
      <w:sz w:val="24"/>
      <w:szCs w:val="24"/>
    </w:rPr>
  </w:style>
  <w:style w:type="paragraph" w:styleId="ad">
    <w:name w:val="Subtitle"/>
    <w:basedOn w:val="a7"/>
    <w:next w:val="a8"/>
    <w:pPr>
      <w:jc w:val="center"/>
    </w:pPr>
    <w:rPr>
      <w:i/>
      <w:iCs/>
    </w:rPr>
  </w:style>
  <w:style w:type="paragraph" w:styleId="ae">
    <w:name w:val="Balloon Text"/>
    <w:basedOn w:val="a3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af">
    <w:name w:val="Normal (Web)"/>
    <w:basedOn w:val="a3"/>
    <w:pPr>
      <w:spacing w:before="28" w:after="119" w:line="1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header"/>
    <w:basedOn w:val="a3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f1">
    <w:name w:val="footer"/>
    <w:basedOn w:val="a3"/>
    <w:pPr>
      <w:suppressLineNumbers/>
      <w:tabs>
        <w:tab w:val="center" w:pos="4677"/>
        <w:tab w:val="right" w:pos="9355"/>
      </w:tabs>
      <w:spacing w:after="0" w:line="10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k.com/club2570370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1076</Words>
  <Characters>6136</Characters>
  <Application>Microsoft Office Word</Application>
  <DocSecurity>0</DocSecurity>
  <Lines>51</Lines>
  <Paragraphs>14</Paragraphs>
  <ScaleCrop>false</ScaleCrop>
  <Company/>
  <LinksUpToDate>false</LinksUpToDate>
  <CharactersWithSpaces>7198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Автоэкспертиза и оценка «ИНАВЭКС» - видим все!!!</dc:title>
  <dc:creator>Inavex</dc:creator>
  <cp:lastModifiedBy>Inavex</cp:lastModifiedBy>
  <cp:revision>10</cp:revision>
  <dcterms:created xsi:type="dcterms:W3CDTF">2014-08-16T14:44:00Z</dcterms:created>
  <dcterms:modified xsi:type="dcterms:W3CDTF">2014-12-18T19:11:00Z</dcterms:modified>
</cp:coreProperties>
</file>