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26" w:rsidRDefault="008E2A26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износа комплектующих 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(деталей, узлов и агрегатов), подлежащих замене при восстановительном ремонте транспортного 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Постановлением Правительства РФ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24 мая 2010 г. N 361 "Об утверждении Правил установления размера расходов на материалы и запасные части при восстановительном ремонте транспортных средств"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292C" w:rsidRPr="006E1EF3" w:rsidRDefault="0022292C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металлических деталей кузова</w:t>
      </w:r>
      <w:r w:rsidR="00D52705" w:rsidRP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куз</w:t>
      </w:r>
      <w:proofErr w:type="spellEnd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</w:t>
      </w:r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читывается по</w:t>
      </w:r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5953"/>
        <w:gridCol w:w="1418"/>
      </w:tblGrid>
      <w:tr w:rsidR="000B32D2" w:rsidRPr="006E1EF3" w:rsidTr="00E92337">
        <w:trPr>
          <w:trHeight w:val="231"/>
        </w:trPr>
        <w:tc>
          <w:tcPr>
            <w:tcW w:w="3119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94D317A" wp14:editId="5170063D">
                  <wp:extent cx="1851264" cy="7905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781" cy="79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8.75pt" o:ole="">
                  <v:imagedata r:id="rId9" o:title=""/>
                </v:shape>
                <o:OLEObject Type="Embed" ProgID="Equation.DSMT4" ShapeID="_x0000_i1025" DrawAspect="Content" ObjectID="_1457268084" r:id="rId1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Износ кузова транспортного средства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418" w:type="dxa"/>
            <w:vAlign w:val="center"/>
            <w:hideMark/>
          </w:tcPr>
          <w:p w:rsidR="000B32D2" w:rsidRPr="006E1EF3" w:rsidRDefault="008B0CA5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6" type="#_x0000_t75" style="width:9pt;height:12.75pt" o:ole="">
                  <v:imagedata r:id="rId11" o:title=""/>
                </v:shape>
                <o:OLEObject Type="Embed" ProgID="Equation.DSMT4" ShapeID="_x0000_i1026" DrawAspect="Content" ObjectID="_1457268085" r:id="rId1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7" type="#_x0000_t75" style="width:9pt;height:12.75pt" o:ole="">
                  <v:imagedata r:id="rId11" o:title=""/>
                </v:shape>
                <o:OLEObject Type="Embed" ProgID="Equation.DSMT4" ShapeID="_x0000_i1027" DrawAspect="Content" ObjectID="_1457268086" r:id="rId13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00" w:dyaOrig="380">
                <v:shape id="_x0000_i1028" type="#_x0000_t75" style="width:20.25pt;height:18.75pt" o:ole="">
                  <v:imagedata r:id="rId14" o:title=""/>
                </v:shape>
                <o:OLEObject Type="Embed" ProgID="Equation.DSMT4" ShapeID="_x0000_i1028" DrawAspect="Content" ObjectID="_1457268087" r:id="rId15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Возраст кузова транспортного средства</w:t>
            </w:r>
            <w:r w:rsid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1418" w:type="dxa"/>
            <w:vAlign w:val="center"/>
            <w:hideMark/>
          </w:tcPr>
          <w:p w:rsidR="000B32D2" w:rsidRPr="00CC7EBF" w:rsidRDefault="00C1665B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E92337">
        <w:trPr>
          <w:trHeight w:val="228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29" type="#_x0000_t75" style="width:17.25pt;height:18pt" o:ole="">
                  <v:imagedata r:id="rId16" o:title=""/>
                </v:shape>
                <o:OLEObject Type="Embed" ProgID="Equation.DSMT4" ShapeID="_x0000_i1029" DrawAspect="Content" ObjectID="_1457268088" r:id="rId17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Гарантия от сквозной коррозии кузова (лет)</w:t>
            </w:r>
          </w:p>
        </w:tc>
        <w:tc>
          <w:tcPr>
            <w:tcW w:w="1418" w:type="dxa"/>
            <w:vAlign w:val="center"/>
            <w:hideMark/>
          </w:tcPr>
          <w:p w:rsidR="000B32D2" w:rsidRPr="00CC7EBF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bCs/>
                <w:sz w:val="28"/>
                <w:szCs w:val="28"/>
              </w:rPr>
              <w:t>${Value6}</w:t>
            </w:r>
          </w:p>
        </w:tc>
      </w:tr>
    </w:tbl>
    <w:p w:rsidR="006C4BA8" w:rsidRPr="00CC7EBF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остальных деталей, узлов и агрегатов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ки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5823"/>
        <w:gridCol w:w="1560"/>
      </w:tblGrid>
      <w:tr w:rsidR="000B32D2" w:rsidRPr="006E1EF3" w:rsidTr="00AA1168">
        <w:trPr>
          <w:trHeight w:val="158"/>
        </w:trPr>
        <w:tc>
          <w:tcPr>
            <w:tcW w:w="3108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1AC21BC" wp14:editId="5396FF63">
                  <wp:extent cx="1752600" cy="35276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845" cy="35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20" w:dyaOrig="360">
                <v:shape id="_x0000_i1030" type="#_x0000_t75" style="width:21pt;height:18pt" o:ole="">
                  <v:imagedata r:id="rId19" o:title=""/>
                </v:shape>
                <o:OLEObject Type="Embed" ProgID="Equation.DSMT4" ShapeID="_x0000_i1030" DrawAspect="Content" ObjectID="_1457268089" r:id="rId2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 Износ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комплектующего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детали (%)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1" type="#_x0000_t75" style="width:9pt;height:12.75pt" o:ole="">
                  <v:imagedata r:id="rId11" o:title=""/>
                </v:shape>
                <o:OLEObject Type="Embed" ProgID="Equation.DSMT4" ShapeID="_x0000_i1031" DrawAspect="Content" ObjectID="_1457268090" r:id="rId21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2" type="#_x0000_t75" style="width:9pt;height:12.75pt" o:ole="">
                  <v:imagedata r:id="rId11" o:title=""/>
                </v:shape>
                <o:OLEObject Type="Embed" ProgID="Equation.DSMT4" ShapeID="_x0000_i1032" DrawAspect="Content" ObjectID="_1457268091" r:id="rId2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ED2EFB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D2EFB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-  </w:t>
            </w:r>
            <w:bookmarkStart w:id="0" w:name="OLE_LINK1"/>
            <w:bookmarkStart w:id="1" w:name="OLE_LINK2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учитывающий влияние на износ </w:t>
            </w:r>
            <w:bookmarkEnd w:id="0"/>
            <w:bookmarkEnd w:id="1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0B32D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33" type="#_x0000_t75" style="width:18pt;height:18pt" o:ole="">
                  <v:imagedata r:id="rId23" o:title=""/>
                </v:shape>
                <o:OLEObject Type="Embed" ProgID="Equation.DSMT4" ShapeID="_x0000_i1033" DrawAspect="Content" ObjectID="_1457268092" r:id="rId24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 Возраст комплектующего изделия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6E1EF3" w:rsidRDefault="00ED2EFB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D2EFB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-  Коэффициент учитывающий влияние на износ пробега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0B32D2" w:rsidRPr="006E1EF3" w:rsidTr="00AA1168">
        <w:trPr>
          <w:trHeight w:val="90"/>
        </w:trPr>
        <w:tc>
          <w:tcPr>
            <w:tcW w:w="3108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23" w:type="dxa"/>
            <w:vAlign w:val="center"/>
            <w:hideMark/>
          </w:tcPr>
          <w:p w:rsidR="000B32D2" w:rsidRPr="003B690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34" type="#_x0000_t75" style="width:18pt;height:18pt" o:ole="">
                  <v:imagedata r:id="rId25" o:title=""/>
                </v:shape>
                <o:OLEObject Type="Embed" ProgID="Equation.DSMT4" ShapeID="_x0000_i1034" DrawAspect="Content" ObjectID="_1457268093" r:id="rId26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пробег с комплектующим изделием</w:t>
            </w:r>
            <w:r w:rsid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</w:t>
            </w:r>
            <w:proofErr w:type="spellStart"/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километров</w:t>
            </w:r>
            <w:proofErr w:type="spellEnd"/>
            <w:r w:rsidR="003B6903" w:rsidRPr="003B69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1560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6C4BA8" w:rsidRPr="006E1EF3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пластиковых деталей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пл</w:t>
      </w:r>
      <w:proofErr w:type="spellEnd"/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рассчитывается по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формуле;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5953"/>
        <w:gridCol w:w="1418"/>
      </w:tblGrid>
      <w:tr w:rsidR="000B32D2" w:rsidRPr="006E1EF3" w:rsidTr="00E92337">
        <w:trPr>
          <w:trHeight w:val="150"/>
        </w:trPr>
        <w:tc>
          <w:tcPr>
            <w:tcW w:w="3119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2D06DDA" wp14:editId="71132BD2">
                  <wp:extent cx="1571625" cy="321899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2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00" w:dyaOrig="360">
                <v:shape id="_x0000_i1035" type="#_x0000_t75" style="width:20.25pt;height:18pt" o:ole="">
                  <v:imagedata r:id="rId28" o:title=""/>
                </v:shape>
                <o:OLEObject Type="Embed" ProgID="Equation.DSMT4" ShapeID="_x0000_i1035" DrawAspect="Content" ObjectID="_1457268094" r:id="rId29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Износ изделия изготовленного из пластмассы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418" w:type="dxa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E92337">
        <w:trPr>
          <w:trHeight w:val="150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hideMark/>
          </w:tcPr>
          <w:p w:rsidR="000B32D2" w:rsidRPr="006E1EF3" w:rsidRDefault="000B32D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6" type="#_x0000_t75" style="width:9pt;height:12.75pt" o:ole="">
                  <v:imagedata r:id="rId11" o:title=""/>
                </v:shape>
                <o:OLEObject Type="Embed" ProgID="Equation.DSMT4" ShapeID="_x0000_i1036" DrawAspect="Content" ObjectID="_1457268095" r:id="rId3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- Основание натуральных логарифмов (</w:t>
            </w:r>
            <w:r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37" type="#_x0000_t75" style="width:9pt;height:12.75pt" o:ole="">
                  <v:imagedata r:id="rId11" o:title=""/>
                </v:shape>
                <o:OLEObject Type="Embed" ProgID="Equation.DSMT4" ShapeID="_x0000_i1037" DrawAspect="Content" ObjectID="_1457268096" r:id="rId31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E92337">
        <w:trPr>
          <w:trHeight w:val="150"/>
        </w:trPr>
        <w:tc>
          <w:tcPr>
            <w:tcW w:w="3119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3" w:type="dxa"/>
            <w:hideMark/>
          </w:tcPr>
          <w:p w:rsidR="000B32D2" w:rsidRPr="006E1EF3" w:rsidRDefault="000B32D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38" type="#_x0000_t75" style="width:17.25pt;height:18pt" o:ole="">
                  <v:imagedata r:id="rId32" o:title=""/>
                </v:shape>
                <o:OLEObject Type="Embed" ProgID="Equation.DSMT4" ShapeID="_x0000_i1038" DrawAspect="Content" ObjectID="_1457268097" r:id="rId33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Возраст изделия изготовленного из пластмассы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соответствии с прил. 2 и п. 5.2.15 МР для СЭ, ФБУ РФЦСЭ, 2013г. (в годах с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точностью до одного знака после запятой)</w:t>
            </w:r>
          </w:p>
        </w:tc>
        <w:tc>
          <w:tcPr>
            <w:tcW w:w="1418" w:type="dxa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lastRenderedPageBreak/>
              <w:t>${Value8}</w:t>
            </w:r>
          </w:p>
        </w:tc>
      </w:tr>
    </w:tbl>
    <w:p w:rsidR="006E1EF3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шин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ш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5816"/>
        <w:gridCol w:w="1557"/>
      </w:tblGrid>
      <w:tr w:rsidR="000B32D2" w:rsidRPr="006E1EF3" w:rsidTr="00A429F4">
        <w:trPr>
          <w:trHeight w:val="180"/>
        </w:trPr>
        <w:tc>
          <w:tcPr>
            <w:tcW w:w="3117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left="72"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EE5019" wp14:editId="2E837393">
                  <wp:extent cx="1777630" cy="714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22" cy="72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80" w:dyaOrig="360">
                <v:shape id="_x0000_i1039" type="#_x0000_t75" style="width:18.75pt;height:18pt" o:ole="">
                  <v:imagedata r:id="rId35" o:title=""/>
                </v:shape>
                <o:OLEObject Type="Embed" ProgID="Equation.DSMT4" ShapeID="_x0000_i1039" DrawAspect="Content" ObjectID="_1457268098" r:id="rId36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Износ шины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557" w:type="dxa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40" w:dyaOrig="360">
                <v:shape id="_x0000_i1040" type="#_x0000_t75" style="width:17.25pt;height:18pt" o:ole="">
                  <v:imagedata r:id="rId37" o:title=""/>
                </v:shape>
                <o:OLEObject Type="Embed" ProgID="Equation.DSMT4" ShapeID="_x0000_i1040" DrawAspect="Content" ObjectID="_1457268099" r:id="rId38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- Высота рисунка протектора новой шины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CE674C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380" w:dyaOrig="380">
                <v:shape id="_x0000_i1041" type="#_x0000_t75" style="width:18.75pt;height:18.75pt" o:ole="">
                  <v:imagedata r:id="rId39" o:title=""/>
                </v:shape>
                <o:OLEObject Type="Embed" ProgID="Equation.DSMT4" ShapeID="_x0000_i1041" DrawAspect="Content" ObjectID="_1457268100" r:id="rId40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Фактическая высота протектора шины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CE674C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${Value12}</w:t>
            </w:r>
          </w:p>
        </w:tc>
      </w:tr>
      <w:tr w:rsidR="000B32D2" w:rsidRPr="006E1EF3" w:rsidTr="00A429F4">
        <w:trPr>
          <w:trHeight w:val="180"/>
        </w:trPr>
        <w:tc>
          <w:tcPr>
            <w:tcW w:w="3117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816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80" w:dyaOrig="360">
                <v:shape id="_x0000_i1042" type="#_x0000_t75" style="width:24pt;height:18pt" o:ole="">
                  <v:imagedata r:id="rId41" o:title=""/>
                </v:shape>
                <o:OLEObject Type="Embed" ProgID="Equation.DSMT4" ShapeID="_x0000_i1042" DrawAspect="Content" ObjectID="_1457268101" r:id="rId42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Минимально допустимая высота рисунка протектора (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7" w:type="dxa"/>
            <w:vAlign w:val="center"/>
          </w:tcPr>
          <w:p w:rsidR="000B32D2" w:rsidRPr="006E1EF3" w:rsidRDefault="004D19E1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${Value13}</w:t>
            </w:r>
          </w:p>
        </w:tc>
      </w:tr>
      <w:tr w:rsidR="00A429F4" w:rsidRPr="006E1EF3" w:rsidTr="00A429F4">
        <w:trPr>
          <w:trHeight w:val="290"/>
        </w:trPr>
        <w:tc>
          <w:tcPr>
            <w:tcW w:w="10490" w:type="dxa"/>
            <w:gridSpan w:val="3"/>
            <w:vAlign w:val="center"/>
          </w:tcPr>
          <w:p w:rsidR="00A429F4" w:rsidRPr="00A429F4" w:rsidRDefault="00A429F4" w:rsidP="00A429F4">
            <w:pPr>
              <w:pStyle w:val="a5"/>
              <w:spacing w:after="0"/>
              <w:jc w:val="both"/>
              <w:rPr>
                <w:b/>
                <w:sz w:val="20"/>
                <w:szCs w:val="20"/>
              </w:rPr>
            </w:pPr>
            <w:r w:rsidRPr="00A429F4">
              <w:rPr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аккумуляторной батареи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ак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5958"/>
        <w:gridCol w:w="1557"/>
      </w:tblGrid>
      <w:tr w:rsidR="000B32D2" w:rsidRPr="006E1EF3" w:rsidTr="00A429F4">
        <w:trPr>
          <w:trHeight w:val="240"/>
        </w:trPr>
        <w:tc>
          <w:tcPr>
            <w:tcW w:w="2975" w:type="dxa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F5F438" wp14:editId="67A6D07F">
                  <wp:extent cx="1724025" cy="8199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283" cy="8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420" w:dyaOrig="360">
                <v:shape id="_x0000_i1043" type="#_x0000_t75" style="width:21pt;height:18pt" o:ole="">
                  <v:imagedata r:id="rId44" o:title=""/>
                </v:shape>
                <o:OLEObject Type="Embed" ProgID="Equation.DSMT4" ShapeID="_x0000_i1043" DrawAspect="Content" ObjectID="_1457268102" r:id="rId45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Износ аккумуляторной батареи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1557" w:type="dxa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0B32D2" w:rsidRPr="006E1EF3" w:rsidTr="00A429F4">
        <w:trPr>
          <w:trHeight w:val="240"/>
        </w:trPr>
        <w:tc>
          <w:tcPr>
            <w:tcW w:w="2975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60">
                <v:shape id="_x0000_i1045" type="#_x0000_t75" style="width:18pt;height:18pt" o:ole="">
                  <v:imagedata r:id="rId46" o:title=""/>
                </v:shape>
                <o:OLEObject Type="Embed" ProgID="Equation.DSMT4" ShapeID="_x0000_i1045" DrawAspect="Content" ObjectID="_1457268103" r:id="rId47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-  Возраст аккумуляторной батареи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1557" w:type="dxa"/>
            <w:vAlign w:val="center"/>
          </w:tcPr>
          <w:p w:rsidR="000B32D2" w:rsidRPr="006E1EF3" w:rsidRDefault="007E181F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0B32D2" w:rsidRPr="006E1EF3" w:rsidTr="00A429F4">
        <w:trPr>
          <w:trHeight w:val="240"/>
        </w:trPr>
        <w:tc>
          <w:tcPr>
            <w:tcW w:w="2975" w:type="dxa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958" w:type="dxa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360" w:dyaOrig="380">
                <v:shape id="_x0000_i1044" type="#_x0000_t75" style="width:18pt;height:18.75pt" o:ole="">
                  <v:imagedata r:id="rId48" o:title=""/>
                </v:shape>
                <o:OLEObject Type="Embed" ProgID="Equation.DSMT4" ShapeID="_x0000_i1044" DrawAspect="Content" ObjectID="_1457268104" r:id="rId49"/>
              </w:object>
            </w:r>
            <w:r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-  Нормативный срок службы до списания (замены) лет</w:t>
            </w:r>
          </w:p>
        </w:tc>
        <w:tc>
          <w:tcPr>
            <w:tcW w:w="1557" w:type="dxa"/>
            <w:vAlign w:val="center"/>
          </w:tcPr>
          <w:p w:rsidR="000B32D2" w:rsidRPr="006E1EF3" w:rsidRDefault="004D19E1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A429F4" w:rsidRPr="006E1EF3" w:rsidTr="00A429F4">
        <w:trPr>
          <w:trHeight w:val="370"/>
        </w:trPr>
        <w:tc>
          <w:tcPr>
            <w:tcW w:w="10490" w:type="dxa"/>
            <w:gridSpan w:val="3"/>
            <w:vAlign w:val="center"/>
          </w:tcPr>
          <w:p w:rsidR="00A429F4" w:rsidRPr="00A429F4" w:rsidRDefault="00A429F4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годам - при среднегодовом пробеге транспортного средства до 40 тыс. километров включительно;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годам - при среднегодовом пробеге транспортного средства более 40 тыс. километров.</w:t>
            </w:r>
          </w:p>
        </w:tc>
      </w:tr>
    </w:tbl>
    <w:p w:rsidR="001066B3" w:rsidRPr="006E1EF3" w:rsidRDefault="001066B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деталь, узел или агрегат не заменялось с начала эксплуатации ТС, то его возраст принимается равным возрасту ТС, а пробег ТС с этим комплектующим изделием принимается равным пробегу </w:t>
      </w:r>
      <w:r w:rsidR="00D52705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эксплуатации.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 результатам независимой технической экспертизы установлено или имеется документальное подтверждение (оплаченный заказ-наряд, запись в ПТС и т. п.) того, что деталь, узел или агрегат был установлен при замене, произведенной до даты ДТП, его возраст принимается равным разности между датой ДТП и датой предыдущей замены, а пробег ТС с этим комплектующим изделием принимается равным разности между пробегом ТС на дату</w:t>
      </w:r>
      <w:proofErr w:type="gramEnd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ДТП и пробегом на дату предыдущей замены детали.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 детали, подлежащей замене при восстановительном ремонте ТС, рассчитывается в соответствии с приложением 2 и 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5.2.15 методического руководства для судебных экспертов "Исследование автомототранспортных средств в целях определения стоимости восстановительного ремонта и оценки" ФБУ РФЦСЭ Минюст РФ (2013г.).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«5.2.15. Период времени, 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даты выпуска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АМТС (после капитального ремонта) до момента, на который рассчитывается износ (момент происшествия, момент осмотра и т.д.), определяется в годах с точностью до одного знака после запятой. Если дата выпуска АМТС неизвестна, то в расчете за дату выпуска может </w:t>
      </w: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приниматься начало срока эксплуатации. Если модельный год совпадает с годом выпуска, то за начало срока эксплуатации условно принимается первое января года выпуска. Если модельный год не совпадает с годом выпуска, за начало срока эксплуатации условно принимается первый день модельного года (обычно первое июля года выпуска). В случаях, когда известен месяц выпуска (начала эксплуатации), за дату выпуска (начала эксплуатации) приним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первое число этого месяца</w:t>
      </w:r>
      <w:bookmarkStart w:id="2" w:name="_GoBack"/>
      <w:bookmarkEnd w:id="2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Пробег ТС определяется по одометру. Если одометр неисправен или его состояние не соответствует установленным требованиям, пробег с начала эксплуатации автомобиля определяется расчетным путем в соответствии со справочными данными, например, по таблицам 10.1 и 10.2. Методического руководства для судебных экспертов "Исследование автомототранспортных сре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коэффициентов ∆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T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∆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10158" w:type="dxa"/>
        <w:tblInd w:w="392" w:type="dxa"/>
        <w:tblLook w:val="0000" w:firstRow="0" w:lastRow="0" w:firstColumn="0" w:lastColumn="0" w:noHBand="0" w:noVBand="0"/>
      </w:tblPr>
      <w:tblGrid>
        <w:gridCol w:w="709"/>
        <w:gridCol w:w="7088"/>
        <w:gridCol w:w="1296"/>
        <w:gridCol w:w="1065"/>
      </w:tblGrid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∆Т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∆L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" w:name="RANGE!B2:B34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  <w:bookmarkEnd w:id="3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Европы, включая Турцию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Азии (кроме Японии)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 (80 - 100 л.с.)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8E2A26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Самоходная техника и машины для нефтедобычи и нефтепереработки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22292C" w:rsidRPr="006E1EF3" w:rsidRDefault="0022292C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Таким образом</w:t>
      </w:r>
      <w:r w:rsidR="008E2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соответствии с Постановлением Правительства РФ</w:t>
      </w:r>
      <w:r w:rsidR="00D527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24 мая 2010г.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№361 "Об утверждении Правил установления размера расходов на материалы и запасные части при восстановительно</w:t>
      </w:r>
      <w:r w:rsid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 ремонте транспортных средств» должны приниматься следующие значения </w:t>
      </w:r>
      <w:r w:rsidR="00A429F4" w:rsidRP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износа комплектующих изделий (деталей, узлов и агрегатов), подлежащих замене при восстановительном ремонте транспортного средства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0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417"/>
      </w:tblGrid>
      <w:tr w:rsidR="000B32D2" w:rsidRPr="006E1EF3" w:rsidTr="00AA1168">
        <w:trPr>
          <w:trHeight w:hRule="exact" w:val="661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Износ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несъемных элементов кузова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AA1168">
        <w:trPr>
          <w:trHeight w:hRule="exact" w:val="712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пластиковых элементов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AA1168">
        <w:trPr>
          <w:trHeight w:hRule="exact" w:val="840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6E1EF3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</w:t>
            </w: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прочих элементов</w:t>
            </w: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AA1168">
        <w:trPr>
          <w:trHeight w:hRule="exact" w:val="555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360409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шины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AA1168">
        <w:trPr>
          <w:trHeight w:hRule="exact" w:val="706"/>
        </w:trPr>
        <w:tc>
          <w:tcPr>
            <w:tcW w:w="8647" w:type="dxa"/>
            <w:shd w:val="clear" w:color="auto" w:fill="auto"/>
            <w:noWrap/>
            <w:vAlign w:val="center"/>
          </w:tcPr>
          <w:p w:rsidR="000B32D2" w:rsidRPr="006E1EF3" w:rsidRDefault="000B32D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 w:rsidR="00523E05" w:rsidRPr="006E1EF3" w:rsidRDefault="00523E05" w:rsidP="008E2A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3E05" w:rsidRPr="006E1EF3" w:rsidSect="00FD6255">
      <w:headerReference w:type="default" r:id="rId50"/>
      <w:pgSz w:w="11906" w:h="16838"/>
      <w:pgMar w:top="225" w:right="425" w:bottom="851" w:left="1134" w:header="142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F7A" w:rsidRDefault="00971F7A" w:rsidP="00AA1168">
      <w:pPr>
        <w:spacing w:after="0" w:line="240" w:lineRule="auto"/>
      </w:pPr>
      <w:r>
        <w:separator/>
      </w:r>
    </w:p>
  </w:endnote>
  <w:endnote w:type="continuationSeparator" w:id="0">
    <w:p w:rsidR="00971F7A" w:rsidRDefault="00971F7A" w:rsidP="00AA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F7A" w:rsidRDefault="00971F7A" w:rsidP="00AA1168">
      <w:pPr>
        <w:spacing w:after="0" w:line="240" w:lineRule="auto"/>
      </w:pPr>
      <w:r>
        <w:separator/>
      </w:r>
    </w:p>
  </w:footnote>
  <w:footnote w:type="continuationSeparator" w:id="0">
    <w:p w:rsidR="00971F7A" w:rsidRDefault="00971F7A" w:rsidP="00AA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168" w:rsidRDefault="00AA1168" w:rsidP="00AA1168">
    <w:pPr>
      <w:pStyle w:val="a6"/>
      <w:jc w:val="center"/>
      <w:rPr>
        <w:rFonts w:ascii="Times New Roman" w:hAnsi="Times New Roman" w:cs="Times New Roman"/>
        <w:sz w:val="30"/>
        <w:szCs w:val="30"/>
      </w:rPr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AA1168" w:rsidRPr="00AA1168" w:rsidRDefault="008E2A26" w:rsidP="00AA1168">
    <w:pPr>
      <w:pStyle w:val="a6"/>
      <w:jc w:val="center"/>
    </w:pPr>
    <w:r>
      <w:rPr>
        <w:lang w:val="en-US"/>
      </w:rPr>
      <w:t>www</w:t>
    </w:r>
    <w:r w:rsidRPr="008E2A26">
      <w:t>.</w:t>
    </w:r>
    <w:proofErr w:type="spellStart"/>
    <w:r>
      <w:rPr>
        <w:lang w:val="en-US"/>
      </w:rPr>
      <w:t>inavex</w:t>
    </w:r>
    <w:proofErr w:type="spellEnd"/>
    <w:r w:rsidRPr="008E2A26">
      <w:t>.</w:t>
    </w:r>
    <w:proofErr w:type="spellStart"/>
    <w:r>
      <w:rPr>
        <w:lang w:val="en-US"/>
      </w:rPr>
      <w:t>ru</w:t>
    </w:r>
    <w:proofErr w:type="spellEnd"/>
    <w:r w:rsidR="00D52705" w:rsidRPr="00D52705">
      <w:t xml:space="preserve">  </w:t>
    </w:r>
    <w:r w:rsidR="00AA1168" w:rsidRPr="00AA1168">
      <w:t xml:space="preserve">  </w:t>
    </w:r>
    <w:r w:rsidR="00AA1168" w:rsidRPr="008E2A26">
      <w:t>/</w:t>
    </w:r>
    <w:r w:rsidR="00D52705" w:rsidRPr="00D52705">
      <w:t xml:space="preserve">  </w:t>
    </w:r>
    <w:r w:rsidR="00AA1168" w:rsidRPr="008E2A26">
      <w:t xml:space="preserve">  </w:t>
    </w:r>
    <w:hyperlink r:id="rId1" w:history="1">
      <w:r w:rsidR="00D52705">
        <w:rPr>
          <w:rStyle w:val="aa"/>
          <w:color w:val="auto"/>
          <w:u w:val="none"/>
          <w:lang w:val="en-US"/>
        </w:rPr>
        <w:t>www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vk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com</w:t>
      </w:r>
      <w:r w:rsidR="00D52705" w:rsidRPr="00D52705">
        <w:rPr>
          <w:rStyle w:val="aa"/>
          <w:color w:val="auto"/>
          <w:u w:val="none"/>
        </w:rPr>
        <w:t>/</w:t>
      </w:r>
      <w:r w:rsidR="00D52705" w:rsidRPr="00D52705">
        <w:rPr>
          <w:rStyle w:val="aa"/>
          <w:color w:val="auto"/>
          <w:u w:val="none"/>
          <w:lang w:val="en-US"/>
        </w:rPr>
        <w:t>avtoadvokat</w:t>
      </w:r>
      <w:r w:rsidR="00D52705" w:rsidRPr="00D52705">
        <w:rPr>
          <w:rStyle w:val="aa"/>
          <w:color w:val="auto"/>
          <w:u w:val="none"/>
        </w:rPr>
        <w:t>_</w:t>
      </w:r>
      <w:r w:rsidR="00D52705" w:rsidRPr="00D52705">
        <w:rPr>
          <w:rStyle w:val="aa"/>
          <w:color w:val="auto"/>
          <w:u w:val="none"/>
          <w:lang w:val="en-US"/>
        </w:rPr>
        <w:t>msk</w:t>
      </w:r>
      <w:r w:rsidR="00D52705" w:rsidRPr="00D52705">
        <w:rPr>
          <w:rStyle w:val="aa"/>
          <w:color w:val="auto"/>
          <w:u w:val="none"/>
        </w:rPr>
        <w:t xml:space="preserve">  </w:t>
      </w:r>
      <w:r w:rsidRPr="008E2A26">
        <w:rPr>
          <w:rStyle w:val="aa"/>
          <w:color w:val="auto"/>
          <w:u w:val="none"/>
        </w:rPr>
        <w:t xml:space="preserve">  /</w:t>
      </w:r>
    </w:hyperlink>
    <w:r w:rsidR="00D52705" w:rsidRPr="00D52705">
      <w:rPr>
        <w:rStyle w:val="aa"/>
        <w:color w:val="auto"/>
        <w:u w:val="none"/>
      </w:rPr>
      <w:t xml:space="preserve">  </w:t>
    </w:r>
    <w:r w:rsidR="00AA1168" w:rsidRPr="00AA1168">
      <w:t xml:space="preserve">  </w:t>
    </w:r>
    <w:r>
      <w:rPr>
        <w:lang w:val="en-US"/>
      </w:rPr>
      <w:t>info</w:t>
    </w:r>
    <w:r w:rsidRPr="008E2A26">
      <w:t>@</w:t>
    </w:r>
    <w:r>
      <w:rPr>
        <w:lang w:val="en-US"/>
      </w:rPr>
      <w:t>inavex</w:t>
    </w:r>
    <w:r w:rsidRPr="008E2A26">
      <w:t>.</w:t>
    </w:r>
    <w:r>
      <w:rPr>
        <w:lang w:val="en-US"/>
      </w:rPr>
      <w:t>ru</w:t>
    </w:r>
    <w:r w:rsidR="00D52705" w:rsidRPr="00D52705">
      <w:t xml:space="preserve">  </w:t>
    </w:r>
    <w:r w:rsidR="00AA1168" w:rsidRPr="00AA1168">
      <w:t xml:space="preserve">  / </w:t>
    </w:r>
    <w:r w:rsidR="00D52705" w:rsidRPr="00D52705">
      <w:t xml:space="preserve">  </w:t>
    </w:r>
    <w:r w:rsidR="00AA1168" w:rsidRPr="00AA1168">
      <w:t xml:space="preserve"> </w:t>
    </w:r>
    <w:proofErr w:type="spellStart"/>
    <w:r>
      <w:t>м.т</w:t>
    </w:r>
    <w:proofErr w:type="spellEnd"/>
    <w:r>
      <w:t xml:space="preserve">. </w:t>
    </w:r>
    <w:r w:rsidR="00AA1168" w:rsidRPr="00AA1168">
      <w:t>89168368793</w:t>
    </w:r>
  </w:p>
  <w:p w:rsidR="00AA1168" w:rsidRDefault="00971F7A">
    <w:pPr>
      <w:pStyle w:val="a6"/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2pt;margin-top:3.45pt;width:519pt;height:0;z-index:251658240" o:connectortype="straight" strokecolor="black [3213]" strokeweight="3pt">
          <v:shadow type="perspective" color="#7f7f7f [1601]" opacity=".5" offset="1pt" offset2="-1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2D2"/>
    <w:rsid w:val="00026F7E"/>
    <w:rsid w:val="000B32D2"/>
    <w:rsid w:val="000C0C76"/>
    <w:rsid w:val="001066B3"/>
    <w:rsid w:val="00130326"/>
    <w:rsid w:val="00136209"/>
    <w:rsid w:val="00166E85"/>
    <w:rsid w:val="001874EF"/>
    <w:rsid w:val="0022292C"/>
    <w:rsid w:val="00321287"/>
    <w:rsid w:val="0035776A"/>
    <w:rsid w:val="00360409"/>
    <w:rsid w:val="00387D02"/>
    <w:rsid w:val="003B0FC8"/>
    <w:rsid w:val="003B6903"/>
    <w:rsid w:val="004608F2"/>
    <w:rsid w:val="004D19E1"/>
    <w:rsid w:val="0050232D"/>
    <w:rsid w:val="0052322F"/>
    <w:rsid w:val="00523E05"/>
    <w:rsid w:val="006950CE"/>
    <w:rsid w:val="00696A95"/>
    <w:rsid w:val="006C4BA8"/>
    <w:rsid w:val="006E1EF3"/>
    <w:rsid w:val="00792C0D"/>
    <w:rsid w:val="007E181F"/>
    <w:rsid w:val="00896125"/>
    <w:rsid w:val="008B0CA5"/>
    <w:rsid w:val="008E2A26"/>
    <w:rsid w:val="00971F7A"/>
    <w:rsid w:val="00A429F4"/>
    <w:rsid w:val="00A74D84"/>
    <w:rsid w:val="00AA1168"/>
    <w:rsid w:val="00AC64EF"/>
    <w:rsid w:val="00B14B5E"/>
    <w:rsid w:val="00B55D82"/>
    <w:rsid w:val="00C1665B"/>
    <w:rsid w:val="00CC7EBF"/>
    <w:rsid w:val="00CE674C"/>
    <w:rsid w:val="00CF4B37"/>
    <w:rsid w:val="00D52705"/>
    <w:rsid w:val="00D53549"/>
    <w:rsid w:val="00DA196F"/>
    <w:rsid w:val="00DC3A2A"/>
    <w:rsid w:val="00DE6384"/>
    <w:rsid w:val="00DF6165"/>
    <w:rsid w:val="00E42CD1"/>
    <w:rsid w:val="00E54DF6"/>
    <w:rsid w:val="00E92337"/>
    <w:rsid w:val="00ED2EFB"/>
    <w:rsid w:val="00F420AB"/>
    <w:rsid w:val="00F775D2"/>
    <w:rsid w:val="00F90C52"/>
    <w:rsid w:val="00FB5742"/>
    <w:rsid w:val="00FD6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66E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1168"/>
  </w:style>
  <w:style w:type="paragraph" w:styleId="a8">
    <w:name w:val="footer"/>
    <w:basedOn w:val="a"/>
    <w:link w:val="a9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1168"/>
  </w:style>
  <w:style w:type="character" w:styleId="aa">
    <w:name w:val="Hyperlink"/>
    <w:basedOn w:val="a0"/>
    <w:uiPriority w:val="99"/>
    <w:unhideWhenUsed/>
    <w:rsid w:val="00AA1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7D6F379-6DA2-4759-A00D-A9A34EB88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Автоэкспертиза и оценка «ИНАВЭКС» - видим все!!!</vt:lpstr>
    </vt:vector>
  </TitlesOfParts>
  <Company>Microsoft</Company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2</cp:revision>
  <dcterms:created xsi:type="dcterms:W3CDTF">2014-03-25T11:54:00Z</dcterms:created>
  <dcterms:modified xsi:type="dcterms:W3CDTF">2014-03-25T11:54:00Z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543214862</vt:i4>
  </property>
</Properties>
</file>