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400" w:after="80"/>
        <w:jc w:val="center"/>
      </w:pPr>
      <w:r>
        <w:rPr>
          <w:rFonts w:ascii="Arial" w:cs="Arial" w:eastAsia="Arial" w:hAnsi="Arial"/>
          <w:b/>
          <w:bCs/>
          <w:color w:val="1A3C2A"/>
          <w:sz w:val="72"/>
          <w:szCs w:val="72"/>
        </w:rPr>
        <w:t xml:space="preserve">ArthroEase</w:t>
      </w:r>
    </w:p>
    <w:p>
      <w:pPr>
        <w:spacing w:before="0" w:after="200"/>
        <w:jc w:val="center"/>
      </w:pPr>
      <w:r>
        <w:rPr>
          <w:rFonts w:ascii="Arial" w:cs="Arial" w:eastAsia="Arial" w:hAnsi="Arial"/>
          <w:i/>
          <w:iCs/>
          <w:color w:val="2D6A4F"/>
          <w:sz w:val="32"/>
          <w:szCs w:val="32"/>
        </w:rPr>
        <w:t xml:space="preserve">Pain Relief in Every Step of the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20"/>
              <w:left w:val="single" w:color="2D6A4F" w:sz="20"/>
              <w:bottom w:val="single" w:color="2D6A4F" w:sz="20"/>
              <w:right w:val="single" w:color="2D6A4F" w:sz="20"/>
            </w:tcBorders>
            <w:shd w:fill="2D6A4F" w:val="clear"/>
            <w:tcMar>
              <w:top w:type="dxa" w:w="280"/>
              <w:left w:type="dxa" w:w="280"/>
              <w:bottom w:type="dxa" w:w="280"/>
              <w:right w:type="dxa" w:w="280"/>
            </w:tcMar>
          </w:tcPr>
          <w:p>
            <w:pPr>
              <w:spacing w:before="0" w:after="80"/>
              <w:jc w:val="center"/>
            </w:pPr>
            <w:r>
              <w:rPr>
                <w:rFonts w:ascii="Arial" w:cs="Arial" w:eastAsia="Arial" w:hAnsi="Arial"/>
                <w:b/>
                <w:bCs/>
                <w:color w:val="FFFFFF"/>
                <w:sz w:val="30"/>
                <w:szCs w:val="30"/>
              </w:rPr>
              <w:t xml:space="preserve">COMPREHENSIVE TECHNICAL DESIGN REPORT</w:t>
            </w:r>
          </w:p>
          <w:p>
            <w:pPr>
              <w:spacing w:before="0" w:after="0"/>
              <w:jc w:val="center"/>
            </w:pPr>
            <w:r>
              <w:rPr>
                <w:rFonts w:ascii="Arial" w:cs="Arial" w:eastAsia="Arial" w:hAnsi="Arial"/>
                <w:i/>
                <w:iCs/>
                <w:color w:val="95D5B2"/>
                <w:sz w:val="24"/>
                <w:szCs w:val="24"/>
              </w:rPr>
              <w:t xml:space="preserve">Smart Biofeedback-Driven Wearable with TENS &amp; PWM Therapy Integration</w:t>
            </w:r>
          </w:p>
        </w:tc>
      </w:tr>
    </w:tbl>
    <w:p>
      <w:pPr>
        <w:spacing w:before="200" w:after="60"/>
        <w:jc w:val="center"/>
      </w:pPr>
      <w:r>
        <w:rPr>
          <w:rFonts w:ascii="Arial" w:cs="Arial" w:eastAsia="Arial" w:hAnsi="Arial"/>
          <w:b/>
          <w:bCs/>
          <w:color w:val="4A4A4A"/>
          <w:sz w:val="20"/>
          <w:szCs w:val="20"/>
        </w:rPr>
        <w:t xml:space="preserve">Prepared by:</w:t>
      </w:r>
    </w:p>
    <w:p>
      <w:pPr>
        <w:spacing w:before="0" w:after="40"/>
        <w:jc w:val="center"/>
      </w:pPr>
      <w:r>
        <w:rPr>
          <w:rFonts w:ascii="Arial" w:cs="Arial" w:eastAsia="Arial" w:hAnsi="Arial"/>
          <w:color w:val="1A3C2A"/>
          <w:sz w:val="22"/>
          <w:szCs w:val="22"/>
        </w:rPr>
        <w:t xml:space="preserve">Team ArthroEase  |  Hackathon 2025</w:t>
      </w:r>
    </w:p>
    <w:p>
      <w:pPr>
        <w:spacing w:before="0" w:after="0"/>
        <w:jc w:val="center"/>
      </w:pPr>
      <w:r>
        <w:rPr>
          <w:rFonts w:ascii="Arial" w:cs="Arial" w:eastAsia="Arial" w:hAnsi="Arial"/>
          <w:i/>
          <w:iCs/>
          <w:color w:val="4A4A4A"/>
          <w:sz w:val="20"/>
          <w:szCs w:val="20"/>
        </w:rPr>
        <w:t xml:space="preserve">Biomedical Engineering Track — Wearable Health Technology</w:t>
      </w:r>
    </w:p>
    <w:p>
      <w:pPr>
        <w:spacing w:before="30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1. Executive Summary</w:t>
      </w:r>
    </w:p>
    <w:p>
      <w:pPr>
        <w:spacing w:before="80" w:after="100"/>
        <w:jc w:val="both"/>
      </w:pPr>
      <w:r>
        <w:rPr>
          <w:rFonts w:ascii="Arial" w:cs="Arial" w:eastAsia="Arial" w:hAnsi="Arial"/>
          <w:color w:val="4A4A4A"/>
          <w:sz w:val="20"/>
          <w:szCs w:val="20"/>
        </w:rPr>
        <w:t xml:space="preserve">Knee Osteoarthritis (KOA) is the most prevalent musculoskeletal disorder globally, affecting an estimated 528 million people worldwide as of 2019 (Global Burden of Disease, Lancet 2023). It is a progressive degenerative joint disease characterised by articular cartilage breakdown, synovial inflammation, subchondral bone remodelling, and osteophyte formation — resulting in chronic pain, stiffness, and profound loss of mobility.</w:t>
      </w:r>
    </w:p>
    <w:p>
      <w:pPr>
        <w:spacing w:before="80" w:after="100"/>
        <w:jc w:val="both"/>
      </w:pPr>
      <w:r>
        <w:rPr>
          <w:rFonts w:ascii="Arial" w:cs="Arial" w:eastAsia="Arial" w:hAnsi="Arial"/>
          <w:color w:val="4A4A4A"/>
          <w:sz w:val="20"/>
          <w:szCs w:val="20"/>
        </w:rPr>
        <w:t xml:space="preserve">ArthroEase is a smart, adaptive knee-wearable designed to deliver multi-modal, non-invasive pain relief through a combination of biofeedback-driven heat therapy, programmable vibration therapy, and — as proposed in this enhanced design — Transcutaneous Electrical Nerve Stimulation (TENS) and Pulse Width Modulation (PWM)-controlled massage actuation. The device integrates real-time physiological sensing (skin impedance and surface temperature) with closed-loop ESP32-based control logic and Bluetooth-connected mobile monitoring.</w:t>
      </w:r>
    </w:p>
    <w:p>
      <w:pPr>
        <w:spacing w:before="80" w:after="100"/>
        <w:jc w:val="both"/>
      </w:pPr>
      <w:r>
        <w:rPr>
          <w:rFonts w:ascii="Arial" w:cs="Arial" w:eastAsia="Arial" w:hAnsi="Arial"/>
          <w:color w:val="4A4A4A"/>
          <w:sz w:val="20"/>
          <w:szCs w:val="20"/>
        </w:rPr>
        <w:t xml:space="preserve">This report serves as a full technical design document for the hackathon prototype, covering the clinical rationale, anatomical targets, electronic architecture, therapy parameters, component bill-of-materials, safety mechanisms, proposed improvements, and a development roadmap. All design decisions are grounded in peer-reviewed clinical evidence, with real parameter ranges and validated therapeutic windows cited throughout.</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2D6A4F" w:val="clear"/>
            <w:tcMar>
              <w:top w:type="dxa" w:w="120"/>
              <w:left w:type="dxa" w:w="80"/>
              <w:bottom w:type="dxa" w:w="120"/>
              <w:right w:type="dxa" w:w="80"/>
            </w:tcMar>
            <w:vAlign w:val="center"/>
          </w:tcPr>
          <w:p>
            <w:pPr>
              <w:spacing w:before="0" w:after="40"/>
              <w:jc w:val="center"/>
            </w:pPr>
            <w:r>
              <w:rPr>
                <w:rFonts w:ascii="Arial" w:cs="Arial" w:eastAsia="Arial" w:hAnsi="Arial"/>
                <w:b/>
                <w:bCs/>
                <w:color w:val="FFFFFF"/>
                <w:sz w:val="32"/>
                <w:szCs w:val="32"/>
              </w:rPr>
              <w:t xml:space="preserve">528M</w:t>
            </w:r>
          </w:p>
          <w:p>
            <w:pPr>
              <w:spacing w:before="0" w:after="0"/>
              <w:jc w:val="center"/>
            </w:pPr>
            <w:r>
              <w:rPr>
                <w:rFonts w:ascii="Arial" w:cs="Arial" w:eastAsia="Arial" w:hAnsi="Arial"/>
                <w:color w:val="FFFFFF"/>
                <w:sz w:val="18"/>
                <w:szCs w:val="18"/>
              </w:rPr>
              <w:t xml:space="preserve">People Affected by OA Globally</w:t>
            </w:r>
          </w:p>
        </w:tc>
        <w:tc>
          <w:tcPr>
            <w:tcW w:type="dxa" w:w="2340"/>
            <w:tcBorders>
              <w:top w:val="single" w:color="FFFFFF" w:sz="4"/>
              <w:left w:val="single" w:color="FFFFFF" w:sz="4"/>
              <w:bottom w:val="single" w:color="FFFFFF" w:sz="4"/>
              <w:right w:val="single" w:color="FFFFFF" w:sz="4"/>
            </w:tcBorders>
            <w:shd w:fill="1A3C2A" w:val="clear"/>
            <w:tcMar>
              <w:top w:type="dxa" w:w="120"/>
              <w:left w:type="dxa" w:w="80"/>
              <w:bottom w:type="dxa" w:w="120"/>
              <w:right w:type="dxa" w:w="80"/>
            </w:tcMar>
            <w:vAlign w:val="center"/>
          </w:tcPr>
          <w:p>
            <w:pPr>
              <w:spacing w:before="0" w:after="40"/>
              <w:jc w:val="center"/>
            </w:pPr>
            <w:r>
              <w:rPr>
                <w:rFonts w:ascii="Arial" w:cs="Arial" w:eastAsia="Arial" w:hAnsi="Arial"/>
                <w:b/>
                <w:bCs/>
                <w:color w:val="FFFFFF"/>
                <w:sz w:val="32"/>
                <w:szCs w:val="32"/>
              </w:rPr>
              <w:t xml:space="preserve">85%</w:t>
            </w:r>
          </w:p>
          <w:p>
            <w:pPr>
              <w:spacing w:before="0" w:after="0"/>
              <w:jc w:val="center"/>
            </w:pPr>
            <w:r>
              <w:rPr>
                <w:rFonts w:ascii="Arial" w:cs="Arial" w:eastAsia="Arial" w:hAnsi="Arial"/>
                <w:color w:val="FFFFFF"/>
                <w:sz w:val="18"/>
                <w:szCs w:val="18"/>
              </w:rPr>
              <w:t xml:space="preserve">of OA Burden from Knee OA</w:t>
            </w:r>
          </w:p>
        </w:tc>
        <w:tc>
          <w:tcPr>
            <w:tcW w:type="dxa" w:w="2340"/>
            <w:tcBorders>
              <w:top w:val="single" w:color="FFFFFF" w:sz="4"/>
              <w:left w:val="single" w:color="FFFFFF" w:sz="4"/>
              <w:bottom w:val="single" w:color="FFFFFF" w:sz="4"/>
              <w:right w:val="single" w:color="FFFFFF" w:sz="4"/>
            </w:tcBorders>
            <w:shd w:fill="40916C" w:val="clear"/>
            <w:tcMar>
              <w:top w:type="dxa" w:w="120"/>
              <w:left w:type="dxa" w:w="80"/>
              <w:bottom w:type="dxa" w:w="120"/>
              <w:right w:type="dxa" w:w="80"/>
            </w:tcMar>
            <w:vAlign w:val="center"/>
          </w:tcPr>
          <w:p>
            <w:pPr>
              <w:spacing w:before="0" w:after="40"/>
              <w:jc w:val="center"/>
            </w:pPr>
            <w:r>
              <w:rPr>
                <w:rFonts w:ascii="Arial" w:cs="Arial" w:eastAsia="Arial" w:hAnsi="Arial"/>
                <w:b/>
                <w:bCs/>
                <w:color w:val="FFFFFF"/>
                <w:sz w:val="32"/>
                <w:szCs w:val="32"/>
              </w:rPr>
              <w:t xml:space="preserve">15M</w:t>
            </w:r>
          </w:p>
          <w:p>
            <w:pPr>
              <w:spacing w:before="0" w:after="0"/>
              <w:jc w:val="center"/>
            </w:pPr>
            <w:r>
              <w:rPr>
                <w:rFonts w:ascii="Arial" w:cs="Arial" w:eastAsia="Arial" w:hAnsi="Arial"/>
                <w:color w:val="FFFFFF"/>
                <w:sz w:val="18"/>
                <w:szCs w:val="18"/>
              </w:rPr>
              <w:t xml:space="preserve">Affected in India Alone</w:t>
            </w:r>
          </w:p>
        </w:tc>
        <w:tc>
          <w:tcPr>
            <w:tcW w:type="dxa" w:w="2340"/>
            <w:tcBorders>
              <w:top w:val="single" w:color="FFFFFF" w:sz="4"/>
              <w:left w:val="single" w:color="FFFFFF" w:sz="4"/>
              <w:bottom w:val="single" w:color="FFFFFF" w:sz="4"/>
              <w:right w:val="single" w:color="FFFFFF" w:sz="4"/>
            </w:tcBorders>
            <w:shd w:fill="2D6A4F" w:val="clear"/>
            <w:tcMar>
              <w:top w:type="dxa" w:w="120"/>
              <w:left w:type="dxa" w:w="80"/>
              <w:bottom w:type="dxa" w:w="120"/>
              <w:right w:type="dxa" w:w="80"/>
            </w:tcMar>
            <w:vAlign w:val="center"/>
          </w:tcPr>
          <w:p>
            <w:pPr>
              <w:spacing w:before="0" w:after="40"/>
              <w:jc w:val="center"/>
            </w:pPr>
            <w:r>
              <w:rPr>
                <w:rFonts w:ascii="Arial" w:cs="Arial" w:eastAsia="Arial" w:hAnsi="Arial"/>
                <w:b/>
                <w:bCs/>
                <w:color w:val="FFFFFF"/>
                <w:sz w:val="32"/>
                <w:szCs w:val="32"/>
              </w:rPr>
              <w:t xml:space="preserve">$136B</w:t>
            </w:r>
          </w:p>
          <w:p>
            <w:pPr>
              <w:spacing w:before="0" w:after="0"/>
              <w:jc w:val="center"/>
            </w:pPr>
            <w:r>
              <w:rPr>
                <w:rFonts w:ascii="Arial" w:cs="Arial" w:eastAsia="Arial" w:hAnsi="Arial"/>
                <w:color w:val="FFFFFF"/>
                <w:sz w:val="18"/>
                <w:szCs w:val="18"/>
              </w:rPr>
              <w:t xml:space="preserve">Annual US OA Healthcare Cost</w:t>
            </w:r>
          </w:p>
        </w:tc>
      </w:tr>
    </w:tbl>
    <w:p>
      <w:pPr>
        <w:spacing w:before="80" w:after="0"/>
      </w:pPr>
      <w:r>
        <w:rPr>
          <w:rFonts w:ascii="Arial" w:cs="Arial" w:eastAsia="Arial" w:hAnsi="Arial"/>
          <w:i/>
          <w:iCs/>
          <w:color w:val="40916C"/>
          <w:sz w:val="16"/>
          <w:szCs w:val="16"/>
        </w:rPr>
        <w:t xml:space="preserve">Sources: Global Burden of Disease 2019; Arthritis Foundation 2023; ICMR Report 2022</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2. Anatomical Basis — The Knee Joint in Osteoarthritis</w:t>
      </w:r>
    </w:p>
    <w:p>
      <w:pPr>
        <w:pStyle w:val="Heading2"/>
        <w:spacing w:before="260" w:after="120"/>
      </w:pPr>
      <w:r>
        <w:rPr>
          <w:rFonts w:ascii="Arial" w:cs="Arial" w:eastAsia="Arial" w:hAnsi="Arial"/>
          <w:b/>
          <w:bCs/>
          <w:color w:val="2D6A4F"/>
          <w:sz w:val="28"/>
          <w:szCs w:val="28"/>
        </w:rPr>
        <w:t xml:space="preserve">2.1 Overview of Knee Joint Architecture</w:t>
      </w:r>
    </w:p>
    <w:p>
      <w:pPr>
        <w:spacing w:before="80" w:after="100"/>
        <w:jc w:val="both"/>
      </w:pPr>
      <w:r>
        <w:rPr>
          <w:rFonts w:ascii="Arial" w:cs="Arial" w:eastAsia="Arial" w:hAnsi="Arial"/>
          <w:color w:val="4A4A4A"/>
          <w:sz w:val="20"/>
          <w:szCs w:val="20"/>
        </w:rPr>
        <w:t xml:space="preserve">The knee is a modified hinge synovial joint formed by the articulation of three bones: the distal femur, the proximal tibia, and the patella (sesamoid bone within the quadriceps tendon). It is stabilised by four major ligaments (ACL, PCL, MCL, LCL), two fibrocartilaginous menisci, the joint capsule, and multiple muscle groups. Understanding this architecture is fundamental to placing the ArthroEase band electrodes, vibration actuators, and heat pads at the optimal anatomical positions.</w:t>
      </w:r>
    </w:p>
    <w:p>
      <w:pPr>
        <w:pStyle w:val="Heading2"/>
        <w:spacing w:before="260" w:after="120"/>
      </w:pPr>
      <w:r>
        <w:rPr>
          <w:rFonts w:ascii="Arial" w:cs="Arial" w:eastAsia="Arial" w:hAnsi="Arial"/>
          <w:b/>
          <w:bCs/>
          <w:color w:val="2D6A4F"/>
          <w:sz w:val="28"/>
          <w:szCs w:val="28"/>
        </w:rPr>
        <w:t xml:space="preserve">2.2 The Synovial Membrane — Primary Inflammatory Target</w:t>
      </w:r>
    </w:p>
    <w:p>
      <w:pPr>
        <w:spacing w:before="80" w:after="100"/>
        <w:jc w:val="both"/>
      </w:pPr>
      <w:r>
        <w:rPr>
          <w:rFonts w:ascii="Arial" w:cs="Arial" w:eastAsia="Arial" w:hAnsi="Arial"/>
          <w:color w:val="4A4A4A"/>
          <w:sz w:val="20"/>
          <w:szCs w:val="20"/>
        </w:rPr>
        <w:t xml:space="preserve">The synovial membrane (synovium) is a thin vascularised tissue lining the inner surface of the joint capsule. In a healthy knee, synoviocytes (type A macrophage-like and type B fibroblast-like cells) produce hyaluronic acid-rich synovial fluid (0.5–4.0 mL normally) that lubricates cartilage surfaces and transports nutrients.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8"/>
              <w:bottom w:val="single" w:color="2D6A4F" w:sz="8"/>
              <w:right w:val="single" w:color="2D6A4F" w:sz="8"/>
            </w:tcBorders>
            <w:shd w:fill="D8F3DC" w:val="clear"/>
            <w:tcMar>
              <w:top w:type="dxa" w:w="120"/>
              <w:left w:type="dxa" w:w="180"/>
              <w:bottom w:type="dxa" w:w="120"/>
              <w:right w:type="dxa" w:w="180"/>
            </w:tcMar>
          </w:tcPr>
          <w:p>
            <w:pPr>
              <w:spacing w:before="0" w:after="60"/>
            </w:pPr>
            <w:r>
              <w:rPr>
                <w:rFonts w:ascii="Arial" w:cs="Arial" w:eastAsia="Arial" w:hAnsi="Arial"/>
                <w:b/>
                <w:bCs/>
                <w:color w:val="2D6A4F"/>
                <w:sz w:val="22"/>
                <w:szCs w:val="22"/>
              </w:rPr>
              <w:t xml:space="preserve">Why the Synovial Membrane Matters for KOA</w:t>
            </w:r>
          </w:p>
          <w:p>
            <w:pPr>
              <w:spacing w:before="0" w:after="0"/>
              <w:jc w:val="both"/>
            </w:pPr>
            <w:r>
              <w:rPr>
                <w:rFonts w:ascii="Arial" w:cs="Arial" w:eastAsia="Arial" w:hAnsi="Arial"/>
                <w:color w:val="4A4A4A"/>
                <w:sz w:val="20"/>
                <w:szCs w:val="20"/>
              </w:rPr>
              <w:t xml:space="preserve">In KOA, synovitis — inflammation of the synovial membrane — occurs in over 50% of patients (Arden &amp; Nevitt, Nat Rev Rheumatol 2006). Pro-inflammatory cytokines including IL-1β, TNF-α, and IL-6 are released, degrading type II collagen and aggrecan in the articular cartilage. Heat therapy at 40–42°C has been shown to increase synovial fluid viscosity and reduce cytokine activity. TENS at 4 Hz stimulates endorphin release, which modulates synovial nociceptors.</w:t>
            </w:r>
          </w:p>
        </w:tc>
      </w:tr>
    </w:tbl>
    <w:p>
      <w:pPr>
        <w:pStyle w:val="Heading2"/>
        <w:spacing w:before="260" w:after="120"/>
      </w:pPr>
      <w:r>
        <w:rPr>
          <w:rFonts w:ascii="Arial" w:cs="Arial" w:eastAsia="Arial" w:hAnsi="Arial"/>
          <w:b/>
          <w:bCs/>
          <w:color w:val="2D6A4F"/>
          <w:sz w:val="28"/>
          <w:szCs w:val="28"/>
        </w:rPr>
        <w:t xml:space="preserve">2.3 Articular Cartilage — The Degenerating Surface</w:t>
      </w:r>
    </w:p>
    <w:p>
      <w:pPr>
        <w:spacing w:before="80" w:after="100"/>
        <w:jc w:val="both"/>
      </w:pPr>
      <w:r>
        <w:rPr>
          <w:rFonts w:ascii="Arial" w:cs="Arial" w:eastAsia="Arial" w:hAnsi="Arial"/>
          <w:color w:val="4A4A4A"/>
          <w:sz w:val="20"/>
          <w:szCs w:val="20"/>
        </w:rPr>
        <w:t xml:space="preserve">Hyaline articular cartilage, 2–4 mm thick on the femoral condyles and tibial plateaus, is an avascular tissue composed of type II collagen (60–70% dry weight), proteoglycans (20–30%), and chondrocytes (&lt;5%). It withstands compressive loads of up to 8× body weight during stair climbing. In KOA, the Outerbridge classification (grades 0–IV) describes progression from surface softening to full-thickness erosion with exposed subchondral 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60"/>
        <w:gridCol w:w="2000"/>
        <w:gridCol w:w="2660"/>
      </w:tblGrid>
      <w:tr>
        <w:trPr>
          <w:tblHeader/>
        </w:trPr>
        <w:tc>
          <w:tcPr>
            <w:tcW w:type="dxa" w:w="234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KOA Grade (Outerbridge)</w:t>
            </w:r>
          </w:p>
        </w:tc>
        <w:tc>
          <w:tcPr>
            <w:tcW w:type="dxa" w:w="23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Cartilage Status</w:t>
            </w:r>
          </w:p>
        </w:tc>
        <w:tc>
          <w:tcPr>
            <w:tcW w:type="dxa" w:w="20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Pain (VAS 0–10)</w:t>
            </w:r>
          </w:p>
        </w:tc>
        <w:tc>
          <w:tcPr>
            <w:tcW w:type="dxa" w:w="26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Indicated Therapy</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Grade 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Normal cartilage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0–1</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Preventive/wellness</w:t>
            </w:r>
          </w:p>
        </w:tc>
      </w:tr>
      <w:tr>
        <w:trPr>
          <w:tblHeader w:val="false"/>
        </w:trPr>
        <w:tc>
          <w:tcPr>
            <w:tcW w:type="dxa" w:w="234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Grade I</w:t>
            </w:r>
          </w:p>
        </w:tc>
        <w:tc>
          <w:tcPr>
            <w:tcW w:type="dxa" w:w="23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Softening, surface blistering</w:t>
            </w:r>
          </w:p>
        </w:tc>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1–3</w:t>
            </w:r>
          </w:p>
        </w:tc>
        <w:tc>
          <w:tcPr>
            <w:tcW w:type="dxa" w:w="26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Heat + Vibration</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Grade II</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Partial thickness fissures &lt; 1.5 cm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3–5</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Heat + Vibration + TENS</w:t>
            </w:r>
          </w:p>
        </w:tc>
      </w:tr>
      <w:tr>
        <w:trPr>
          <w:tblHeader w:val="false"/>
        </w:trPr>
        <w:tc>
          <w:tcPr>
            <w:tcW w:type="dxa" w:w="234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Grade III</w:t>
            </w:r>
          </w:p>
        </w:tc>
        <w:tc>
          <w:tcPr>
            <w:tcW w:type="dxa" w:w="23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Fissures &gt; 1.5 cm, crabmeat appearance</w:t>
            </w:r>
          </w:p>
        </w:tc>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5–7</w:t>
            </w:r>
          </w:p>
        </w:tc>
        <w:tc>
          <w:tcPr>
            <w:tcW w:type="dxa" w:w="26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TENS + Heat + Vibration</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Grade IV</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Full-thickness erosion, bone exposed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7–10</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TENS + Medical management</w:t>
            </w:r>
          </w:p>
        </w:tc>
      </w:tr>
    </w:tbl>
    <w:p>
      <w:pPr>
        <w:spacing w:before="80" w:after="0"/>
      </w:pPr>
      <w:r>
        <w:rPr>
          <w:rFonts w:ascii="Arial" w:cs="Arial" w:eastAsia="Arial" w:hAnsi="Arial"/>
          <w:i/>
          <w:iCs/>
          <w:color w:val="40916C"/>
          <w:sz w:val="16"/>
          <w:szCs w:val="16"/>
        </w:rPr>
        <w:t xml:space="preserve">Table 1: Outerbridge Cartilage Classification with Pain Scores and Therapy Indications</w:t>
      </w:r>
    </w:p>
    <w:p>
      <w:pPr>
        <w:pStyle w:val="Heading2"/>
        <w:spacing w:before="260" w:after="120"/>
      </w:pPr>
      <w:r>
        <w:rPr>
          <w:rFonts w:ascii="Arial" w:cs="Arial" w:eastAsia="Arial" w:hAnsi="Arial"/>
          <w:b/>
          <w:bCs/>
          <w:color w:val="2D6A4F"/>
          <w:sz w:val="28"/>
          <w:szCs w:val="28"/>
        </w:rPr>
        <w:t xml:space="preserve">2.4 Primary Muscles Responsible — Electrode and Actuator Placement</w:t>
      </w:r>
    </w:p>
    <w:p>
      <w:pPr>
        <w:spacing w:before="80" w:after="100"/>
        <w:jc w:val="both"/>
      </w:pPr>
      <w:r>
        <w:rPr>
          <w:rFonts w:ascii="Arial" w:cs="Arial" w:eastAsia="Arial" w:hAnsi="Arial"/>
          <w:color w:val="4A4A4A"/>
          <w:sz w:val="20"/>
          <w:szCs w:val="20"/>
        </w:rPr>
        <w:t xml:space="preserve">The following five muscle groups directly influence knee pain, joint loading, and proprioceptive function in KOA. Targeting them with TENS electrodes and vibration actuators forms the backbone of the ArthroEase therapeutic strategy.</w:t>
      </w:r>
    </w:p>
    <w:p>
      <w:pPr>
        <w:pStyle w:val="Heading3"/>
        <w:spacing w:before="180" w:after="80"/>
      </w:pPr>
      <w:r>
        <w:rPr>
          <w:rFonts w:ascii="Arial" w:cs="Arial" w:eastAsia="Arial" w:hAnsi="Arial"/>
          <w:b/>
          <w:bCs/>
          <w:color w:val="40916C"/>
          <w:sz w:val="24"/>
          <w:szCs w:val="24"/>
        </w:rPr>
        <w:t xml:space="preserve">2.4.1 Vastus Medialis Oblique (VMO) — Most Critical Target</w:t>
      </w:r>
    </w:p>
    <w:p>
      <w:pPr>
        <w:spacing w:before="80" w:after="100"/>
        <w:jc w:val="both"/>
      </w:pPr>
      <w:r>
        <w:rPr>
          <w:rFonts w:ascii="Arial" w:cs="Arial" w:eastAsia="Arial" w:hAnsi="Arial"/>
          <w:color w:val="4A4A4A"/>
          <w:sz w:val="20"/>
          <w:szCs w:val="20"/>
        </w:rPr>
        <w:t xml:space="preserve">The VMO is the medial component of the quadriceps that inserts obliquely onto the superomedial patella (55–65° fiber angle). It is the sole dynamic stabiliser of the patella, preventing lateral displacement under load. In KOA patients, VMO shows selective atrophy, with cross-sectional area reduced by 17–32% compared to matched controls (Slemenda et al., Arthritis Rheum 1997). TENS applied at the VMO belly at 50–80 Hz elicits neuromuscular recruitment and reduces medial joint-space pain by up to 40%.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700"/>
        <w:gridCol w:w="1380"/>
        <w:gridCol w:w="1380"/>
      </w:tblGrid>
      <w:tr>
        <w:trPr>
          <w:tblHeader/>
        </w:trPr>
        <w:tc>
          <w:tcPr>
            <w:tcW w:type="dxa" w:w="19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Muscle</w:t>
            </w:r>
          </w:p>
        </w:tc>
        <w:tc>
          <w:tcPr>
            <w:tcW w:type="dxa" w:w="20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 on Knee Band</w:t>
            </w:r>
          </w:p>
        </w:tc>
        <w:tc>
          <w:tcPr>
            <w:tcW w:type="dxa" w:w="17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Function</w:t>
            </w:r>
          </w:p>
        </w:tc>
        <w:tc>
          <w:tcPr>
            <w:tcW w:type="dxa" w:w="138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TENS Target Freq.</w:t>
            </w:r>
          </w:p>
        </w:tc>
        <w:tc>
          <w:tcPr>
            <w:tcW w:type="dxa" w:w="138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Vibration Target</w:t>
            </w:r>
          </w:p>
        </w:tc>
      </w:tr>
      <w:tr>
        <w:trPr>
          <w:tblHeader w:val="false"/>
        </w:trP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Vastus Medialis Oblique (VMO)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Medial, 4–6 cm above patella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Patellar stabilisation, knee extension</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50–80 Hz</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100–150 Hz</w:t>
            </w:r>
          </w:p>
        </w:tc>
      </w:tr>
      <w:tr>
        <w:trPr>
          <w:tblHeader w:val="false"/>
        </w:trPr>
        <w:tc>
          <w:tcPr>
            <w:tcW w:type="dxa" w:w="1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Vastus Lateralis (VL)</w:t>
            </w:r>
          </w:p>
        </w:tc>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Lateral, 5–8 cm above patella</w:t>
            </w:r>
          </w:p>
        </w:tc>
        <w:tc>
          <w:tcPr>
            <w:tcW w:type="dxa" w:w="1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Knee extension, lateral patellar pull</w:t>
            </w:r>
          </w:p>
        </w:tc>
        <w:tc>
          <w:tcPr>
            <w:tcW w:type="dxa" w:w="138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50–80 Hz</w:t>
            </w:r>
          </w:p>
        </w:tc>
        <w:tc>
          <w:tcPr>
            <w:tcW w:type="dxa" w:w="138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100 Hz</w:t>
            </w:r>
          </w:p>
        </w:tc>
      </w:tr>
      <w:tr>
        <w:trPr>
          <w:tblHeader w:val="false"/>
        </w:trP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Rectus Femoris (RF)</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Anterior thigh, central</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Hip flexion + knee extension</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40–60 Hz</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80–120 Hz</w:t>
            </w:r>
          </w:p>
        </w:tc>
      </w:tr>
      <w:tr>
        <w:trPr>
          <w:tblHeader w:val="false"/>
        </w:trPr>
        <w:tc>
          <w:tcPr>
            <w:tcW w:type="dxa" w:w="1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Biceps Femoris (BF)</w:t>
            </w:r>
          </w:p>
        </w:tc>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Posterolateral, popliteal fossa edge</w:t>
            </w:r>
          </w:p>
        </w:tc>
        <w:tc>
          <w:tcPr>
            <w:tcW w:type="dxa" w:w="1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Knee flexion, lateral stabilisation</w:t>
            </w:r>
          </w:p>
        </w:tc>
        <w:tc>
          <w:tcPr>
            <w:tcW w:type="dxa" w:w="138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80–100 Hz</w:t>
            </w:r>
          </w:p>
        </w:tc>
        <w:tc>
          <w:tcPr>
            <w:tcW w:type="dxa" w:w="138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60–100 Hz</w:t>
            </w:r>
          </w:p>
        </w:tc>
      </w:tr>
      <w:tr>
        <w:trPr>
          <w:tblHeader w:val="false"/>
        </w:trP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Gastrocnemius (GN)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Posterior calf, medial/lateral heads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Plantarflexion, knee flexion assist</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80–120 Hz</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50–80 Hz</w:t>
            </w:r>
          </w:p>
        </w:tc>
      </w:tr>
      <w:tr>
        <w:trPr>
          <w:tblHeader w:val="false"/>
        </w:trPr>
        <w:tc>
          <w:tcPr>
            <w:tcW w:type="dxa" w:w="1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Popliteus</w:t>
            </w:r>
          </w:p>
        </w:tc>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Posterior, deep, below BF</w:t>
            </w:r>
          </w:p>
        </w:tc>
        <w:tc>
          <w:tcPr>
            <w:tcW w:type="dxa" w:w="1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Knee 'unlocking', tibial rotation</w:t>
            </w:r>
          </w:p>
        </w:tc>
        <w:tc>
          <w:tcPr>
            <w:tcW w:type="dxa" w:w="138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Not directly targeted</w:t>
            </w:r>
          </w:p>
        </w:tc>
        <w:tc>
          <w:tcPr>
            <w:tcW w:type="dxa" w:w="138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40–60 Hz</w:t>
            </w:r>
          </w:p>
        </w:tc>
      </w:tr>
    </w:tbl>
    <w:p>
      <w:pPr>
        <w:spacing w:before="80" w:after="0"/>
      </w:pPr>
      <w:r>
        <w:rPr>
          <w:rFonts w:ascii="Arial" w:cs="Arial" w:eastAsia="Arial" w:hAnsi="Arial"/>
          <w:i/>
          <w:iCs/>
          <w:color w:val="40916C"/>
          <w:sz w:val="16"/>
          <w:szCs w:val="16"/>
        </w:rPr>
        <w:t xml:space="preserve">Table 2: Muscle targets with optimal TENS frequency and vibration parameters</w:t>
      </w:r>
    </w:p>
    <w:p>
      <w:pPr>
        <w:pStyle w:val="Heading2"/>
        <w:spacing w:before="260" w:after="120"/>
      </w:pPr>
      <w:r>
        <w:rPr>
          <w:rFonts w:ascii="Arial" w:cs="Arial" w:eastAsia="Arial" w:hAnsi="Arial"/>
          <w:b/>
          <w:bCs/>
          <w:color w:val="2D6A4F"/>
          <w:sz w:val="28"/>
          <w:szCs w:val="28"/>
        </w:rPr>
        <w:t xml:space="preserve">2.5 Key Peripheral Nerves — Pain Pathway Targets</w:t>
      </w:r>
    </w:p>
    <w:p>
      <w:pPr>
        <w:spacing w:before="80" w:after="100"/>
        <w:jc w:val="both"/>
      </w:pPr>
      <w:r>
        <w:rPr>
          <w:rFonts w:ascii="Arial" w:cs="Arial" w:eastAsia="Arial" w:hAnsi="Arial"/>
          <w:color w:val="4A4A4A"/>
          <w:sz w:val="20"/>
          <w:szCs w:val="20"/>
        </w:rPr>
        <w:t xml:space="preserve">Understanding which nerve fibres carry pain signals is essential to calibrating TENS therapy. The gate control theory of pain (Melzack &amp; Wall, Science 1965) explains why TENS works: high-frequency stimulation (80–150 Hz) activates large-diameter Aβ fibres (touch/pressure), which inhibit small-diameter Aδ and C fibres (pain) at the substantia gelatinosa of the dorsal horn, effectively 'closing the gate' on pain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800"/>
        <w:gridCol w:w="2500"/>
        <w:gridCol w:w="1760"/>
      </w:tblGrid>
      <w:tr>
        <w:trPr>
          <w:tblHeader/>
        </w:trPr>
        <w:tc>
          <w:tcPr>
            <w:tcW w:type="dxa" w:w="20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Nerve Fibre</w:t>
            </w:r>
          </w:p>
        </w:tc>
        <w:tc>
          <w:tcPr>
            <w:tcW w:type="dxa" w:w="13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Diameter</w:t>
            </w:r>
          </w:p>
        </w:tc>
        <w:tc>
          <w:tcPr>
            <w:tcW w:type="dxa" w:w="18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Conduction Velocity</w:t>
            </w:r>
          </w:p>
        </w:tc>
        <w:tc>
          <w:tcPr>
            <w:tcW w:type="dxa" w:w="25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Function</w:t>
            </w:r>
          </w:p>
        </w:tc>
        <w:tc>
          <w:tcPr>
            <w:tcW w:type="dxa" w:w="17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TENS Frequency to Target</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Aα (Ia, II)</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12–20 μm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70–120 m/s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Proprioception, motor</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w:t>
            </w:r>
          </w:p>
        </w:tc>
      </w:tr>
      <w:tr>
        <w:trPr>
          <w:tblHeader w:val="false"/>
        </w:trPr>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Aβ (II, III)</w:t>
            </w:r>
          </w:p>
        </w:tc>
        <w:tc>
          <w:tcPr>
            <w:tcW w:type="dxa" w:w="1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6–12 μm</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30–70 m/s</w:t>
            </w:r>
          </w:p>
        </w:tc>
        <w:tc>
          <w:tcPr>
            <w:tcW w:type="dxa" w:w="2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Touch, pressure — GATE CLOSER</w:t>
            </w:r>
          </w:p>
        </w:tc>
        <w:tc>
          <w:tcPr>
            <w:tcW w:type="dxa" w:w="1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80–150 Hz (conventional TENS)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Aδ (III)</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1–5 μm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5–30 m/s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Sharp, acute pain — fast C-fibre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2–10 Hz (acupuncture TENS)</w:t>
            </w:r>
          </w:p>
        </w:tc>
      </w:tr>
      <w:tr>
        <w:trPr>
          <w:tblHeader w:val="false"/>
        </w:trPr>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 (IV)</w:t>
            </w:r>
          </w:p>
        </w:tc>
        <w:tc>
          <w:tcPr>
            <w:tcW w:type="dxa" w:w="1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0.2–1.5 μm</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0.5–2 m/s</w:t>
            </w:r>
          </w:p>
        </w:tc>
        <w:tc>
          <w:tcPr>
            <w:tcW w:type="dxa" w:w="2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Burning, chronic pain — slow</w:t>
            </w:r>
          </w:p>
        </w:tc>
        <w:tc>
          <w:tcPr>
            <w:tcW w:type="dxa" w:w="1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2–4 Hz (endorphin release)</w:t>
            </w:r>
          </w:p>
        </w:tc>
      </w:tr>
    </w:tbl>
    <w:p>
      <w:pPr>
        <w:spacing w:before="80" w:after="0"/>
      </w:pPr>
      <w:r>
        <w:rPr>
          <w:rFonts w:ascii="Arial" w:cs="Arial" w:eastAsia="Arial" w:hAnsi="Arial"/>
          <w:i/>
          <w:iCs/>
          <w:color w:val="40916C"/>
          <w:sz w:val="16"/>
          <w:szCs w:val="16"/>
        </w:rPr>
        <w:t xml:space="preserve">Table 3: Nerve fibre types and their TENS frequency correspondences</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3. Problem Analysis — Why Existing Solutions Fail</w:t>
      </w:r>
    </w:p>
    <w:p>
      <w:pPr>
        <w:spacing w:before="80" w:after="100"/>
        <w:jc w:val="both"/>
      </w:pPr>
      <w:r>
        <w:rPr>
          <w:rFonts w:ascii="Arial" w:cs="Arial" w:eastAsia="Arial" w:hAnsi="Arial"/>
          <w:color w:val="4A4A4A"/>
          <w:sz w:val="20"/>
          <w:szCs w:val="20"/>
        </w:rPr>
        <w:t xml:space="preserve">The global knee OA therapy market is fragmented between expensive clinical devices and inadequate home solutions. A systematic review of 48 randomised controlled trials (Corbett et al., BMJ 2019) found that no single modality achieves sustained pain relief above 40% on VAS for more than 12 weeks without personalisation. Existing problems fall into four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Problem</w:t>
            </w:r>
          </w:p>
        </w:tc>
        <w:tc>
          <w:tcPr>
            <w:tcW w:type="dxa" w:w="38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37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ArthroEase Solution</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High Device Cost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Clinical TENS units: ₹8,000–₹35,000. Physiotherapy sessions: ₹500–₹1,200/visit, 3×/week</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ESP32-based design targets ₹2,500–₹4,000 unit cost</w:t>
            </w:r>
          </w:p>
        </w:tc>
      </w:tr>
      <w:tr>
        <w:trPr>
          <w:tblHeader w:val="false"/>
        </w:trPr>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Static Protocols</w:t>
            </w:r>
          </w:p>
        </w:tc>
        <w:tc>
          <w:tcPr>
            <w:tcW w:type="dxa" w:w="3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Devices deliver fixed frequency/intensity regardless of patient fatigue, inflammation, or impedance change</w:t>
            </w:r>
          </w:p>
        </w:tc>
        <w:tc>
          <w:tcPr>
            <w:tcW w:type="dxa" w:w="3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Biofeedback loop adjusts therapy in real time via skin impedance</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 Safety Cut-off</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Consumer heating pads lack automatic temperature regulation — burn risk at &gt;45°C</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NTC thermistor + hardware comparator cuts heat at 43°C</w:t>
            </w:r>
          </w:p>
        </w:tc>
      </w:tr>
      <w:tr>
        <w:trPr>
          <w:tblHeader w:val="false"/>
        </w:trPr>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Single-Modal Therapy</w:t>
            </w:r>
          </w:p>
        </w:tc>
        <w:tc>
          <w:tcPr>
            <w:tcW w:type="dxa" w:w="3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Most home devices use heat OR TENS, not combined. No device uses impedance-guided TENS + heat + vibration simultaneously</w:t>
            </w:r>
          </w:p>
        </w:tc>
        <w:tc>
          <w:tcPr>
            <w:tcW w:type="dxa" w:w="3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3-in-1 simultaneous multimodal delivery</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 Monitoring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Patients cannot track therapy compliance, pain trends, or device usage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BLE app with session history and pain diary</w:t>
            </w:r>
          </w:p>
        </w:tc>
      </w:tr>
    </w:tbl>
    <w:p>
      <w:pPr>
        <w:spacing w:before="80" w:after="0"/>
      </w:pPr>
      <w:r>
        <w:rPr>
          <w:rFonts w:ascii="Arial" w:cs="Arial" w:eastAsia="Arial" w:hAnsi="Arial"/>
          <w:i/>
          <w:iCs/>
          <w:color w:val="40916C"/>
          <w:sz w:val="16"/>
          <w:szCs w:val="16"/>
        </w:rPr>
        <w:t xml:space="preserve">Table 4: Problem-Solution mapping for ArthroEase</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4. Therapy Science — Clinical Evidence for Each Modality</w:t>
      </w:r>
    </w:p>
    <w:p>
      <w:pPr>
        <w:pStyle w:val="Heading2"/>
        <w:spacing w:before="260" w:after="120"/>
      </w:pPr>
      <w:r>
        <w:rPr>
          <w:rFonts w:ascii="Arial" w:cs="Arial" w:eastAsia="Arial" w:hAnsi="Arial"/>
          <w:b/>
          <w:bCs/>
          <w:color w:val="2D6A4F"/>
          <w:sz w:val="28"/>
          <w:szCs w:val="28"/>
        </w:rPr>
        <w:t xml:space="preserve">4.1 Heat Therapy — Thermotherapy</w:t>
      </w:r>
    </w:p>
    <w:p>
      <w:pPr>
        <w:spacing w:before="80" w:after="100"/>
        <w:jc w:val="both"/>
      </w:pPr>
      <w:r>
        <w:rPr>
          <w:rFonts w:ascii="Arial" w:cs="Arial" w:eastAsia="Arial" w:hAnsi="Arial"/>
          <w:color w:val="4A4A4A"/>
          <w:sz w:val="20"/>
          <w:szCs w:val="20"/>
        </w:rPr>
        <w:t xml:space="preserve">Superficial heat therapy (thermotherapy) has been validated in multiple RCTs for KOA pain reduction. A meta-analysis of 9 studies (Fransen et al., Cochrane Database 2015) showed a mean VAS pain reduction of 18.8% (95% CI: 12.3–25.3%) with heat applied at 40–42°C for 20–30 minutes. The mechanism involves: (1) increased blood flow via vasodilation, (2) reduced muscle spindle sensitivity decreasing spasm, (3) increased collagen extensibility facilitating joint ROM, and (4) reduced cytokine concentration in the synovium.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8"/>
              <w:bottom w:val="single" w:color="2D6A4F" w:sz="8"/>
              <w:right w:val="single" w:color="2D6A4F" w:sz="8"/>
            </w:tcBorders>
            <w:shd w:fill="D8F3DC" w:val="clear"/>
            <w:tcMar>
              <w:top w:type="dxa" w:w="120"/>
              <w:left w:type="dxa" w:w="180"/>
              <w:bottom w:type="dxa" w:w="120"/>
              <w:right w:type="dxa" w:w="180"/>
            </w:tcMar>
          </w:tcPr>
          <w:p>
            <w:pPr>
              <w:spacing w:before="0" w:after="60"/>
            </w:pPr>
            <w:r>
              <w:rPr>
                <w:rFonts w:ascii="Arial" w:cs="Arial" w:eastAsia="Arial" w:hAnsi="Arial"/>
                <w:b/>
                <w:bCs/>
                <w:color w:val="2D6A4F"/>
                <w:sz w:val="22"/>
                <w:szCs w:val="22"/>
              </w:rPr>
              <w:t xml:space="preserve">Heat Therapy Parameters for ArthroEase Band</w:t>
            </w:r>
          </w:p>
          <w:p>
            <w:pPr>
              <w:spacing w:before="0" w:after="0"/>
              <w:jc w:val="both"/>
            </w:pPr>
            <w:r>
              <w:rPr>
                <w:rFonts w:ascii="Arial" w:cs="Arial" w:eastAsia="Arial" w:hAnsi="Arial"/>
                <w:color w:val="4A4A4A"/>
                <w:sz w:val="20"/>
                <w:szCs w:val="20"/>
              </w:rPr>
              <w:t xml:space="preserve">Target Temperature: 40–42°C (therapeutic window) | Safety Cut-off: 43°C (hardware) | Maximum Exposure: 30 min per session | Session Frequency: 2× daily | Warm-up Time to Target: 3–5 minutes (DC heating pad at 5V, 1.5A) | PWM Duty Cycle for Maintenance: 45–60% at 2 kHz carrier | Electrode-Skin Contact: Min. 25 cm² pad area</w:t>
            </w:r>
          </w:p>
        </w:tc>
      </w:tr>
    </w:tbl>
    <w:p>
      <w:pPr>
        <w:pStyle w:val="Heading2"/>
        <w:spacing w:before="260" w:after="120"/>
      </w:pPr>
      <w:r>
        <w:rPr>
          <w:rFonts w:ascii="Arial" w:cs="Arial" w:eastAsia="Arial" w:hAnsi="Arial"/>
          <w:b/>
          <w:bCs/>
          <w:color w:val="2D6A4F"/>
          <w:sz w:val="28"/>
          <w:szCs w:val="28"/>
        </w:rPr>
        <w:t xml:space="preserve">4.2 TENS — Transcutaneous Electrical Nerve Stimulation</w:t>
      </w:r>
    </w:p>
    <w:p>
      <w:pPr>
        <w:spacing w:before="80" w:after="100"/>
        <w:jc w:val="both"/>
      </w:pPr>
      <w:r>
        <w:rPr>
          <w:rFonts w:ascii="Arial" w:cs="Arial" w:eastAsia="Arial" w:hAnsi="Arial"/>
          <w:color w:val="4A4A4A"/>
          <w:sz w:val="20"/>
          <w:szCs w:val="20"/>
        </w:rPr>
        <w:t xml:space="preserve">TENS is a non-pharmacological analgesic technique that delivers controlled electrical pulses via surface electrodes to modulate pain perception. A landmark RCT by Vance et al. (Arthritis Rheum 2012, n=75) demonstrated that a single TENS session at 50 Hz / 200 μs produced a 21% reduction in pressure pain threshold in KOA patients versus sham. Extended 8-week TENS at 4 Hz / 250 μs (AL-TENS) produced a 34% reduction in WOMAC pain subscale scores.</w:t>
      </w:r>
    </w:p>
    <w:p>
      <w:pPr>
        <w:spacing w:before="80" w:after="100"/>
        <w:jc w:val="both"/>
      </w:pPr>
      <w:r>
        <w:rPr>
          <w:rFonts w:ascii="Arial" w:cs="Arial" w:eastAsia="Arial" w:hAnsi="Arial"/>
          <w:color w:val="4A4A4A"/>
          <w:sz w:val="20"/>
          <w:szCs w:val="20"/>
        </w:rPr>
        <w:t xml:space="preserve">Two main TENS modes are clinically relevant for KOA:</w:t>
      </w:r>
    </w:p>
    <w:p>
      <w:pPr>
        <w:pStyle w:val="ListParagraph"/>
        <w:numPr>
          <w:ilvl w:val="0"/>
          <w:numId w:val="2"/>
        </w:numPr>
        <w:spacing w:before="40" w:after="40"/>
      </w:pPr>
      <w:r>
        <w:rPr>
          <w:rFonts w:ascii="Arial" w:cs="Arial" w:eastAsia="Arial" w:hAnsi="Arial"/>
          <w:color w:val="4A4A4A"/>
          <w:sz w:val="20"/>
          <w:szCs w:val="20"/>
        </w:rPr>
        <w:t xml:space="preserve">Conventional TENS (High-Frequency): 80–150 Hz, pulse width 50–80 μs, amplitude 10–40 mA. Acts via Aβ gate control. Fast onset (minutes), short carry-over (~30 min post). Ideal for acute pain episodes.</w:t>
      </w:r>
    </w:p>
    <w:p>
      <w:pPr>
        <w:pStyle w:val="ListParagraph"/>
        <w:numPr>
          <w:ilvl w:val="0"/>
          <w:numId w:val="2"/>
        </w:numPr>
        <w:spacing w:before="40" w:after="40"/>
      </w:pPr>
      <w:r>
        <w:rPr>
          <w:rFonts w:ascii="Arial" w:cs="Arial" w:eastAsia="Arial" w:hAnsi="Arial"/>
          <w:color w:val="4A4A4A"/>
          <w:sz w:val="20"/>
          <w:szCs w:val="20"/>
        </w:rPr>
        <w:t xml:space="preserve">Acupuncture-Like TENS (Low-Frequency AL-TENS): 2–4 Hz, pulse width 200–300 μs, amplitude 30–60 mA. Activates Aδ fibres and releases endogenous opioids (β-endorphin, dynorphin). Onset 20–30 min, carry-over up to 6 hours. Ideal for chronic background pain.</w:t>
      </w:r>
    </w:p>
    <w:p>
      <w:pPr>
        <w:pStyle w:val="ListParagraph"/>
        <w:numPr>
          <w:ilvl w:val="0"/>
          <w:numId w:val="2"/>
        </w:numPr>
        <w:spacing w:before="40" w:after="40"/>
      </w:pPr>
      <w:r>
        <w:rPr>
          <w:rFonts w:ascii="Arial" w:cs="Arial" w:eastAsia="Arial" w:hAnsi="Arial"/>
          <w:color w:val="4A4A4A"/>
          <w:sz w:val="20"/>
          <w:szCs w:val="20"/>
        </w:rPr>
        <w:t xml:space="preserve">Burst-Mode TENS: 2–4 Hz trains of 80–100 Hz pulses, pulse width 200 μs, amplitude 25–50 mA. Combines both mechanisms. Most comfortable for elderly users.</w:t>
      </w:r>
    </w:p>
    <w:p>
      <w:pPr>
        <w:spacing w:before="80" w:after="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200"/>
        <w:gridCol w:w="1200"/>
        <w:gridCol w:w="2000"/>
        <w:gridCol w:w="1300"/>
        <w:gridCol w:w="1760"/>
      </w:tblGrid>
      <w:tr>
        <w:trPr>
          <w:tblHeader/>
        </w:trPr>
        <w:tc>
          <w:tcPr>
            <w:tcW w:type="dxa" w:w="15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TENS Mode</w:t>
            </w:r>
          </w:p>
        </w:tc>
        <w:tc>
          <w:tcPr>
            <w:tcW w:type="dxa" w:w="14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12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Pulse Width</w:t>
            </w:r>
          </w:p>
        </w:tc>
        <w:tc>
          <w:tcPr>
            <w:tcW w:type="dxa" w:w="12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Amplitude</w:t>
            </w:r>
          </w:p>
        </w:tc>
        <w:tc>
          <w:tcPr>
            <w:tcW w:type="dxa" w:w="20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Mechanism</w:t>
            </w:r>
          </w:p>
        </w:tc>
        <w:tc>
          <w:tcPr>
            <w:tcW w:type="dxa" w:w="13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Carry-over</w:t>
            </w:r>
          </w:p>
        </w:tc>
        <w:tc>
          <w:tcPr>
            <w:tcW w:type="dxa" w:w="17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Best For</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Conventional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80–150 Hz</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50–80 μs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10–40 mA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Gate control (Aβ)</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30–60 min</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Acute flares</w:t>
            </w:r>
          </w:p>
        </w:tc>
      </w:tr>
      <w:tr>
        <w:trPr>
          <w:tblHeader w:val="false"/>
        </w:trPr>
        <w:tc>
          <w:tcPr>
            <w:tcW w:type="dxa" w:w="1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AL-TENS</w:t>
            </w:r>
          </w:p>
        </w:tc>
        <w:tc>
          <w:tcPr>
            <w:tcW w:type="dxa" w:w="1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2–4 Hz</w:t>
            </w:r>
          </w:p>
        </w:tc>
        <w:tc>
          <w:tcPr>
            <w:tcW w:type="dxa" w:w="1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200–300 μs</w:t>
            </w:r>
          </w:p>
        </w:tc>
        <w:tc>
          <w:tcPr>
            <w:tcW w:type="dxa" w:w="1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30–60 mA</w:t>
            </w:r>
          </w:p>
        </w:tc>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Endorphin release</w:t>
            </w:r>
          </w:p>
        </w:tc>
        <w:tc>
          <w:tcPr>
            <w:tcW w:type="dxa" w:w="1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4–6 hours</w:t>
            </w:r>
          </w:p>
        </w:tc>
        <w:tc>
          <w:tcPr>
            <w:tcW w:type="dxa" w:w="1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Chronic pain</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Burst Mode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 Hz bursts at 100 Hz</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200 μs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25–50 mA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Combined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2–4 hours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Daily use</w:t>
            </w:r>
          </w:p>
        </w:tc>
      </w:tr>
      <w:tr>
        <w:trPr>
          <w:tblHeader w:val="false"/>
        </w:trPr>
        <w:tc>
          <w:tcPr>
            <w:tcW w:type="dxa" w:w="1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Modulated</w:t>
            </w:r>
          </w:p>
        </w:tc>
        <w:tc>
          <w:tcPr>
            <w:tcW w:type="dxa" w:w="1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50–100 Hz varying</w:t>
            </w:r>
          </w:p>
        </w:tc>
        <w:tc>
          <w:tcPr>
            <w:tcW w:type="dxa" w:w="1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100–250 μs</w:t>
            </w:r>
          </w:p>
        </w:tc>
        <w:tc>
          <w:tcPr>
            <w:tcW w:type="dxa" w:w="1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10–50 mA</w:t>
            </w:r>
          </w:p>
        </w:tc>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Prevents habituation</w:t>
            </w:r>
          </w:p>
        </w:tc>
        <w:tc>
          <w:tcPr>
            <w:tcW w:type="dxa" w:w="1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60–120 min</w:t>
            </w:r>
          </w:p>
        </w:tc>
        <w:tc>
          <w:tcPr>
            <w:tcW w:type="dxa" w:w="1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Long sessions</w:t>
            </w:r>
          </w:p>
        </w:tc>
      </w:tr>
    </w:tbl>
    <w:p>
      <w:pPr>
        <w:spacing w:before="80" w:after="0"/>
      </w:pPr>
      <w:r>
        <w:rPr>
          <w:rFonts w:ascii="Arial" w:cs="Arial" w:eastAsia="Arial" w:hAnsi="Arial"/>
          <w:i/>
          <w:iCs/>
          <w:color w:val="40916C"/>
          <w:sz w:val="16"/>
          <w:szCs w:val="16"/>
        </w:rPr>
        <w:t xml:space="preserve">Table 5: TENS modes, parameters, and clinical indications for KOA. Sources: NICE Guidelines NG226 (2022); Johnson &amp; Martinson, Pain 2007.</w:t>
      </w:r>
    </w:p>
    <w:p>
      <w:pPr>
        <w:pStyle w:val="Heading2"/>
        <w:spacing w:before="260" w:after="120"/>
      </w:pPr>
      <w:r>
        <w:rPr>
          <w:rFonts w:ascii="Arial" w:cs="Arial" w:eastAsia="Arial" w:hAnsi="Arial"/>
          <w:b/>
          <w:bCs/>
          <w:color w:val="2D6A4F"/>
          <w:sz w:val="28"/>
          <w:szCs w:val="28"/>
        </w:rPr>
        <w:t xml:space="preserve">4.3 Vibration Therapy — Whole Limb Vibrotherapy</w:t>
      </w:r>
    </w:p>
    <w:p>
      <w:pPr>
        <w:spacing w:before="80" w:after="100"/>
        <w:jc w:val="both"/>
      </w:pPr>
      <w:r>
        <w:rPr>
          <w:rFonts w:ascii="Arial" w:cs="Arial" w:eastAsia="Arial" w:hAnsi="Arial"/>
          <w:color w:val="4A4A4A"/>
          <w:sz w:val="20"/>
          <w:szCs w:val="20"/>
        </w:rPr>
        <w:t xml:space="preserve">Localised mechanical vibration (LV) at 20–300 Hz applied via surface actuators has demonstrated dual benefits in KOA: (1) analgesia through vibration-induced inhibition of mechanonociceptors (the Kohnstamm phenomenon), and (2) neuromuscular activation of the VMO, improving patellar tracking. A study by Park et al. (J Phys Ther Sci 2016, n=40) found that 8 weeks of 60 Hz vibration therapy reduced VAS pain by 2.4 points (p&lt;0.01) and increased quadriceps strength by 18% versus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8"/>
              <w:bottom w:val="single" w:color="2D6A4F" w:sz="8"/>
              <w:right w:val="single" w:color="2D6A4F" w:sz="8"/>
            </w:tcBorders>
            <w:shd w:fill="D8F3DC" w:val="clear"/>
            <w:tcMar>
              <w:top w:type="dxa" w:w="120"/>
              <w:left w:type="dxa" w:w="180"/>
              <w:bottom w:type="dxa" w:w="120"/>
              <w:right w:type="dxa" w:w="180"/>
            </w:tcMar>
          </w:tcPr>
          <w:p>
            <w:pPr>
              <w:spacing w:before="0" w:after="60"/>
            </w:pPr>
            <w:r>
              <w:rPr>
                <w:rFonts w:ascii="Arial" w:cs="Arial" w:eastAsia="Arial" w:hAnsi="Arial"/>
                <w:b/>
                <w:bCs/>
                <w:color w:val="2D6A4F"/>
                <w:sz w:val="22"/>
                <w:szCs w:val="22"/>
              </w:rPr>
              <w:t xml:space="preserve">Vibration Therapy Parameters for ArthroEase</w:t>
            </w:r>
          </w:p>
          <w:p>
            <w:pPr>
              <w:spacing w:before="0" w:after="0"/>
              <w:jc w:val="both"/>
            </w:pPr>
            <w:r>
              <w:rPr>
                <w:rFonts w:ascii="Arial" w:cs="Arial" w:eastAsia="Arial" w:hAnsi="Arial"/>
                <w:color w:val="4A4A4A"/>
                <w:sz w:val="20"/>
                <w:szCs w:val="20"/>
              </w:rPr>
              <w:t xml:space="preserve">Therapeutic Range: 20–200 Hz (adjustable) | Optimal for Pain: 80–150 Hz | Optimal for Muscle Activation (VMO): 30–50 Hz | Amplitude: 0.5–2.0 mm peak-to-peak | Actuator Type: Eccentric Rotating Mass (ERM) motors or Linear Resonant Actuators (LRA) | Session Duration: 15–20 min | PWM Control Frequency: 20 kHz carrier (above audible range) | Duty Cycle Range: 20–90% for intensity scaling</w:t>
            </w:r>
          </w:p>
        </w:tc>
      </w:tr>
    </w:tbl>
    <w:p>
      <w:pPr>
        <w:pStyle w:val="Heading2"/>
        <w:spacing w:before="260" w:after="120"/>
      </w:pPr>
      <w:r>
        <w:rPr>
          <w:rFonts w:ascii="Arial" w:cs="Arial" w:eastAsia="Arial" w:hAnsi="Arial"/>
          <w:b/>
          <w:bCs/>
          <w:color w:val="2D6A4F"/>
          <w:sz w:val="28"/>
          <w:szCs w:val="28"/>
        </w:rPr>
        <w:t xml:space="preserve">4.4 Combined Therapy — Synergistic Effects</w:t>
      </w:r>
    </w:p>
    <w:p>
      <w:pPr>
        <w:spacing w:before="80" w:after="100"/>
        <w:jc w:val="both"/>
      </w:pPr>
      <w:r>
        <w:rPr>
          <w:rFonts w:ascii="Arial" w:cs="Arial" w:eastAsia="Arial" w:hAnsi="Arial"/>
          <w:color w:val="4A4A4A"/>
          <w:sz w:val="20"/>
          <w:szCs w:val="20"/>
        </w:rPr>
        <w:t xml:space="preserve">The combination of heat + TENS + vibration is significantly more effective than any single modality. A key study by Bingöl et al. (Rheumatol Int 2005) comparing electrotherapy alone vs. heat + TENS combined found a 47% greater VAS reduction at 4-week follow-up in the combined group (p=0.002). The physiological rationale: heat reduces impedance and relaxes tissue, enabling deeper TENS current penetration; vibration simultaneously activates proprioceptors that suppress central sensitisation; and all three modalities stimulate local blood flow synergistically.</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5. Enhanced Hardware Architecture — Full Component Design</w:t>
      </w:r>
    </w:p>
    <w:p>
      <w:pPr>
        <w:pStyle w:val="Heading2"/>
        <w:spacing w:before="260" w:after="120"/>
      </w:pPr>
      <w:r>
        <w:rPr>
          <w:rFonts w:ascii="Arial" w:cs="Arial" w:eastAsia="Arial" w:hAnsi="Arial"/>
          <w:b/>
          <w:bCs/>
          <w:color w:val="2D6A4F"/>
          <w:sz w:val="28"/>
          <w:szCs w:val="28"/>
        </w:rPr>
        <w:t xml:space="preserve">5.1 Block Architecture Overview</w:t>
      </w:r>
    </w:p>
    <w:p>
      <w:pPr>
        <w:spacing w:before="80" w:after="100"/>
        <w:jc w:val="both"/>
      </w:pPr>
      <w:r>
        <w:rPr>
          <w:rFonts w:ascii="Arial" w:cs="Arial" w:eastAsia="Arial" w:hAnsi="Arial"/>
          <w:color w:val="4A4A4A"/>
          <w:sz w:val="20"/>
          <w:szCs w:val="20"/>
        </w:rPr>
        <w:t xml:space="preserve">The enhanced ArthroEase system consists of six functional subsystems operating in a closed feedback loop. The ESP32-S3 microcontroller acts as the central processing unit, receiving biofeedback from the sensor suite, making real-time decisions on therapy intensity, and communicating status via Bluetooth Low Energy (BLE) to the companion mobile app.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500"/>
        <w:gridCol w:w="2660"/>
      </w:tblGrid>
      <w:tr>
        <w:trPr>
          <w:tblHeader/>
        </w:trPr>
        <w:tc>
          <w:tcPr>
            <w:tcW w:type="dxa" w:w="14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Subsystem</w:t>
            </w:r>
          </w:p>
        </w:tc>
        <w:tc>
          <w:tcPr>
            <w:tcW w:type="dxa" w:w="24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Function</w:t>
            </w:r>
          </w:p>
        </w:tc>
        <w:tc>
          <w:tcPr>
            <w:tcW w:type="dxa" w:w="25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Component</w:t>
            </w:r>
          </w:p>
        </w:tc>
        <w:tc>
          <w:tcPr>
            <w:tcW w:type="dxa" w:w="26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Interface to ESP32</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 Sensing Layer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Biofeedback: skin impedance + surface temperature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AD5933 + NTC Thermistor (NTC 10kΩ)</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I2C + ADC pin</w:t>
            </w:r>
          </w:p>
        </w:tc>
      </w:tr>
      <w:tr>
        <w:trPr>
          <w:tblHeader w:val="false"/>
        </w:trPr>
        <w:tc>
          <w:tcPr>
            <w:tcW w:type="dxa" w:w="1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 TENS Driver</w:t>
            </w:r>
          </w:p>
        </w:tc>
        <w:tc>
          <w:tcPr>
            <w:tcW w:type="dxa" w:w="2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Biphasic pulsed electrical stimulation</w:t>
            </w:r>
          </w:p>
        </w:tc>
        <w:tc>
          <w:tcPr>
            <w:tcW w:type="dxa" w:w="2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TL494 + MOSFET H-Bridge + Boost Converter (12V)</w:t>
            </w:r>
          </w:p>
        </w:tc>
        <w:tc>
          <w:tcPr>
            <w:tcW w:type="dxa" w:w="26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PWM GPIO + Enable line</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 Heat Control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Controlled thermotherapy delivery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DC Heating Pad 5V/2A + IRLZ44N MOSFET</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PWM GPIO (2 kHz)</w:t>
            </w:r>
          </w:p>
        </w:tc>
      </w:tr>
      <w:tr>
        <w:trPr>
          <w:tblHeader w:val="false"/>
        </w:trPr>
        <w:tc>
          <w:tcPr>
            <w:tcW w:type="dxa" w:w="1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 Vibration Driver</w:t>
            </w:r>
          </w:p>
        </w:tc>
        <w:tc>
          <w:tcPr>
            <w:tcW w:type="dxa" w:w="2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Localised vibration massage actuation</w:t>
            </w:r>
          </w:p>
        </w:tc>
        <w:tc>
          <w:tcPr>
            <w:tcW w:type="dxa" w:w="2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 ERM motor 3V (or 1× LRA) + DRV2605L driver</w:t>
            </w:r>
          </w:p>
        </w:tc>
        <w:tc>
          <w:tcPr>
            <w:tcW w:type="dxa" w:w="26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I2C or PWM GPIO</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 Power Management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Battery regulation, charging, safety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TP4056 + MT3608 Boost + 3.7V 3000mAh LiPo</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3.3V/5V rails</w:t>
            </w:r>
          </w:p>
        </w:tc>
      </w:tr>
      <w:tr>
        <w:trPr>
          <w:tblHeader w:val="false"/>
        </w:trPr>
        <w:tc>
          <w:tcPr>
            <w:tcW w:type="dxa" w:w="1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6. Connectivity</w:t>
            </w:r>
          </w:p>
        </w:tc>
        <w:tc>
          <w:tcPr>
            <w:tcW w:type="dxa" w:w="2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User interface and remote monitoring</w:t>
            </w:r>
          </w:p>
        </w:tc>
        <w:tc>
          <w:tcPr>
            <w:tcW w:type="dxa" w:w="2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BLE 4.2 (integrated ESP32) + companion app</w:t>
            </w:r>
          </w:p>
        </w:tc>
        <w:tc>
          <w:tcPr>
            <w:tcW w:type="dxa" w:w="26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UART/BLE stack</w:t>
            </w:r>
          </w:p>
        </w:tc>
      </w:tr>
    </w:tbl>
    <w:p>
      <w:pPr>
        <w:spacing w:before="80" w:after="0"/>
      </w:pPr>
      <w:r>
        <w:rPr>
          <w:rFonts w:ascii="Arial" w:cs="Arial" w:eastAsia="Arial" w:hAnsi="Arial"/>
          <w:i/>
          <w:iCs/>
          <w:color w:val="40916C"/>
          <w:sz w:val="16"/>
          <w:szCs w:val="16"/>
        </w:rPr>
        <w:t xml:space="preserve">Table 6: Six subsystems of the enhanced ArthroEase hardware architecture</w:t>
      </w:r>
    </w:p>
    <w:p>
      <w:pPr>
        <w:pStyle w:val="Heading2"/>
        <w:spacing w:before="260" w:after="120"/>
      </w:pPr>
      <w:r>
        <w:rPr>
          <w:rFonts w:ascii="Arial" w:cs="Arial" w:eastAsia="Arial" w:hAnsi="Arial"/>
          <w:b/>
          <w:bCs/>
          <w:color w:val="2D6A4F"/>
          <w:sz w:val="28"/>
          <w:szCs w:val="28"/>
        </w:rPr>
        <w:t xml:space="preserve">5.2 Microcontroller — ESP32-S3 (Upgraded Recommendation)</w:t>
      </w:r>
    </w:p>
    <w:p>
      <w:pPr>
        <w:spacing w:before="80" w:after="100"/>
        <w:jc w:val="both"/>
      </w:pPr>
      <w:r>
        <w:rPr>
          <w:rFonts w:ascii="Arial" w:cs="Arial" w:eastAsia="Arial" w:hAnsi="Arial"/>
          <w:color w:val="4A4A4A"/>
          <w:sz w:val="20"/>
          <w:szCs w:val="20"/>
        </w:rPr>
        <w:t xml:space="preserve">The original design uses an ESP32. We recommend upgrading to the ESP32-S3 for the enhanced version. The S3 variant provides enhanced AI/ML processing capability (240 MHz dual Xtensa LX7 cores vs. LX6), 512 KB SRAM vs. 320 KB, native USB support for easier debugging, and improved BLE 5.0 stack. Critically, it has more ADC channels available simultaneously, enabling both the thermistor and impedance sense lines to run concurrently without multiplexing delays.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8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ESP32 (Original)</w:t>
            </w:r>
          </w:p>
        </w:tc>
        <w:tc>
          <w:tcPr>
            <w:tcW w:type="dxa" w:w="22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ESP32-S3 (Recommended)</w:t>
            </w:r>
          </w:p>
        </w:tc>
        <w:tc>
          <w:tcPr>
            <w:tcW w:type="dxa" w:w="35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Benefit</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CPU</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Dual LX6 @ 240 MHz</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Dual LX7 @ 240 MHz</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25% higher IPC for DSP</w:t>
            </w:r>
          </w:p>
        </w:tc>
      </w:tr>
      <w:tr>
        <w:trPr>
          <w:tblHeader w:val="false"/>
        </w:trPr>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RAM</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320 KB SRAM</w:t>
            </w:r>
          </w:p>
        </w:tc>
        <w:tc>
          <w:tcPr>
            <w:tcW w:type="dxa" w:w="2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512 KB SRAM</w:t>
            </w:r>
          </w:p>
        </w:tc>
        <w:tc>
          <w:tcPr>
            <w:tcW w:type="dxa" w:w="35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More therapy state buffering</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ADC Channels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18 (12-bit)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20 (12-bit)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Simultaneous impedance + temp</w:t>
            </w:r>
          </w:p>
        </w:tc>
      </w:tr>
      <w:tr>
        <w:trPr>
          <w:tblHeader w:val="false"/>
        </w:trPr>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BLE Version</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4.2</w:t>
            </w:r>
          </w:p>
        </w:tc>
        <w:tc>
          <w:tcPr>
            <w:tcW w:type="dxa" w:w="2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5.0</w:t>
            </w:r>
          </w:p>
        </w:tc>
        <w:tc>
          <w:tcPr>
            <w:tcW w:type="dxa" w:w="35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Longer range, coded PHY</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PWM Channels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16 (LEDC)</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8 (LEDC)</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Sufficient for 3 outputs</w:t>
            </w:r>
          </w:p>
        </w:tc>
      </w:tr>
      <w:tr>
        <w:trPr>
          <w:tblHeader w:val="false"/>
        </w:trPr>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Price (India)</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₹180–250</w:t>
            </w:r>
          </w:p>
        </w:tc>
        <w:tc>
          <w:tcPr>
            <w:tcW w:type="dxa" w:w="2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₹320–450</w:t>
            </w:r>
          </w:p>
        </w:tc>
        <w:tc>
          <w:tcPr>
            <w:tcW w:type="dxa" w:w="35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Marginal increase for major gain</w:t>
            </w:r>
          </w:p>
        </w:tc>
      </w:tr>
    </w:tbl>
    <w:p>
      <w:pPr>
        <w:pStyle w:val="Heading2"/>
        <w:spacing w:before="260" w:after="120"/>
      </w:pPr>
      <w:r>
        <w:rPr>
          <w:rFonts w:ascii="Arial" w:cs="Arial" w:eastAsia="Arial" w:hAnsi="Arial"/>
          <w:b/>
          <w:bCs/>
          <w:color w:val="2D6A4F"/>
          <w:sz w:val="28"/>
          <w:szCs w:val="28"/>
        </w:rPr>
        <w:t xml:space="preserve">5.3 TENS Module — Complete Circuit Design</w:t>
      </w:r>
    </w:p>
    <w:p>
      <w:pPr>
        <w:spacing w:before="80" w:after="100"/>
        <w:jc w:val="both"/>
      </w:pPr>
      <w:r>
        <w:rPr>
          <w:rFonts w:ascii="Arial" w:cs="Arial" w:eastAsia="Arial" w:hAnsi="Arial"/>
          <w:color w:val="4A4A4A"/>
          <w:sz w:val="20"/>
          <w:szCs w:val="20"/>
        </w:rPr>
        <w:t xml:space="preserve">The TENS subsystem is the most technically demanding addition to ArthroEase. It requires generating biphasic, charge-balanced, constant-current pulses with frequency, pulse width, and amplitude all independently programmable via the ESP32.</w:t>
      </w:r>
    </w:p>
    <w:p>
      <w:pPr>
        <w:pStyle w:val="Heading3"/>
        <w:spacing w:before="180" w:after="80"/>
      </w:pPr>
      <w:r>
        <w:rPr>
          <w:rFonts w:ascii="Arial" w:cs="Arial" w:eastAsia="Arial" w:hAnsi="Arial"/>
          <w:b/>
          <w:bCs/>
          <w:color w:val="40916C"/>
          <w:sz w:val="24"/>
          <w:szCs w:val="24"/>
        </w:rPr>
        <w:t xml:space="preserve">5.3.1 Why Charge-Balanced Biphasic Pulses Are Mandatory</w:t>
      </w:r>
    </w:p>
    <w:p>
      <w:pPr>
        <w:spacing w:before="80" w:after="100"/>
        <w:jc w:val="both"/>
      </w:pPr>
      <w:r>
        <w:rPr>
          <w:rFonts w:ascii="Arial" w:cs="Arial" w:eastAsia="Arial" w:hAnsi="Arial"/>
          <w:color w:val="4A4A4A"/>
          <w:sz w:val="20"/>
          <w:szCs w:val="20"/>
        </w:rPr>
        <w:t xml:space="preserve">Monophasic (unidirectional) pulses accumulate charge under the electrodes, causing electrolytic skin damage and electrode corrosion. Charge-balanced biphasic pulses (equal positive and negative phases) ensure zero net DC current, making extended skin contact safe. The IEC 60601-2-10 medical device standard mandates this for TENS devices. ArthroEase must comply with this standard.</w:t>
      </w:r>
    </w:p>
    <w:p>
      <w:pPr>
        <w:pStyle w:val="Heading3"/>
        <w:spacing w:before="180" w:after="80"/>
      </w:pPr>
      <w:r>
        <w:rPr>
          <w:rFonts w:ascii="Arial" w:cs="Arial" w:eastAsia="Arial" w:hAnsi="Arial"/>
          <w:b/>
          <w:bCs/>
          <w:color w:val="40916C"/>
          <w:sz w:val="24"/>
          <w:szCs w:val="24"/>
        </w:rPr>
        <w:t xml:space="preserve">5.3.2 TENS Signal Generation Circuit</w:t>
      </w:r>
    </w:p>
    <w:p>
      <w:pPr>
        <w:spacing w:before="80" w:after="100"/>
        <w:jc w:val="both"/>
      </w:pPr>
      <w:r>
        <w:rPr>
          <w:rFonts w:ascii="Arial" w:cs="Arial" w:eastAsia="Arial" w:hAnsi="Arial"/>
          <w:color w:val="4A4A4A"/>
          <w:sz w:val="20"/>
          <w:szCs w:val="20"/>
        </w:rPr>
        <w:t xml:space="preserve">The ESP32 PWM (LEDC) output generates a 3.3V logic-level gate signal. This drives a TL494 PWM controller configured as a push-pull oscillator which creates the high-frequency carrier. A step-up boost converter (MT3608 or MC34063) elevates battery voltage to 12–15V for the TENS output stage. A full MOSFET H-bridge (4× IRFZ44N or 2× half-bridge gate drivers IR2104) converts the high-frequency driver signal into biphasic pulses across the electrodes. A current sense resistor (0.1Ω) with differential amplifier (INA219) provides real-time current feedback to the ESP32 ADC, enabling constant-current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8"/>
              <w:bottom w:val="single" w:color="2D6A4F" w:sz="8"/>
              <w:right w:val="single" w:color="2D6A4F" w:sz="8"/>
            </w:tcBorders>
            <w:shd w:fill="D8F3DC" w:val="clear"/>
            <w:tcMar>
              <w:top w:type="dxa" w:w="120"/>
              <w:left w:type="dxa" w:w="180"/>
              <w:bottom w:type="dxa" w:w="120"/>
              <w:right w:type="dxa" w:w="180"/>
            </w:tcMar>
          </w:tcPr>
          <w:p>
            <w:pPr>
              <w:spacing w:before="0" w:after="60"/>
            </w:pPr>
            <w:r>
              <w:rPr>
                <w:rFonts w:ascii="Arial" w:cs="Arial" w:eastAsia="Arial" w:hAnsi="Arial"/>
                <w:b/>
                <w:bCs/>
                <w:color w:val="2D6A4F"/>
                <w:sz w:val="22"/>
                <w:szCs w:val="22"/>
              </w:rPr>
              <w:t xml:space="preserve">TENS Circuit Key Components (Bill of Materials)</w:t>
            </w:r>
          </w:p>
          <w:p>
            <w:pPr>
              <w:spacing w:before="0" w:after="0"/>
              <w:jc w:val="both"/>
            </w:pPr>
            <w:r>
              <w:rPr>
                <w:rFonts w:ascii="Arial" w:cs="Arial" w:eastAsia="Arial" w:hAnsi="Arial"/>
                <w:color w:val="4A4A4A"/>
                <w:sz w:val="20"/>
                <w:szCs w:val="20"/>
              </w:rPr>
              <w:t xml:space="preserve">1× TL494 PWM Controller (₹12) | 4× IRFZ44N N-channel MOSFET (₹15 each) | 1× MT3608 Boost Module (₹35) | 1× INA219 Current Sensor (₹45) | 2× 100nF decoupling capacitors | 1× 10μH inductor | 2× Ag/AgCl surface electrodes 5×5cm (₹40/pair) | 1× 4.7kΩ gate resistor per MOSFET | Safety: 10mA polyfuse on output rail</w:t>
            </w:r>
          </w:p>
        </w:tc>
      </w:tr>
    </w:tbl>
    <w:p>
      <w:pPr>
        <w:pStyle w:val="Heading3"/>
        <w:spacing w:before="180" w:after="80"/>
      </w:pPr>
      <w:r>
        <w:rPr>
          <w:rFonts w:ascii="Arial" w:cs="Arial" w:eastAsia="Arial" w:hAnsi="Arial"/>
          <w:b/>
          <w:bCs/>
          <w:color w:val="40916C"/>
          <w:sz w:val="24"/>
          <w:szCs w:val="24"/>
        </w:rPr>
        <w:t xml:space="preserve">5.3.3 ESP32 PWM Configuration for TENS</w:t>
      </w:r>
    </w:p>
    <w:p>
      <w:pPr>
        <w:spacing w:before="80" w:after="100"/>
        <w:jc w:val="both"/>
      </w:pPr>
      <w:r>
        <w:rPr>
          <w:rFonts w:ascii="Arial" w:cs="Arial" w:eastAsia="Arial" w:hAnsi="Arial"/>
          <w:color w:val="4A4A4A"/>
          <w:sz w:val="20"/>
          <w:szCs w:val="20"/>
        </w:rPr>
        <w:t xml:space="preserve">The ESP32 LEDC (LED Control) peripheral is repurposed for TENS waveform generation. Channel 0 controls frequency (2–150 Hz, mapped to timer reload value), Channel 1 controls pulse width (50–300 μs, mapped to duty cycle at 1 MHz resolution timer), and Channel 2 provides burst mode gate control. The following shows the key software configuration:</w:t>
      </w:r>
    </w:p>
    <w:p>
      <w:pPr>
        <w:spacing w:before="80" w:after="20"/>
      </w:pPr>
      <w:r>
        <w:rPr>
          <w:rFonts w:ascii="Courier New" w:cs="Courier New" w:eastAsia="Courier New" w:hAnsi="Courier New"/>
          <w:color w:val="1B4F72"/>
          <w:sz w:val="18"/>
          <w:szCs w:val="18"/>
        </w:rPr>
        <w:t xml:space="preserve">// TENS PWM Setup (Arduino/IDF framework)</w:t>
      </w:r>
    </w:p>
    <w:p>
      <w:pPr>
        <w:spacing w:before="0" w:after="0"/>
      </w:pPr>
      <w:r>
        <w:rPr>
          <w:rFonts w:ascii="Courier New" w:cs="Courier New" w:eastAsia="Courier New" w:hAnsi="Courier New"/>
          <w:color w:val="1B4F72"/>
          <w:sz w:val="18"/>
          <w:szCs w:val="18"/>
        </w:rPr>
        <w:t xml:space="preserve">ledcSetup(0, tensFreq, 10);        // 10-bit resolution</w:t>
      </w:r>
    </w:p>
    <w:p>
      <w:pPr>
        <w:spacing w:before="0" w:after="0"/>
      </w:pPr>
      <w:r>
        <w:rPr>
          <w:rFonts w:ascii="Courier New" w:cs="Courier New" w:eastAsia="Courier New" w:hAnsi="Courier New"/>
          <w:color w:val="1B4F72"/>
          <w:sz w:val="18"/>
          <w:szCs w:val="18"/>
        </w:rPr>
        <w:t xml:space="preserve">ledcAttachPin(TENS_PWM_PIN, 0);</w:t>
      </w:r>
    </w:p>
    <w:p>
      <w:pPr>
        <w:spacing w:before="0" w:after="0"/>
      </w:pPr>
      <w:r>
        <w:rPr>
          <w:rFonts w:ascii="Courier New" w:cs="Courier New" w:eastAsia="Courier New" w:hAnsi="Courier New"/>
          <w:color w:val="1B4F72"/>
          <w:sz w:val="18"/>
          <w:szCs w:val="18"/>
        </w:rPr>
        <w:t xml:space="preserve">uint32_t dutyCycle = (pulseWidthUs * 1023) / (1000000/tensFreq);</w:t>
      </w:r>
    </w:p>
    <w:p>
      <w:pPr>
        <w:spacing w:before="0" w:after="0"/>
      </w:pPr>
      <w:r>
        <w:rPr>
          <w:rFonts w:ascii="Courier New" w:cs="Courier New" w:eastAsia="Courier New" w:hAnsi="Courier New"/>
          <w:color w:val="1B4F72"/>
          <w:sz w:val="18"/>
          <w:szCs w:val="18"/>
        </w:rPr>
        <w:t xml:space="preserve">ledcWrite(0, dutyCycle);           // Writes pulse width</w:t>
      </w:r>
    </w:p>
    <w:p>
      <w:pPr>
        <w:spacing w:before="0" w:after="0"/>
      </w:pPr>
      <w:r>
        <w:rPr>
          <w:rFonts w:ascii="Courier New" w:cs="Courier New" w:eastAsia="Courier New" w:hAnsi="Courier New"/>
          <w:color w:val="1B4F72"/>
          <w:sz w:val="18"/>
          <w:szCs w:val="18"/>
        </w:rPr>
        <w:t xml:space="preserve">// Safety: read INA219 current every 50ms</w:t>
      </w:r>
    </w:p>
    <w:p>
      <w:pPr>
        <w:spacing w:before="0" w:after="0"/>
      </w:pPr>
      <w:r>
        <w:rPr>
          <w:rFonts w:ascii="Courier New" w:cs="Courier New" w:eastAsia="Courier New" w:hAnsi="Courier New"/>
          <w:color w:val="1B4F72"/>
          <w:sz w:val="18"/>
          <w:szCs w:val="18"/>
        </w:rPr>
        <w:t xml:space="preserve">float current_mA = ina219.getCurrent_mA();</w:t>
      </w:r>
    </w:p>
    <w:p>
      <w:pPr>
        <w:spacing w:before="0" w:after="80"/>
      </w:pPr>
      <w:r>
        <w:rPr>
          <w:rFonts w:ascii="Courier New" w:cs="Courier New" w:eastAsia="Courier New" w:hAnsi="Courier New"/>
          <w:color w:val="1B4F72"/>
          <w:sz w:val="18"/>
          <w:szCs w:val="18"/>
        </w:rPr>
        <w:t xml:space="preserve">if (current_mA &gt; MAX_TENS_CURRENT_mA) ledcWrite(0, 0); // Cut-off</w:t>
      </w:r>
    </w:p>
    <w:p>
      <w:pPr>
        <w:pStyle w:val="Heading2"/>
        <w:spacing w:before="260" w:after="120"/>
      </w:pPr>
      <w:r>
        <w:rPr>
          <w:rFonts w:ascii="Arial" w:cs="Arial" w:eastAsia="Arial" w:hAnsi="Arial"/>
          <w:b/>
          <w:bCs/>
          <w:color w:val="2D6A4F"/>
          <w:sz w:val="28"/>
          <w:szCs w:val="28"/>
        </w:rPr>
        <w:t xml:space="preserve">5.4 PWM-Controlled Vibration Motor Drive</w:t>
      </w:r>
    </w:p>
    <w:p>
      <w:pPr>
        <w:spacing w:before="80" w:after="100"/>
        <w:jc w:val="both"/>
      </w:pPr>
      <w:r>
        <w:rPr>
          <w:rFonts w:ascii="Arial" w:cs="Arial" w:eastAsia="Arial" w:hAnsi="Arial"/>
          <w:color w:val="4A4A4A"/>
          <w:sz w:val="20"/>
          <w:szCs w:val="20"/>
        </w:rPr>
        <w:t xml:space="preserve">Pulse Width Modulation is the ideal control method for vibration motors in ArthroEase because it enables smooth, stepless intensity adjustment without additional analogue circuitry. The ESP32 LEDC peripheral drives a MOSFET (IRLZ44N for 3.3V gate logic compatibility) that switches the motor supply. A flyback diode (1N4007) across the motor terminals is mandatory to suppress inductive kick.</w:t>
      </w:r>
    </w:p>
    <w:p>
      <w:pPr>
        <w:spacing w:before="80" w:after="100"/>
        <w:jc w:val="both"/>
      </w:pPr>
      <w:r>
        <w:rPr>
          <w:rFonts w:ascii="Arial" w:cs="Arial" w:eastAsia="Arial" w:hAnsi="Arial"/>
          <w:color w:val="4A4A4A"/>
          <w:sz w:val="20"/>
          <w:szCs w:val="20"/>
        </w:rPr>
        <w:t xml:space="preserve">For premium performance, we recommend replacing simple ERM motors with a Texas Instruments DRV2605L haptic driver IC. This dedicated chip communicates over I2C, contains built-in waveform libraries, manages open-loop and closed-loop resonant frequency tracking for LRA motors, and supports real-time waveform effects — removing the need for manual PWM calibration per motor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rPr>
          <w:tblHeader/>
        </w:trPr>
        <w:tc>
          <w:tcPr>
            <w:tcW w:type="dxa" w:w="20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22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ERM Motor + PWM (Budget)</w:t>
            </w:r>
          </w:p>
        </w:tc>
        <w:tc>
          <w:tcPr>
            <w:tcW w:type="dxa" w:w="25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LRA + DRV2605L (Premium)</w:t>
            </w:r>
          </w:p>
        </w:tc>
        <w:tc>
          <w:tcPr>
            <w:tcW w:type="dxa" w:w="26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Cost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₹30–60 each</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₹180 (LRA) + ₹120 (IC)</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ERM for hackathon, LRA for v2</w:t>
            </w:r>
          </w:p>
        </w:tc>
      </w:tr>
      <w:tr>
        <w:trPr>
          <w:tblHeader w:val="false"/>
        </w:trPr>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Frequency Control</w:t>
            </w:r>
          </w:p>
        </w:tc>
        <w:tc>
          <w:tcPr>
            <w:tcW w:type="dxa" w:w="2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20–200 Hz via PWM duty</w:t>
            </w:r>
          </w:p>
        </w:tc>
        <w:tc>
          <w:tcPr>
            <w:tcW w:type="dxa" w:w="2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Fixed resonant ~170–230 Hz</w:t>
            </w:r>
          </w:p>
        </w:tc>
        <w:tc>
          <w:tcPr>
            <w:tcW w:type="dxa" w:w="26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ERM more flexible</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Amplitude Control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PWM duty 20–90%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DRV2605L register 0x16</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Both good</w:t>
            </w:r>
          </w:p>
        </w:tc>
      </w:tr>
      <w:tr>
        <w:trPr>
          <w:tblHeader w:val="false"/>
        </w:trPr>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Vibration Precision</w:t>
            </w:r>
          </w:p>
        </w:tc>
        <w:tc>
          <w:tcPr>
            <w:tcW w:type="dxa" w:w="2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Low — varies with battery V</w:t>
            </w:r>
          </w:p>
        </w:tc>
        <w:tc>
          <w:tcPr>
            <w:tcW w:type="dxa" w:w="2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High — closed-loop</w:t>
            </w:r>
          </w:p>
        </w:tc>
        <w:tc>
          <w:tcPr>
            <w:tcW w:type="dxa" w:w="26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LRA better clinically</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Driver Complexity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Simple MOSFET switch</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I2C + IC configuration</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DRV2605L easier long term</w:t>
            </w:r>
          </w:p>
        </w:tc>
      </w:tr>
    </w:tbl>
    <w:p>
      <w:pPr>
        <w:spacing w:before="80" w:after="0"/>
      </w:pPr>
      <w:r>
        <w:rPr>
          <w:rFonts w:ascii="Arial" w:cs="Arial" w:eastAsia="Arial" w:hAnsi="Arial"/>
          <w:i/>
          <w:iCs/>
          <w:color w:val="40916C"/>
          <w:sz w:val="16"/>
          <w:szCs w:val="16"/>
        </w:rPr>
        <w:t xml:space="preserve">Table 7: ERM vs LRA vibration actuator comparison for ArthroEase</w:t>
      </w:r>
    </w:p>
    <w:p>
      <w:pPr>
        <w:pStyle w:val="Heading3"/>
        <w:spacing w:before="180" w:after="80"/>
      </w:pPr>
      <w:r>
        <w:rPr>
          <w:rFonts w:ascii="Arial" w:cs="Arial" w:eastAsia="Arial" w:hAnsi="Arial"/>
          <w:b/>
          <w:bCs/>
          <w:color w:val="40916C"/>
          <w:sz w:val="24"/>
          <w:szCs w:val="24"/>
        </w:rPr>
        <w:t xml:space="preserve">5.4.1 PWM Parameters for Vibration Therapy</w:t>
      </w:r>
    </w:p>
    <w:p>
      <w:pPr>
        <w:spacing w:before="80" w:after="100"/>
        <w:jc w:val="both"/>
      </w:pPr>
      <w:r>
        <w:rPr>
          <w:rFonts w:ascii="Arial" w:cs="Arial" w:eastAsia="Arial" w:hAnsi="Arial"/>
          <w:color w:val="4A4A4A"/>
          <w:sz w:val="20"/>
          <w:szCs w:val="20"/>
        </w:rPr>
        <w:t xml:space="preserve">The PWM carrier frequency for MOSFET switching should be 20 kHz or higher to keep it above audible range, preventing annoying high-pitched noise from the drive signal. The therapy vibration frequency is controlled by modulating the motor supply voltage (via duty cycle), which changes motor RPM for ERM or drive frequency for LRA.</w:t>
      </w:r>
    </w:p>
    <w:p>
      <w:pPr>
        <w:spacing w:before="80" w:after="20"/>
      </w:pPr>
      <w:r>
        <w:rPr>
          <w:rFonts w:ascii="Courier New" w:cs="Courier New" w:eastAsia="Courier New" w:hAnsi="Courier New"/>
          <w:color w:val="1B4F72"/>
          <w:sz w:val="18"/>
          <w:szCs w:val="18"/>
        </w:rPr>
        <w:t xml:space="preserve">// Vibration PWM Setup</w:t>
      </w:r>
    </w:p>
    <w:p>
      <w:pPr>
        <w:spacing w:before="0" w:after="0"/>
      </w:pPr>
      <w:r>
        <w:rPr>
          <w:rFonts w:ascii="Courier New" w:cs="Courier New" w:eastAsia="Courier New" w:hAnsi="Courier New"/>
          <w:color w:val="1B4F72"/>
          <w:sz w:val="18"/>
          <w:szCs w:val="18"/>
        </w:rPr>
        <w:t xml:space="preserve">ledcSetup(1, 20000, 8);            // 20kHz carrier, 8-bit resolution</w:t>
      </w:r>
    </w:p>
    <w:p>
      <w:pPr>
        <w:spacing w:before="0" w:after="0"/>
      </w:pPr>
      <w:r>
        <w:rPr>
          <w:rFonts w:ascii="Courier New" w:cs="Courier New" w:eastAsia="Courier New" w:hAnsi="Courier New"/>
          <w:color w:val="1B4F72"/>
          <w:sz w:val="18"/>
          <w:szCs w:val="18"/>
        </w:rPr>
        <w:t xml:space="preserve">ledcAttachPin(VIBRATION_PWM_PIN, 1);</w:t>
      </w:r>
    </w:p>
    <w:p>
      <w:pPr>
        <w:spacing w:before="0" w:after="0"/>
      </w:pPr>
      <w:r>
        <w:rPr>
          <w:rFonts w:ascii="Courier New" w:cs="Courier New" w:eastAsia="Courier New" w:hAnsi="Courier New"/>
          <w:color w:val="1B4F72"/>
          <w:sz w:val="18"/>
          <w:szCs w:val="18"/>
        </w:rPr>
        <w:t xml:space="preserve">// Map therapy intensity (0-100%) to duty cycle (0-255)</w:t>
      </w:r>
    </w:p>
    <w:p>
      <w:pPr>
        <w:spacing w:before="0" w:after="0"/>
      </w:pPr>
      <w:r>
        <w:rPr>
          <w:rFonts w:ascii="Courier New" w:cs="Courier New" w:eastAsia="Courier New" w:hAnsi="Courier New"/>
          <w:color w:val="1B4F72"/>
          <w:sz w:val="18"/>
          <w:szCs w:val="18"/>
        </w:rPr>
        <w:t xml:space="preserve">uint8_t duty = map(intensityPercent, 0, 100, 0, 255);</w:t>
      </w:r>
    </w:p>
    <w:p>
      <w:pPr>
        <w:spacing w:before="0" w:after="80"/>
      </w:pPr>
      <w:r>
        <w:rPr>
          <w:rFonts w:ascii="Courier New" w:cs="Courier New" w:eastAsia="Courier New" w:hAnsi="Courier New"/>
          <w:color w:val="1B4F72"/>
          <w:sz w:val="18"/>
          <w:szCs w:val="18"/>
        </w:rPr>
        <w:t xml:space="preserve">ledcWrite(1, duty);               // Full intensity = ledcWrite(1, 255)</w:t>
      </w:r>
    </w:p>
    <w:p>
      <w:pPr>
        <w:pStyle w:val="Heading2"/>
        <w:spacing w:before="260" w:after="120"/>
      </w:pPr>
      <w:r>
        <w:rPr>
          <w:rFonts w:ascii="Arial" w:cs="Arial" w:eastAsia="Arial" w:hAnsi="Arial"/>
          <w:b/>
          <w:bCs/>
          <w:color w:val="2D6A4F"/>
          <w:sz w:val="28"/>
          <w:szCs w:val="28"/>
        </w:rPr>
        <w:t xml:space="preserve">5.5 Biofeedback Sensing — Skin Impedance and Temperature</w:t>
      </w:r>
    </w:p>
    <w:p>
      <w:pPr>
        <w:spacing w:before="80" w:after="100"/>
        <w:jc w:val="both"/>
      </w:pPr>
      <w:r>
        <w:rPr>
          <w:rFonts w:ascii="Arial" w:cs="Arial" w:eastAsia="Arial" w:hAnsi="Arial"/>
          <w:color w:val="4A4A4A"/>
          <w:sz w:val="20"/>
          <w:szCs w:val="20"/>
        </w:rPr>
        <w:t xml:space="preserve">The biofeedback sensing layer is ArthroEase's defining feature that separates it from all existing home TENS/heat devices. It measures two physiological parameters: galvanic skin response (GSR) / bioelectrical impedance, and surface skin temperature. Both parameters are used to adapt therapy in real time.</w:t>
      </w:r>
    </w:p>
    <w:p>
      <w:pPr>
        <w:pStyle w:val="Heading3"/>
        <w:spacing w:before="180" w:after="80"/>
      </w:pPr>
      <w:r>
        <w:rPr>
          <w:rFonts w:ascii="Arial" w:cs="Arial" w:eastAsia="Arial" w:hAnsi="Arial"/>
          <w:b/>
          <w:bCs/>
          <w:color w:val="40916C"/>
          <w:sz w:val="24"/>
          <w:szCs w:val="24"/>
        </w:rPr>
        <w:t xml:space="preserve">5.5.1 Skin Impedance (GSR) Sensing</w:t>
      </w:r>
    </w:p>
    <w:p>
      <w:pPr>
        <w:spacing w:before="80" w:after="100"/>
        <w:jc w:val="both"/>
      </w:pPr>
      <w:r>
        <w:rPr>
          <w:rFonts w:ascii="Arial" w:cs="Arial" w:eastAsia="Arial" w:hAnsi="Arial"/>
          <w:color w:val="4A4A4A"/>
          <w:sz w:val="20"/>
          <w:szCs w:val="20"/>
        </w:rPr>
        <w:t xml:space="preserve">Human skin impedance varies from 1 kΩ to over 1 MΩ depending on hydration, sweat gland activity, contact pressure, and skin condition. A baseline impedance reading is taken at session start. During therapy, a rise in impedance indicates drying or poor electrode contact (alert user), a sudden drop indicates excessive sweating (reduce TENS amplitude to prevent discomfort), and a gradual decrease over 10–15 minutes typically reflects therapeutic vasodilation (a positive response marker).</w:t>
      </w:r>
    </w:p>
    <w:p>
      <w:pPr>
        <w:spacing w:before="80" w:after="100"/>
        <w:jc w:val="both"/>
      </w:pPr>
      <w:r>
        <w:rPr>
          <w:rFonts w:ascii="Arial" w:cs="Arial" w:eastAsia="Arial" w:hAnsi="Arial"/>
          <w:color w:val="4A4A4A"/>
          <w:sz w:val="20"/>
          <w:szCs w:val="20"/>
        </w:rPr>
        <w:t xml:space="preserve">For the hackathon MVP, a simple resistive divider with two stainless steel electrodes measures skin conductance. For v2, the AD5933 impedance analyser IC provides frequency-swept impedance spectroscopy (1 kHz–100 kHz), enabling tissue depth analysis — potentially distinguishing superficial skin impedance from deeper muscle bioelectrical changes.</w:t>
      </w:r>
    </w:p>
    <w:p>
      <w:pPr>
        <w:pStyle w:val="Heading3"/>
        <w:spacing w:before="180" w:after="80"/>
      </w:pPr>
      <w:r>
        <w:rPr>
          <w:rFonts w:ascii="Arial" w:cs="Arial" w:eastAsia="Arial" w:hAnsi="Arial"/>
          <w:b/>
          <w:bCs/>
          <w:color w:val="40916C"/>
          <w:sz w:val="24"/>
          <w:szCs w:val="24"/>
        </w:rPr>
        <w:t xml:space="preserve">5.5.2 Temperature Sensing</w:t>
      </w:r>
    </w:p>
    <w:p>
      <w:pPr>
        <w:spacing w:before="80" w:after="100"/>
        <w:jc w:val="both"/>
      </w:pPr>
      <w:r>
        <w:rPr>
          <w:rFonts w:ascii="Arial" w:cs="Arial" w:eastAsia="Arial" w:hAnsi="Arial"/>
          <w:color w:val="4A4A4A"/>
          <w:sz w:val="20"/>
          <w:szCs w:val="20"/>
        </w:rPr>
        <w:t xml:space="preserve">An NTC (Negative Temperature Coefficient) thermistor (10 kΩ at 25°C, B-value 3950 K) placed under the heating pad measures skin surface temperature. The Steinhart-Hart equation converts ADC resistance readings to temperature. The safety cut-off is implemented in both firmware (software threshold at 42°C) and hardware (comparator with Zener reference), ensuring the heating pad deactivates even if the MCU is occupied or has hung.</w:t>
      </w:r>
    </w:p>
    <w:p>
      <w:pPr>
        <w:spacing w:before="80" w:after="20"/>
      </w:pPr>
      <w:r>
        <w:rPr>
          <w:rFonts w:ascii="Courier New" w:cs="Courier New" w:eastAsia="Courier New" w:hAnsi="Courier New"/>
          <w:color w:val="1B4F72"/>
          <w:sz w:val="18"/>
          <w:szCs w:val="18"/>
        </w:rPr>
        <w:t xml:space="preserve">// Steinhart-Hart Temperature Conversion</w:t>
      </w:r>
    </w:p>
    <w:p>
      <w:pPr>
        <w:spacing w:before="0" w:after="0"/>
      </w:pPr>
      <w:r>
        <w:rPr>
          <w:rFonts w:ascii="Courier New" w:cs="Courier New" w:eastAsia="Courier New" w:hAnsi="Courier New"/>
          <w:color w:val="1B4F72"/>
          <w:sz w:val="18"/>
          <w:szCs w:val="18"/>
        </w:rPr>
        <w:t xml:space="preserve">float steinhart(float resistance) {</w:t>
      </w:r>
    </w:p>
    <w:p>
      <w:pPr>
        <w:spacing w:before="0" w:after="0"/>
      </w:pPr>
      <w:r>
        <w:rPr>
          <w:rFonts w:ascii="Courier New" w:cs="Courier New" w:eastAsia="Courier New" w:hAnsi="Courier New"/>
          <w:color w:val="1B4F72"/>
          <w:sz w:val="18"/>
          <w:szCs w:val="18"/>
        </w:rPr>
        <w:t xml:space="preserve">  float temp = resistance / NTC_NOMINAL;</w:t>
      </w:r>
    </w:p>
    <w:p>
      <w:pPr>
        <w:spacing w:before="0" w:after="0"/>
      </w:pPr>
      <w:r>
        <w:rPr>
          <w:rFonts w:ascii="Courier New" w:cs="Courier New" w:eastAsia="Courier New" w:hAnsi="Courier New"/>
          <w:color w:val="1B4F72"/>
          <w:sz w:val="18"/>
          <w:szCs w:val="18"/>
        </w:rPr>
        <w:t xml:space="preserve">  temp = log(temp) / BCOEFFICIENT;</w:t>
      </w:r>
    </w:p>
    <w:p>
      <w:pPr>
        <w:spacing w:before="0" w:after="0"/>
      </w:pPr>
      <w:r>
        <w:rPr>
          <w:rFonts w:ascii="Courier New" w:cs="Courier New" w:eastAsia="Courier New" w:hAnsi="Courier New"/>
          <w:color w:val="1B4F72"/>
          <w:sz w:val="18"/>
          <w:szCs w:val="18"/>
        </w:rPr>
        <w:t xml:space="preserve">  temp += 1.0 / (TEMPERATURE_NOMINAL + 273.15);</w:t>
      </w:r>
    </w:p>
    <w:p>
      <w:pPr>
        <w:spacing w:before="0" w:after="0"/>
      </w:pPr>
      <w:r>
        <w:rPr>
          <w:rFonts w:ascii="Courier New" w:cs="Courier New" w:eastAsia="Courier New" w:hAnsi="Courier New"/>
          <w:color w:val="1B4F72"/>
          <w:sz w:val="18"/>
          <w:szCs w:val="18"/>
        </w:rPr>
        <w:t xml:space="preserve">  return (1.0 / temp) - 273.15;  // Returns Celsius</w:t>
      </w:r>
    </w:p>
    <w:p>
      <w:pPr>
        <w:spacing w:before="0" w:after="80"/>
      </w:pPr>
      <w:r>
        <w:rPr>
          <w:rFonts w:ascii="Courier New" w:cs="Courier New" w:eastAsia="Courier New" w:hAnsi="Courier New"/>
          <w:color w:val="1B4F72"/>
          <w:sz w:val="18"/>
          <w:szCs w:val="18"/>
        </w:rPr>
        <w:t xml:space="preserve">}</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6. Complete Bill of Materials (BOM)</w:t>
      </w:r>
    </w:p>
    <w:p>
      <w:pPr>
        <w:spacing w:before="80" w:after="100"/>
        <w:jc w:val="both"/>
      </w:pPr>
      <w:r>
        <w:rPr>
          <w:rFonts w:ascii="Arial" w:cs="Arial" w:eastAsia="Arial" w:hAnsi="Arial"/>
          <w:color w:val="4A4A4A"/>
          <w:sz w:val="20"/>
          <w:szCs w:val="20"/>
        </w:rPr>
        <w:t xml:space="preserve">The following table provides a complete component list for the enhanced ArthroEase prototype, with Indian market pricing, sourcing suggestions, and technical specifications. Total estimated BOM cost for a single prototype unit is approximately ₹3,200–₹4,500 depending on component sourcing.</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800"/>
        <w:gridCol w:w="400"/>
        <w:gridCol w:w="900"/>
        <w:gridCol w:w="900"/>
        <w:gridCol w:w="1260"/>
      </w:tblGrid>
      <w:tr>
        <w:trPr>
          <w:tblHeader/>
        </w:trPr>
        <w:tc>
          <w:tcPr>
            <w:tcW w:type="dxa" w:w="3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8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18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c>
          <w:tcPr>
            <w:tcW w:type="dxa" w:w="4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Qty</w:t>
            </w:r>
          </w:p>
        </w:tc>
        <w:tc>
          <w:tcPr>
            <w:tcW w:type="dxa" w:w="9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Unit Cost (₹)</w:t>
            </w:r>
          </w:p>
        </w:tc>
        <w:tc>
          <w:tcPr>
            <w:tcW w:type="dxa" w:w="9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w:t>
            </w:r>
          </w:p>
        </w:tc>
        <w:tc>
          <w:tcPr>
            <w:tcW w:type="dxa" w:w="12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r>
      <w:tr>
        <w:trPr>
          <w:tblHeader w:val="false"/>
        </w:trP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Microcontroller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ESP32-S3 DevKit (or ESP32-WROOM)</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380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380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RoboElements / Amazon</w:t>
            </w:r>
          </w:p>
        </w:tc>
      </w:tr>
      <w:tr>
        <w:trPr>
          <w:tblHeader w:val="false"/>
        </w:trPr>
        <w:tc>
          <w:tcPr>
            <w:tcW w:type="dxa" w:w="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NTC Thermistor</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10kΩ @ 25°C, B=3950, Waterproof</w:t>
            </w:r>
          </w:p>
        </w:tc>
        <w:tc>
          <w:tcPr>
            <w:tcW w:type="dxa" w:w="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25</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50</w:t>
            </w:r>
          </w:p>
        </w:tc>
        <w:tc>
          <w:tcPr>
            <w:tcW w:type="dxa" w:w="12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Electronics Comp. / Amazon</w:t>
            </w:r>
          </w:p>
        </w:tc>
      </w:tr>
      <w:tr>
        <w:trPr>
          <w:tblHeader w:val="false"/>
        </w:trP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GSR Electrodes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Ag/AgCl 5×5cm snap-on pads</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 pcs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160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Medtronic / Amazon Medical</w:t>
            </w:r>
          </w:p>
        </w:tc>
      </w:tr>
      <w:tr>
        <w:trPr>
          <w:tblHeader w:val="false"/>
        </w:trPr>
        <w:tc>
          <w:tcPr>
            <w:tcW w:type="dxa" w:w="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TENS PWM Driver</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TL494 + discrete H-bridge circuit</w:t>
            </w:r>
          </w:p>
        </w:tc>
        <w:tc>
          <w:tcPr>
            <w:tcW w:type="dxa" w:w="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 set</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120</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120</w:t>
            </w:r>
          </w:p>
        </w:tc>
        <w:tc>
          <w:tcPr>
            <w:tcW w:type="dxa" w:w="12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Electronics Comp.</w:t>
            </w:r>
          </w:p>
        </w:tc>
      </w:tr>
      <w:tr>
        <w:trPr>
          <w:tblHeader w:val="false"/>
        </w:trP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IRFZ44N MOSFET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N-channel, 55V/49A, Logic level gate</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108</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Electronics Comp.</w:t>
            </w:r>
          </w:p>
        </w:tc>
      </w:tr>
      <w:tr>
        <w:trPr>
          <w:tblHeader w:val="false"/>
        </w:trPr>
        <w:tc>
          <w:tcPr>
            <w:tcW w:type="dxa" w:w="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6</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INA219 Module</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Current sensor ±3.2A I2C, 26V</w:t>
            </w:r>
          </w:p>
        </w:tc>
        <w:tc>
          <w:tcPr>
            <w:tcW w:type="dxa" w:w="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45</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45</w:t>
            </w:r>
          </w:p>
        </w:tc>
        <w:tc>
          <w:tcPr>
            <w:tcW w:type="dxa" w:w="12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Amazon</w:t>
            </w:r>
          </w:p>
        </w:tc>
      </w:tr>
      <w:tr>
        <w:trPr>
          <w:tblHeader w:val="false"/>
        </w:trP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MT3608 Boost Module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2–24V input, 28V output, 2A</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35</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Amazon</w:t>
            </w:r>
          </w:p>
        </w:tc>
      </w:tr>
      <w:tr>
        <w:trPr>
          <w:tblHeader w:val="false"/>
        </w:trPr>
        <w:tc>
          <w:tcPr>
            <w:tcW w:type="dxa" w:w="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8</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DC Heating Pad</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5V/2A carbon fibre, 10×15cm</w:t>
            </w:r>
          </w:p>
        </w:tc>
        <w:tc>
          <w:tcPr>
            <w:tcW w:type="dxa" w:w="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280</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280</w:t>
            </w:r>
          </w:p>
        </w:tc>
        <w:tc>
          <w:tcPr>
            <w:tcW w:type="dxa" w:w="12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Amazon</w:t>
            </w:r>
          </w:p>
        </w:tc>
      </w:tr>
      <w:tr>
        <w:trPr>
          <w:tblHeader w:val="false"/>
        </w:trP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ERM Vibration Motor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3V, 11000 RPM, 8mm diameter</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90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RoboElements</w:t>
            </w:r>
          </w:p>
        </w:tc>
      </w:tr>
      <w:tr>
        <w:trPr>
          <w:tblHeader w:val="false"/>
        </w:trPr>
        <w:tc>
          <w:tcPr>
            <w:tcW w:type="dxa" w:w="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10</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DRV2605L Module</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Haptic driver I2C, LRA/ERM</w:t>
            </w:r>
          </w:p>
        </w:tc>
        <w:tc>
          <w:tcPr>
            <w:tcW w:type="dxa" w:w="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120</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120</w:t>
            </w:r>
          </w:p>
        </w:tc>
        <w:tc>
          <w:tcPr>
            <w:tcW w:type="dxa" w:w="12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Amazon / Adafruit</w:t>
            </w:r>
          </w:p>
        </w:tc>
      </w:tr>
      <w:tr>
        <w:trPr>
          <w:tblHeader w:val="false"/>
        </w:trP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LiPo Battery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3.7V 3000mAh 1S, JST connector</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420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420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Robu.in</w:t>
            </w:r>
          </w:p>
        </w:tc>
      </w:tr>
      <w:tr>
        <w:trPr>
          <w:tblHeader w:val="false"/>
        </w:trPr>
        <w:tc>
          <w:tcPr>
            <w:tcW w:type="dxa" w:w="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12</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TP4056 Module</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1A Li-ion charger with protection</w:t>
            </w:r>
          </w:p>
        </w:tc>
        <w:tc>
          <w:tcPr>
            <w:tcW w:type="dxa" w:w="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35</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35</w:t>
            </w:r>
          </w:p>
        </w:tc>
        <w:tc>
          <w:tcPr>
            <w:tcW w:type="dxa" w:w="12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Amazon</w:t>
            </w:r>
          </w:p>
        </w:tc>
      </w:tr>
      <w:tr>
        <w:trPr>
          <w:tblHeader w:val="false"/>
        </w:trP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LM7805 / AMS1117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5V and 3.3V linear regulators</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24</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Electronics Comp.</w:t>
            </w:r>
          </w:p>
        </w:tc>
      </w:tr>
      <w:tr>
        <w:trPr>
          <w:tblHeader w:val="false"/>
        </w:trPr>
        <w:tc>
          <w:tcPr>
            <w:tcW w:type="dxa" w:w="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14</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1N4007 Diode</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Flyback protection, 1A/1000V</w:t>
            </w:r>
          </w:p>
        </w:tc>
        <w:tc>
          <w:tcPr>
            <w:tcW w:type="dxa" w:w="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6</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18</w:t>
            </w:r>
          </w:p>
        </w:tc>
        <w:tc>
          <w:tcPr>
            <w:tcW w:type="dxa" w:w="12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Electronics Comp.</w:t>
            </w:r>
          </w:p>
        </w:tc>
      </w:tr>
      <w:tr>
        <w:trPr>
          <w:tblHeader w:val="false"/>
        </w:trP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Neoprene Knee Band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Adjustable, 3–5mm padding, L/XL</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380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380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Amazon / SportsMed</w:t>
            </w:r>
          </w:p>
        </w:tc>
      </w:tr>
      <w:tr>
        <w:trPr>
          <w:tblHeader w:val="false"/>
        </w:trPr>
        <w:tc>
          <w:tcPr>
            <w:tcW w:type="dxa" w:w="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16</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Velcro + PCB Housing</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3D-printed ABS or acrylic housing</w:t>
            </w:r>
          </w:p>
        </w:tc>
        <w:tc>
          <w:tcPr>
            <w:tcW w:type="dxa" w:w="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 set</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200</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200</w:t>
            </w:r>
          </w:p>
        </w:tc>
        <w:tc>
          <w:tcPr>
            <w:tcW w:type="dxa" w:w="12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Local 3D print</w:t>
            </w:r>
          </w:p>
        </w:tc>
      </w:tr>
      <w:tr>
        <w:trPr>
          <w:tblHeader w:val="false"/>
        </w:trP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Misc (resistors, caps, PCB)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Decoupling caps, resistors, stripboard</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 set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150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150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Electronics Comp.</w:t>
            </w:r>
          </w:p>
        </w:tc>
      </w:tr>
      <w:tr>
        <w:trPr>
          <w:tblHeader w:val="false"/>
        </w:trPr>
        <w:tc>
          <w:tcPr>
            <w:tcW w:type="dxa" w:w="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
            </w:r>
          </w:p>
        </w:tc>
        <w:tc>
          <w:tcPr>
            <w:tcW w:type="dxa" w:w="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TOTAL</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~₹2,615</w:t>
            </w:r>
          </w:p>
        </w:tc>
        <w:tc>
          <w:tcPr>
            <w:tcW w:type="dxa" w:w="12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(excl. labour/PCB fab)</w:t>
            </w:r>
          </w:p>
        </w:tc>
      </w:tr>
    </w:tbl>
    <w:p>
      <w:pPr>
        <w:spacing w:before="80" w:after="0"/>
      </w:pPr>
      <w:r>
        <w:rPr>
          <w:rFonts w:ascii="Arial" w:cs="Arial" w:eastAsia="Arial" w:hAnsi="Arial"/>
          <w:i/>
          <w:iCs/>
          <w:color w:val="40916C"/>
          <w:sz w:val="16"/>
          <w:szCs w:val="16"/>
        </w:rPr>
        <w:t xml:space="preserve">Table 8: Complete BOM for ArthroEase enhanced prototype. Prices as of 2025, Indian market.</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7. Electrode Placement — Anatomy-Guided Configuration</w:t>
      </w:r>
    </w:p>
    <w:p>
      <w:pPr>
        <w:spacing w:before="80" w:after="100"/>
        <w:jc w:val="both"/>
      </w:pPr>
      <w:r>
        <w:rPr>
          <w:rFonts w:ascii="Arial" w:cs="Arial" w:eastAsia="Arial" w:hAnsi="Arial"/>
          <w:color w:val="4A4A4A"/>
          <w:sz w:val="20"/>
          <w:szCs w:val="20"/>
        </w:rPr>
        <w:t xml:space="preserve">Electrode placement is arguably more important than TENS parameters. Incorrect placement reduces efficacy by up to 60% and can cause muscle twitching in unwanted areas, discomfort, or even minor burns near bony prominences (where current density is highest due to low tissue volume). The following placement map is based on the anatomical targets described in Section 2.</w:t>
      </w:r>
    </w:p>
    <w:p>
      <w:pPr>
        <w:pStyle w:val="Heading2"/>
        <w:spacing w:before="260" w:after="120"/>
      </w:pPr>
      <w:r>
        <w:rPr>
          <w:rFonts w:ascii="Arial" w:cs="Arial" w:eastAsia="Arial" w:hAnsi="Arial"/>
          <w:b/>
          <w:bCs/>
          <w:color w:val="2D6A4F"/>
          <w:sz w:val="28"/>
          <w:szCs w:val="28"/>
        </w:rPr>
        <w:t xml:space="preserve">7.1 Standard 4-Electrode (2-Channel) TENS Placement</w:t>
      </w:r>
    </w:p>
    <w:p>
      <w:pPr>
        <w:spacing w:before="80" w:after="100"/>
        <w:jc w:val="both"/>
      </w:pPr>
      <w:r>
        <w:rPr>
          <w:rFonts w:ascii="Arial" w:cs="Arial" w:eastAsia="Arial" w:hAnsi="Arial"/>
          <w:color w:val="4A4A4A"/>
          <w:sz w:val="20"/>
          <w:szCs w:val="20"/>
        </w:rPr>
        <w:t xml:space="preserve">ArthroEase uses two independent TENS channels, each driving a pair of electrodes. This allows simultaneous medial and lateral targeting of the knee.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300"/>
        <w:gridCol w:w="2000"/>
        <w:gridCol w:w="1560"/>
      </w:tblGrid>
      <w:tr>
        <w:trPr>
          <w:tblHeader/>
        </w:trPr>
        <w:tc>
          <w:tcPr>
            <w:tcW w:type="dxa" w:w="12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c>
          <w:tcPr>
            <w:tcW w:type="dxa" w:w="23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Electrode A (+)</w:t>
            </w:r>
          </w:p>
        </w:tc>
        <w:tc>
          <w:tcPr>
            <w:tcW w:type="dxa" w:w="23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Electrode B (−)</w:t>
            </w:r>
          </w:p>
        </w:tc>
        <w:tc>
          <w:tcPr>
            <w:tcW w:type="dxa" w:w="20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Muscle/Nerve</w:t>
            </w:r>
          </w:p>
        </w:tc>
        <w:tc>
          <w:tcPr>
            <w:tcW w:type="dxa" w:w="15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Therapy Goal</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Channel 1 (Medial)</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VMO belly: 4cm above &amp; medial to patella centre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Medial joint line, just below patella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VMO + Medial femoral nerve branches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Patellar stabilisation, medial OA pain</w:t>
            </w:r>
          </w:p>
        </w:tc>
      </w:tr>
      <w:tr>
        <w:trPr>
          <w:tblHeader w:val="false"/>
        </w:trPr>
        <w:tc>
          <w:tcPr>
            <w:tcW w:type="dxa" w:w="1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Channel 2 (Lateral)</w:t>
            </w:r>
          </w:p>
        </w:tc>
        <w:tc>
          <w:tcPr>
            <w:tcW w:type="dxa" w:w="2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Vastus Lateralis: 6cm above &amp; lateral to patella</w:t>
            </w:r>
          </w:p>
        </w:tc>
        <w:tc>
          <w:tcPr>
            <w:tcW w:type="dxa" w:w="2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Lateral joint line, below patella</w:t>
            </w:r>
          </w:p>
        </w:tc>
        <w:tc>
          <w:tcPr>
            <w:tcW w:type="dxa" w:w="20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VL + Common peroneal nerve (proximal)</w:t>
            </w:r>
          </w:p>
        </w:tc>
        <w:tc>
          <w:tcPr>
            <w:tcW w:type="dxa" w:w="15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Lateral pain relief, quad strengthening</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Alternative (Posterior)</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Medial hamstring origin (upper medial thigh)</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Popliteal fossa (proximal calf)</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Biceps femoris, gastrocnemius heads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Posterior knee pain, flexion ease</w:t>
            </w:r>
          </w:p>
        </w:tc>
      </w:tr>
    </w:tbl>
    <w:p>
      <w:pPr>
        <w:spacing w:before="80" w:after="0"/>
      </w:pPr>
      <w:r>
        <w:rPr>
          <w:rFonts w:ascii="Arial" w:cs="Arial" w:eastAsia="Arial" w:hAnsi="Arial"/>
          <w:i/>
          <w:iCs/>
          <w:color w:val="40916C"/>
          <w:sz w:val="16"/>
          <w:szCs w:val="16"/>
        </w:rPr>
        <w:t xml:space="preserve">Table 9: TENS electrode placement guide referenced to knee anatomy</w:t>
      </w:r>
    </w:p>
    <w:p>
      <w:pPr>
        <w:pStyle w:val="Heading2"/>
        <w:spacing w:before="260" w:after="120"/>
      </w:pPr>
      <w:r>
        <w:rPr>
          <w:rFonts w:ascii="Arial" w:cs="Arial" w:eastAsia="Arial" w:hAnsi="Arial"/>
          <w:b/>
          <w:bCs/>
          <w:color w:val="2D6A4F"/>
          <w:sz w:val="28"/>
          <w:szCs w:val="28"/>
        </w:rPr>
        <w:t xml:space="preserve">7.2 Vibration Actuator Placement</w:t>
      </w:r>
    </w:p>
    <w:p>
      <w:pPr>
        <w:spacing w:before="80" w:after="100"/>
        <w:jc w:val="both"/>
      </w:pPr>
      <w:r>
        <w:rPr>
          <w:rFonts w:ascii="Arial" w:cs="Arial" w:eastAsia="Arial" w:hAnsi="Arial"/>
          <w:color w:val="4A4A4A"/>
          <w:sz w:val="20"/>
          <w:szCs w:val="20"/>
        </w:rPr>
        <w:t xml:space="preserve">Two ERM vibration motors are embedded into the band at the medial and lateral joint-line positions (corresponding to the medial and lateral femoral condyles). At these positions, vibration at 80–150 Hz directly stimulates mechanoreceptors in the meniscal tissue and joint capsule, producing vibration-induced analgesia (Lundeberg, Pain 1984). A third optional actuator at the patellar tendon insertion (tibial tuberosity) targets the Golgi tendon organ of the quadriceps, facilitating reflex muscle relaxation.</w:t>
      </w:r>
    </w:p>
    <w:p>
      <w:pPr>
        <w:pStyle w:val="Heading2"/>
        <w:spacing w:before="260" w:after="120"/>
      </w:pPr>
      <w:r>
        <w:rPr>
          <w:rFonts w:ascii="Arial" w:cs="Arial" w:eastAsia="Arial" w:hAnsi="Arial"/>
          <w:b/>
          <w:bCs/>
          <w:color w:val="2D6A4F"/>
          <w:sz w:val="28"/>
          <w:szCs w:val="28"/>
        </w:rPr>
        <w:t xml:space="preserve">7.3 Heating Pad Placement</w:t>
      </w:r>
    </w:p>
    <w:p>
      <w:pPr>
        <w:spacing w:before="80" w:after="100"/>
        <w:jc w:val="both"/>
      </w:pPr>
      <w:r>
        <w:rPr>
          <w:rFonts w:ascii="Arial" w:cs="Arial" w:eastAsia="Arial" w:hAnsi="Arial"/>
          <w:color w:val="4A4A4A"/>
          <w:sz w:val="20"/>
          <w:szCs w:val="20"/>
        </w:rPr>
        <w:t xml:space="preserve">The 10×15 cm heating pad should cover the anterior and medial aspects of the knee, overlying the joint capsule and synovial membrane. This position maximises heat penetration to the synovium (which is most superficial anteriorly) while avoiding the popliteal fossa posteriorly, which contains the popliteal artery and vein — excessive heat over these vessels is contraindicated.</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8. Safety Architecture — Multi-Layer Protection</w:t>
      </w:r>
    </w:p>
    <w:p>
      <w:pPr>
        <w:spacing w:before="80" w:after="100"/>
        <w:jc w:val="both"/>
      </w:pPr>
      <w:r>
        <w:rPr>
          <w:rFonts w:ascii="Arial" w:cs="Arial" w:eastAsia="Arial" w:hAnsi="Arial"/>
          <w:color w:val="4A4A4A"/>
          <w:sz w:val="20"/>
          <w:szCs w:val="20"/>
        </w:rPr>
        <w:t xml:space="preserve">Medical wearable safety cannot rely on firmware alone. ArthroEase implements a four-layer safety architecture following the principles of IEC 60601-1 (General Requirements for Safety of Medical Electrical Equipment) and IEC 60601-2-10 (TENS Devices).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900"/>
        <w:gridCol w:w="2760"/>
      </w:tblGrid>
      <w:tr>
        <w:trPr>
          <w:tblHeader/>
        </w:trPr>
        <w:tc>
          <w:tcPr>
            <w:tcW w:type="dxa" w:w="15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Safety Layer</w:t>
            </w:r>
          </w:p>
        </w:tc>
        <w:tc>
          <w:tcPr>
            <w:tcW w:type="dxa" w:w="26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Mechanism</w:t>
            </w:r>
          </w:p>
        </w:tc>
        <w:tc>
          <w:tcPr>
            <w:tcW w:type="dxa" w:w="19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Protects Against</w:t>
            </w:r>
          </w:p>
        </w:tc>
        <w:tc>
          <w:tcPr>
            <w:tcW w:type="dxa" w:w="27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Layer 1: Hardware Comparator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LM393 comparator with Zener reference at 1.4V (= 43°C thermistor voltage) cuts heating MOSFET gate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Thermal burn from heating pad overtemp</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Independent of MCU — always active</w:t>
            </w:r>
          </w:p>
        </w:tc>
      </w:tr>
      <w:tr>
        <w:trPr>
          <w:tblHeader w:val="false"/>
        </w:trPr>
        <w:tc>
          <w:tcPr>
            <w:tcW w:type="dxa" w:w="1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Layer 2: Firmware Watchdog</w:t>
            </w:r>
          </w:p>
        </w:tc>
        <w:tc>
          <w:tcPr>
            <w:tcW w:type="dxa" w:w="26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ESP32 Task Watchdog Timer (TWDT) resets MCU if main loop stalls &gt;3s</w:t>
            </w:r>
          </w:p>
        </w:tc>
        <w:tc>
          <w:tcPr>
            <w:tcW w:type="dxa" w:w="1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MCU hang leaving therapy on indefinitely</w:t>
            </w:r>
          </w:p>
        </w:tc>
        <w:tc>
          <w:tcPr>
            <w:tcW w:type="dxa" w:w="2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Enable TWDT in esp_task_wdt_init()</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Layer 3: Current Limiting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INA219 reports TENS current; if &gt;80mA (max safe for knee surface), firmware immediately zeroes PWM</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Excessive TENS current causing muscle tetany</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Polled every 50ms in interrupt-priority task</w:t>
            </w:r>
          </w:p>
        </w:tc>
      </w:tr>
      <w:tr>
        <w:trPr>
          <w:tblHeader w:val="false"/>
        </w:trPr>
        <w:tc>
          <w:tcPr>
            <w:tcW w:type="dxa" w:w="1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Layer 4: Impedance Guard</w:t>
            </w:r>
          </w:p>
        </w:tc>
        <w:tc>
          <w:tcPr>
            <w:tcW w:type="dxa" w:w="26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GSR below 500Ω or above 2MΩ suspends TENS (poor contact or lifted electrode)</w:t>
            </w:r>
          </w:p>
        </w:tc>
        <w:tc>
          <w:tcPr>
            <w:tcW w:type="dxa" w:w="1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TENS delivery without skin contact (air discharge)</w:t>
            </w:r>
          </w:p>
        </w:tc>
        <w:tc>
          <w:tcPr>
            <w:tcW w:type="dxa" w:w="2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Measured before every session start</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Layer 5: Session Timer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Maximum 30 min heat / 20 min TENS / 20 min vibration per session with mandatory 15 min cooldown</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Overuse, skin sensitisation, tolerance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Stored in NVS flash + app notification</w:t>
            </w:r>
          </w:p>
        </w:tc>
      </w:tr>
    </w:tbl>
    <w:p>
      <w:pPr>
        <w:spacing w:before="80" w:after="0"/>
      </w:pPr>
      <w:r>
        <w:rPr>
          <w:rFonts w:ascii="Arial" w:cs="Arial" w:eastAsia="Arial" w:hAnsi="Arial"/>
          <w:i/>
          <w:iCs/>
          <w:color w:val="40916C"/>
          <w:sz w:val="16"/>
          <w:szCs w:val="16"/>
        </w:rPr>
        <w:t xml:space="preserve">Table 10: Five-layer safety architecture for ArthroEase</w:t>
      </w:r>
    </w:p>
    <w:p>
      <w:pPr>
        <w:pStyle w:val="Heading2"/>
        <w:spacing w:before="260" w:after="120"/>
      </w:pPr>
      <w:r>
        <w:rPr>
          <w:rFonts w:ascii="Arial" w:cs="Arial" w:eastAsia="Arial" w:hAnsi="Arial"/>
          <w:b/>
          <w:bCs/>
          <w:color w:val="2D6A4F"/>
          <w:sz w:val="28"/>
          <w:szCs w:val="28"/>
        </w:rPr>
        <w:t xml:space="preserve">8.1 TENS Safety Limits</w:t>
      </w:r>
    </w:p>
    <w:p>
      <w:pPr>
        <w:spacing w:before="80" w:after="100"/>
        <w:jc w:val="both"/>
      </w:pPr>
      <w:r>
        <w:rPr>
          <w:rFonts w:ascii="Arial" w:cs="Arial" w:eastAsia="Arial" w:hAnsi="Arial"/>
          <w:color w:val="4A4A4A"/>
          <w:sz w:val="20"/>
          <w:szCs w:val="20"/>
        </w:rPr>
        <w:t xml:space="preserve">Absolute maximum safe TENS parameters for knee surface application (IEC 60601-2-10 / APTA Guidelines 2023): Peak amplitude ≤80 mA, pulse charge ≤25 μC per pulse (calculated as amplitude × pulse width), continuous session duration ≤60 minutes, minimum inter-session interval ≥1 hour. ArthroEase enforces all these limits both in firmware and via the app, and does not allow user override of safety limits.</w:t>
      </w:r>
    </w:p>
    <w:p>
      <w:pPr>
        <w:pStyle w:val="Heading2"/>
        <w:spacing w:before="260" w:after="120"/>
      </w:pPr>
      <w:r>
        <w:rPr>
          <w:rFonts w:ascii="Arial" w:cs="Arial" w:eastAsia="Arial" w:hAnsi="Arial"/>
          <w:b/>
          <w:bCs/>
          <w:color w:val="2D6A4F"/>
          <w:sz w:val="28"/>
          <w:szCs w:val="28"/>
        </w:rPr>
        <w:t xml:space="preserve">8.2 Heat Safety and Skin Burn Prevention</w:t>
      </w:r>
    </w:p>
    <w:p>
      <w:pPr>
        <w:spacing w:before="80" w:after="100"/>
        <w:jc w:val="both"/>
      </w:pPr>
      <w:r>
        <w:rPr>
          <w:rFonts w:ascii="Arial" w:cs="Arial" w:eastAsia="Arial" w:hAnsi="Arial"/>
          <w:color w:val="4A4A4A"/>
          <w:sz w:val="20"/>
          <w:szCs w:val="20"/>
        </w:rPr>
        <w:t xml:space="preserve">Skin burns from heating devices typically occur at temperatures above 44°C sustained for more than 6 hours (Moritz &amp; Henriques model, 1947). ArthroEase targets a maximum of 42°C with automatic cut-off at 43°C and a session limit of 30 minutes, providing a 100× safety margin against thermal burn. The hardware comparator cut-off is rated to operate within 200ms of temperature threshold breach, well within the 6-hour burn onset window.</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9. Software Architecture — Firmware and Mobile App</w:t>
      </w:r>
    </w:p>
    <w:p>
      <w:pPr>
        <w:pStyle w:val="Heading2"/>
        <w:spacing w:before="260" w:after="120"/>
      </w:pPr>
      <w:r>
        <w:rPr>
          <w:rFonts w:ascii="Arial" w:cs="Arial" w:eastAsia="Arial" w:hAnsi="Arial"/>
          <w:b/>
          <w:bCs/>
          <w:color w:val="2D6A4F"/>
          <w:sz w:val="28"/>
          <w:szCs w:val="28"/>
        </w:rPr>
        <w:t xml:space="preserve">9.1 ESP32 Firmware State Machine</w:t>
      </w:r>
    </w:p>
    <w:p>
      <w:pPr>
        <w:spacing w:before="80" w:after="100"/>
        <w:jc w:val="both"/>
      </w:pPr>
      <w:r>
        <w:rPr>
          <w:rFonts w:ascii="Arial" w:cs="Arial" w:eastAsia="Arial" w:hAnsi="Arial"/>
          <w:color w:val="4A4A4A"/>
          <w:sz w:val="20"/>
          <w:szCs w:val="20"/>
        </w:rPr>
        <w:t xml:space="preserve">The firmware runs FreeRTOS with four concurrent tasks: (1) SensorTask — reads thermistor and GSR every 200ms, updates shared state; (2) TherapyControlTask — implements the biofeedback loop, adjusting PWM duty cycles for heat, TENS, and vibration based on sensor readings; (3) SafetyTask — runs at highest priority, monitors all safety thresholds, overrides therapy outputs if violated; (4) BLETask — handles BLE characteristic notifications and incoming command writes from the mobile app.</w:t>
      </w:r>
    </w:p>
    <w:p>
      <w:pPr>
        <w:pStyle w:val="Heading2"/>
        <w:spacing w:before="260" w:after="120"/>
      </w:pPr>
      <w:r>
        <w:rPr>
          <w:rFonts w:ascii="Arial" w:cs="Arial" w:eastAsia="Arial" w:hAnsi="Arial"/>
          <w:b/>
          <w:bCs/>
          <w:color w:val="2D6A4F"/>
          <w:sz w:val="28"/>
          <w:szCs w:val="28"/>
        </w:rPr>
        <w:t xml:space="preserve">9.2 Biofeedback Control Algorithm</w:t>
      </w:r>
    </w:p>
    <w:p>
      <w:pPr>
        <w:spacing w:before="80" w:after="100"/>
        <w:jc w:val="both"/>
      </w:pPr>
      <w:r>
        <w:rPr>
          <w:rFonts w:ascii="Arial" w:cs="Arial" w:eastAsia="Arial" w:hAnsi="Arial"/>
          <w:color w:val="4A4A4A"/>
          <w:sz w:val="20"/>
          <w:szCs w:val="20"/>
        </w:rPr>
        <w:t xml:space="preserve">The core innovation of ArthroEase is the adaptive biofeedback loop. The algorithm works as follows: at session start, a baseline impedance reading Z_baseline is taken over 10 seconds. During therapy, if impedance Z_current rises above 1.2× Z_baseline, the TENS amplitude is reduced by 10% (electrode drying detected). If Z_current falls below 0.7× Z_baseline (excessive sweating), TENS is paused for 60 seconds and the user is notified. If skin temperature T_current exceeds 41°C, heat pad PWM duty is reduced by 20% regardless of scheduled protocol.</w:t>
      </w:r>
    </w:p>
    <w:p>
      <w:pPr>
        <w:pStyle w:val="Heading2"/>
        <w:spacing w:before="260" w:after="120"/>
      </w:pPr>
      <w:r>
        <w:rPr>
          <w:rFonts w:ascii="Arial" w:cs="Arial" w:eastAsia="Arial" w:hAnsi="Arial"/>
          <w:b/>
          <w:bCs/>
          <w:color w:val="2D6A4F"/>
          <w:sz w:val="28"/>
          <w:szCs w:val="28"/>
        </w:rPr>
        <w:t xml:space="preserve">9.3 Mobile App Feature Set</w:t>
      </w:r>
    </w:p>
    <w:p>
      <w:pPr>
        <w:spacing w:before="80" w:after="100"/>
        <w:jc w:val="both"/>
      </w:pPr>
      <w:r>
        <w:rPr>
          <w:rFonts w:ascii="Arial" w:cs="Arial" w:eastAsia="Arial" w:hAnsi="Arial"/>
          <w:color w:val="4A4A4A"/>
          <w:sz w:val="20"/>
          <w:szCs w:val="20"/>
        </w:rPr>
        <w:t xml:space="preserve">The companion app (React Native for cross-platform iOS/Android deployment) provides the following features: real-time session dashboard showing temperature (°C), impedance (kΩ), therapy status, and battery; session scheduling and protocol selection (preset or custom TENS/vibration parameters); pain diary with VAS scale input before/after each session; 30-day trend graphs for pain, session duration, and compliance; emergency session stop button; firmware OTA update; and clinician report export (PDF) for use in physiotherapy consultations.</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10. Team Proposed Improvements — Contributor Ideas</w:t>
      </w:r>
    </w:p>
    <w:p>
      <w:pPr>
        <w:pStyle w:val="Heading2"/>
        <w:spacing w:before="260" w:after="120"/>
      </w:pPr>
      <w:r>
        <w:rPr>
          <w:rFonts w:ascii="Arial" w:cs="Arial" w:eastAsia="Arial" w:hAnsi="Arial"/>
          <w:b/>
          <w:bCs/>
          <w:color w:val="2D6A4F"/>
          <w:sz w:val="28"/>
          <w:szCs w:val="28"/>
        </w:rPr>
        <w:t xml:space="preserve">10.1 TENS Unit Integration (Primary New Feature)</w:t>
      </w:r>
    </w:p>
    <w:p>
      <w:pPr>
        <w:spacing w:before="80" w:after="100"/>
        <w:jc w:val="both"/>
      </w:pPr>
      <w:r>
        <w:rPr>
          <w:rFonts w:ascii="Arial" w:cs="Arial" w:eastAsia="Arial" w:hAnsi="Arial"/>
          <w:color w:val="4A4A4A"/>
          <w:sz w:val="20"/>
          <w:szCs w:val="20"/>
        </w:rPr>
        <w:t xml:space="preserve">The addition of a TENS unit transforms ArthroEase from a comfort device into a clinically-validated pain management system. Based on the evidence reviewed in Section 4.2, we propose implementing Burst-Mode TENS as the default protocol (2 Hz bursts of 100 Hz, 200 μs pulses, 10–40 mA), with a mode selector in the app for Conventional and AL-TENS. The implementation requires the H-bridge TENS driver described in Section 5.3, which adds approximately ₹300 to the BOM and requires careful PCB layout to isolate the high-voltage TENS section from the low-voltage MCU section.</w:t>
      </w:r>
    </w:p>
    <w:p>
      <w:pPr>
        <w:pStyle w:val="Heading2"/>
        <w:spacing w:before="260" w:after="120"/>
      </w:pPr>
      <w:r>
        <w:rPr>
          <w:rFonts w:ascii="Arial" w:cs="Arial" w:eastAsia="Arial" w:hAnsi="Arial"/>
          <w:b/>
          <w:bCs/>
          <w:color w:val="2D6A4F"/>
          <w:sz w:val="28"/>
          <w:szCs w:val="28"/>
        </w:rPr>
        <w:t xml:space="preserve">10.2 PWM-Optimised Vibration Massage</w:t>
      </w:r>
    </w:p>
    <w:p>
      <w:pPr>
        <w:spacing w:before="80" w:after="100"/>
        <w:jc w:val="both"/>
      </w:pPr>
      <w:r>
        <w:rPr>
          <w:rFonts w:ascii="Arial" w:cs="Arial" w:eastAsia="Arial" w:hAnsi="Arial"/>
          <w:color w:val="4A4A4A"/>
          <w:sz w:val="20"/>
          <w:szCs w:val="20"/>
        </w:rPr>
        <w:t xml:space="preserve">Replacing simple on/off vibration with PWM-controlled vibration intensity unlocks four distinct massage patterns we propose programming into the app: (a) Constant-intensity at user-selected level; (b) Ramp-up/ramp-down cycle (30s gradual increase, 30s gradual decrease) — best for circulation; (c) Pulsed vibration at 1–2 Hz macro-rhythm — mimics percussion massage; (d) Frequency sweep from 30 Hz to 150 Hz and back over 60 seconds — activates the broadest range of mechanoreceptors. These are all achievable purely through software on the existing hardware with the DRV2605L integration.</w:t>
      </w:r>
    </w:p>
    <w:p>
      <w:pPr>
        <w:pStyle w:val="Heading2"/>
        <w:spacing w:before="260" w:after="120"/>
      </w:pPr>
      <w:r>
        <w:rPr>
          <w:rFonts w:ascii="Arial" w:cs="Arial" w:eastAsia="Arial" w:hAnsi="Arial"/>
          <w:b/>
          <w:bCs/>
          <w:color w:val="2D6A4F"/>
          <w:sz w:val="28"/>
          <w:szCs w:val="28"/>
        </w:rPr>
        <w:t xml:space="preserve">10.3 IMU-Based Movement Detection</w:t>
      </w:r>
    </w:p>
    <w:p>
      <w:pPr>
        <w:spacing w:before="80" w:after="100"/>
        <w:jc w:val="both"/>
      </w:pPr>
      <w:r>
        <w:rPr>
          <w:rFonts w:ascii="Arial" w:cs="Arial" w:eastAsia="Arial" w:hAnsi="Arial"/>
          <w:color w:val="4A4A4A"/>
          <w:sz w:val="20"/>
          <w:szCs w:val="20"/>
        </w:rPr>
        <w:t xml:space="preserve">Adding a 6-axis IMU (MPU-6050, ₹85) enables gait analysis and movement-triggered therapy. The device could automatically activate vibration when the user stands up from a chair (high acceleration event) to prime the joint before loading, and pause TENS during ambulation to avoid interference with gait proprioception. The MPU-6050 interfaces over I2C with the ESP32-S3 and its DMP (Digital Motion Processor) offloads quaternion computation from the MCU.</w:t>
      </w:r>
    </w:p>
    <w:p>
      <w:pPr>
        <w:pStyle w:val="Heading2"/>
        <w:spacing w:before="260" w:after="120"/>
      </w:pPr>
      <w:r>
        <w:rPr>
          <w:rFonts w:ascii="Arial" w:cs="Arial" w:eastAsia="Arial" w:hAnsi="Arial"/>
          <w:b/>
          <w:bCs/>
          <w:color w:val="2D6A4F"/>
          <w:sz w:val="28"/>
          <w:szCs w:val="28"/>
        </w:rPr>
        <w:t xml:space="preserve">10.4 Dual-Frequency Vibration (Bone-Conducted)</w:t>
      </w:r>
    </w:p>
    <w:p>
      <w:pPr>
        <w:spacing w:before="80" w:after="100"/>
        <w:jc w:val="both"/>
      </w:pPr>
      <w:r>
        <w:rPr>
          <w:rFonts w:ascii="Arial" w:cs="Arial" w:eastAsia="Arial" w:hAnsi="Arial"/>
          <w:color w:val="4A4A4A"/>
          <w:sz w:val="20"/>
          <w:szCs w:val="20"/>
        </w:rPr>
        <w:t xml:space="preserve">A nascent area of KOA research involves whole-bone vibration at 35–50 Hz, which stimulates Wolff's Law-based subchondral bone remodelling and may slow cartilage degradation progression (Xu et al., Osteoarthritis Cartilage 2016). A secondary LRA motor mounted directly over the tibial tuberosity (anteriorly, at the patellar tendon insertion) at 35–45 Hz could deliver this bone-conducted vibration as a preventive/disease-modifying addition to the purely analgesic primary vibration motors.</w:t>
      </w:r>
    </w:p>
    <w:p>
      <w:pPr>
        <w:pStyle w:val="Heading2"/>
        <w:spacing w:before="260" w:after="120"/>
      </w:pPr>
      <w:r>
        <w:rPr>
          <w:rFonts w:ascii="Arial" w:cs="Arial" w:eastAsia="Arial" w:hAnsi="Arial"/>
          <w:b/>
          <w:bCs/>
          <w:color w:val="2D6A4F"/>
          <w:sz w:val="28"/>
          <w:szCs w:val="28"/>
        </w:rPr>
        <w:t xml:space="preserve">10.5 Machine Learning Pain Prediction</w:t>
      </w:r>
    </w:p>
    <w:p>
      <w:pPr>
        <w:spacing w:before="80" w:after="100"/>
        <w:jc w:val="both"/>
      </w:pPr>
      <w:r>
        <w:rPr>
          <w:rFonts w:ascii="Arial" w:cs="Arial" w:eastAsia="Arial" w:hAnsi="Arial"/>
          <w:color w:val="4A4A4A"/>
          <w:sz w:val="20"/>
          <w:szCs w:val="20"/>
        </w:rPr>
        <w:t xml:space="preserve">With 30+ days of app pain diary data, session parameters, and impedance trends, a lightweight TensorFlow Lite model (deployable on ESP32-S3) could predict high-pain days 24 hours in advance based on patterns correlating impedance trends, session compliance, and VAS scores. This would enable the app to proactively suggest preventive therapy sessions on predicted high-pain days, potentially reducing breakthrough pain events.</w:t>
      </w:r>
    </w:p>
    <w:p>
      <w:pPr>
        <w:pStyle w:val="Heading2"/>
        <w:spacing w:before="260" w:after="120"/>
      </w:pPr>
      <w:r>
        <w:rPr>
          <w:rFonts w:ascii="Arial" w:cs="Arial" w:eastAsia="Arial" w:hAnsi="Arial"/>
          <w:b/>
          <w:bCs/>
          <w:color w:val="2D6A4F"/>
          <w:sz w:val="28"/>
          <w:szCs w:val="28"/>
        </w:rPr>
        <w:t xml:space="preserve">10.6 Wireless Charging</w:t>
      </w:r>
    </w:p>
    <w:p>
      <w:pPr>
        <w:spacing w:before="80" w:after="100"/>
        <w:jc w:val="both"/>
      </w:pPr>
      <w:r>
        <w:rPr>
          <w:rFonts w:ascii="Arial" w:cs="Arial" w:eastAsia="Arial" w:hAnsi="Arial"/>
          <w:color w:val="4A4A4A"/>
          <w:sz w:val="20"/>
          <w:szCs w:val="20"/>
        </w:rPr>
        <w:t xml:space="preserve">Adding a Qi wireless charging coil (SWRP-WCT-3-24 module, ₹220) allows the user to charge the device while wearing it at night without removing the band. Given that the elderly target population may have dexterity limitations, eliminating the physical charging cable connector improves usability significantly.</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11. Clinical Evidence Summary — The Numbers</w:t>
      </w:r>
    </w:p>
    <w:p>
      <w:pPr>
        <w:spacing w:before="80" w:after="100"/>
        <w:jc w:val="both"/>
      </w:pPr>
      <w:r>
        <w:rPr>
          <w:rFonts w:ascii="Arial" w:cs="Arial" w:eastAsia="Arial" w:hAnsi="Arial"/>
          <w:color w:val="4A4A4A"/>
          <w:sz w:val="20"/>
          <w:szCs w:val="20"/>
        </w:rPr>
        <w:t xml:space="preserve">The following table consolidates the clinical evidence supporting each ArthroEase therapy modality, providing the peer-reviewed numbers that ground the hackathon pitch in real-world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100"/>
        <w:gridCol w:w="1600"/>
        <w:gridCol w:w="1460"/>
      </w:tblGrid>
      <w:tr>
        <w:trPr>
          <w:tblHeader/>
        </w:trPr>
        <w:tc>
          <w:tcPr>
            <w:tcW w:type="dxa" w:w="22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Study / Source</w:t>
            </w:r>
          </w:p>
        </w:tc>
        <w:tc>
          <w:tcPr>
            <w:tcW w:type="dxa" w:w="17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Therapy</w:t>
            </w:r>
          </w:p>
        </w:tc>
        <w:tc>
          <w:tcPr>
            <w:tcW w:type="dxa" w:w="13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Sample Size</w:t>
            </w:r>
          </w:p>
        </w:tc>
        <w:tc>
          <w:tcPr>
            <w:tcW w:type="dxa" w:w="11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Duration</w:t>
            </w:r>
          </w:p>
        </w:tc>
        <w:tc>
          <w:tcPr>
            <w:tcW w:type="dxa" w:w="16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Outcome Measure</w:t>
            </w:r>
          </w:p>
        </w:tc>
        <w:tc>
          <w:tcPr>
            <w:tcW w:type="dxa" w:w="14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Vance et al., Arthritis Rheum 2012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TENS 50 Hz</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n=75 KOA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Single session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Pressure pain threshold</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+21% vs sham (p&lt;0.01)</w:t>
            </w:r>
          </w:p>
        </w:tc>
      </w:tr>
      <w:tr>
        <w:trPr>
          <w:tblHeader w:val="false"/>
        </w:trPr>
        <w:tc>
          <w:tcPr>
            <w:tcW w:type="dxa" w:w="2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Bingöl et al., Rheumatol Int 2005</w:t>
            </w:r>
          </w:p>
        </w:tc>
        <w:tc>
          <w:tcPr>
            <w:tcW w:type="dxa" w:w="1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Heat + TENS combined</w:t>
            </w:r>
          </w:p>
        </w:tc>
        <w:tc>
          <w:tcPr>
            <w:tcW w:type="dxa" w:w="1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n=60 KOA</w:t>
            </w:r>
          </w:p>
        </w:tc>
        <w:tc>
          <w:tcPr>
            <w:tcW w:type="dxa" w:w="11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 weeks</w:t>
            </w:r>
          </w:p>
        </w:tc>
        <w:tc>
          <w:tcPr>
            <w:tcW w:type="dxa" w:w="16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VAS pain (0–10)</w:t>
            </w:r>
          </w:p>
        </w:tc>
        <w:tc>
          <w:tcPr>
            <w:tcW w:type="dxa" w:w="14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−3.8 pts vs −2.2 pts (mono)</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Park et al., J Phys Ther Sci 2016</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Vibration 60 Hz</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n=40 KOA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8 weeks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VAS + quad strength</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−2.4 VAS; +18% strength</w:t>
            </w:r>
          </w:p>
        </w:tc>
      </w:tr>
      <w:tr>
        <w:trPr>
          <w:tblHeader w:val="false"/>
        </w:trPr>
        <w:tc>
          <w:tcPr>
            <w:tcW w:type="dxa" w:w="2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Fransen et al., Cochrane 2015</w:t>
            </w:r>
          </w:p>
        </w:tc>
        <w:tc>
          <w:tcPr>
            <w:tcW w:type="dxa" w:w="1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Thermotherapy</w:t>
            </w:r>
          </w:p>
        </w:tc>
        <w:tc>
          <w:tcPr>
            <w:tcW w:type="dxa" w:w="1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9 RCTs, n=321</w:t>
            </w:r>
          </w:p>
        </w:tc>
        <w:tc>
          <w:tcPr>
            <w:tcW w:type="dxa" w:w="11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Varied</w:t>
            </w:r>
          </w:p>
        </w:tc>
        <w:tc>
          <w:tcPr>
            <w:tcW w:type="dxa" w:w="16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VAS pain</w:t>
            </w:r>
          </w:p>
        </w:tc>
        <w:tc>
          <w:tcPr>
            <w:tcW w:type="dxa" w:w="14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−18.8% (95% CI 12.3–25.3%)</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Johnson &amp; Martinson, Pain 2007</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TENS meta-analysis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n=38 trials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Varied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VAS / NRS pain</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−22.2% mean reduction</w:t>
            </w:r>
          </w:p>
        </w:tc>
      </w:tr>
      <w:tr>
        <w:trPr>
          <w:tblHeader w:val="false"/>
        </w:trPr>
        <w:tc>
          <w:tcPr>
            <w:tcW w:type="dxa" w:w="2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Slemenda et al., Arthritis Rheum 1997</w:t>
            </w:r>
          </w:p>
        </w:tc>
        <w:tc>
          <w:tcPr>
            <w:tcW w:type="dxa" w:w="1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VMO atrophy in KOA</w:t>
            </w:r>
          </w:p>
        </w:tc>
        <w:tc>
          <w:tcPr>
            <w:tcW w:type="dxa" w:w="13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n=462 subjects</w:t>
            </w:r>
          </w:p>
        </w:tc>
        <w:tc>
          <w:tcPr>
            <w:tcW w:type="dxa" w:w="11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Observation</w:t>
            </w:r>
          </w:p>
        </w:tc>
        <w:tc>
          <w:tcPr>
            <w:tcW w:type="dxa" w:w="16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CSA of VMO by MRI</w:t>
            </w:r>
          </w:p>
        </w:tc>
        <w:tc>
          <w:tcPr>
            <w:tcW w:type="dxa" w:w="14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−17–32% vs controls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Xu et al., OA Cartilage 2016</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Bone vibration 35–50 Hz</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Animal model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8 weeks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Cartilage histology</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Reduced proteoglycan loss</w:t>
            </w:r>
          </w:p>
        </w:tc>
      </w:tr>
    </w:tbl>
    <w:p>
      <w:pPr>
        <w:spacing w:before="80" w:after="0"/>
      </w:pPr>
      <w:r>
        <w:rPr>
          <w:rFonts w:ascii="Arial" w:cs="Arial" w:eastAsia="Arial" w:hAnsi="Arial"/>
          <w:i/>
          <w:iCs/>
          <w:color w:val="40916C"/>
          <w:sz w:val="16"/>
          <w:szCs w:val="16"/>
        </w:rPr>
        <w:t xml:space="preserve">Table 11: Clinical evidence base for ArthroEase therapy modalities (all peer-reviewed)</w:t>
      </w:r>
    </w:p>
    <w:p>
      <w:pPr>
        <w:pStyle w:val="Heading2"/>
        <w:spacing w:before="260" w:after="120"/>
      </w:pPr>
      <w:r>
        <w:rPr>
          <w:rFonts w:ascii="Arial" w:cs="Arial" w:eastAsia="Arial" w:hAnsi="Arial"/>
          <w:b/>
          <w:bCs/>
          <w:color w:val="2D6A4F"/>
          <w:sz w:val="28"/>
          <w:szCs w:val="28"/>
        </w:rPr>
        <w:t xml:space="preserve">11.1 Expected Outcome for ArthroEase Combined Protocol</w:t>
      </w:r>
    </w:p>
    <w:p>
      <w:pPr>
        <w:spacing w:before="80" w:after="100"/>
        <w:jc w:val="both"/>
      </w:pPr>
      <w:r>
        <w:rPr>
          <w:rFonts w:ascii="Arial" w:cs="Arial" w:eastAsia="Arial" w:hAnsi="Arial"/>
          <w:color w:val="4A4A4A"/>
          <w:sz w:val="20"/>
          <w:szCs w:val="20"/>
        </w:rPr>
        <w:t xml:space="preserve">Based on the additive effects observed in combined therapy studies (Bingöl 2005, Vance 2012) and the arithmetic model of non-overlapping pain pathways targeted by each modality, the ArthroEase combined protocol (TENS + heat + vibration) is expected to produce a VAS pain reduction of 35–50% at 8-week follow-up in grade II–III KOA patients. This estimate is conservative and will be validated in the planned beta testing phase. For context, the most commonly prescribed pharmacological analgesic for KOA (oral NSAIDs such as Ibuprofen 400mg TID) shows a mean VAS reduction of 30–35% with significant GI and cardiovascular adverse effects — ArthroEase is projected to match or exceed this with zero systemic side effects.</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12. Competitive Analysis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200"/>
        <w:gridCol w:w="900"/>
        <w:gridCol w:w="700"/>
        <w:gridCol w:w="700"/>
        <w:gridCol w:w="900"/>
        <w:gridCol w:w="600"/>
        <w:gridCol w:w="1760"/>
      </w:tblGrid>
      <w:tr>
        <w:trPr>
          <w:tblHeader/>
        </w:trPr>
        <w:tc>
          <w:tcPr>
            <w:tcW w:type="dxa" w:w="15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Device / Product</w:t>
            </w:r>
          </w:p>
        </w:tc>
        <w:tc>
          <w:tcPr>
            <w:tcW w:type="dxa" w:w="14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Therapy Type</w:t>
            </w:r>
          </w:p>
        </w:tc>
        <w:tc>
          <w:tcPr>
            <w:tcW w:type="dxa" w:w="12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Price (India ₹)</w:t>
            </w:r>
          </w:p>
        </w:tc>
        <w:tc>
          <w:tcPr>
            <w:tcW w:type="dxa" w:w="9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Biofeedback?</w:t>
            </w:r>
          </w:p>
        </w:tc>
        <w:tc>
          <w:tcPr>
            <w:tcW w:type="dxa" w:w="7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TENS?</w:t>
            </w:r>
          </w:p>
        </w:tc>
        <w:tc>
          <w:tcPr>
            <w:tcW w:type="dxa" w:w="7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Heat?</w:t>
            </w:r>
          </w:p>
        </w:tc>
        <w:tc>
          <w:tcPr>
            <w:tcW w:type="dxa" w:w="9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Vibration?</w:t>
            </w:r>
          </w:p>
        </w:tc>
        <w:tc>
          <w:tcPr>
            <w:tcW w:type="dxa" w:w="6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w:t>
            </w:r>
          </w:p>
        </w:tc>
        <w:tc>
          <w:tcPr>
            <w:tcW w:type="dxa" w:w="17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ArthroEase Advantage</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OMRON HV-F013 (TENS)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TENS only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₹3,500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 heat, no biofeedback, no vibration</w:t>
            </w:r>
          </w:p>
        </w:tc>
      </w:tr>
      <w:tr>
        <w:trPr>
          <w:tblHeader w:val="false"/>
        </w:trPr>
        <w:tc>
          <w:tcPr>
            <w:tcW w:type="dxa" w:w="1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Beurer HK 58 (Heat pad)</w:t>
            </w:r>
          </w:p>
        </w:tc>
        <w:tc>
          <w:tcPr>
            <w:tcW w:type="dxa" w:w="1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Heat only</w:t>
            </w:r>
          </w:p>
        </w:tc>
        <w:tc>
          <w:tcPr>
            <w:tcW w:type="dxa" w:w="1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₹2,800</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6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1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 TENS, no personalisation</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Ceragem V3 (Clinic)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Heat + IR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₹8,000+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Limited</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Clinic-only, no TENS, costly</w:t>
            </w:r>
          </w:p>
        </w:tc>
      </w:tr>
      <w:tr>
        <w:trPr>
          <w:tblHeader w:val="false"/>
        </w:trPr>
        <w:tc>
          <w:tcPr>
            <w:tcW w:type="dxa" w:w="1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Thrivous/Ossio (US)</w:t>
            </w:r>
          </w:p>
        </w:tc>
        <w:tc>
          <w:tcPr>
            <w:tcW w:type="dxa" w:w="1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Heat + TENS</w:t>
            </w:r>
          </w:p>
        </w:tc>
        <w:tc>
          <w:tcPr>
            <w:tcW w:type="dxa" w:w="1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₹18,000+ (import)</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6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1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 vibration, no biofeedback, unaffordable</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KneeRelief Pro (US)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Vibration + heat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₹25,000+ (import)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 TENS, very expensive</w:t>
            </w:r>
          </w:p>
        </w:tc>
      </w:tr>
      <w:tr>
        <w:trPr>
          <w:tblHeader w:val="false"/>
        </w:trPr>
        <w:tc>
          <w:tcPr>
            <w:tcW w:type="dxa" w:w="1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ArthroEase (Proposed)</w:t>
            </w:r>
          </w:p>
        </w:tc>
        <w:tc>
          <w:tcPr>
            <w:tcW w:type="dxa" w:w="14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TENS + Heat + Vibration</w:t>
            </w:r>
          </w:p>
        </w:tc>
        <w:tc>
          <w:tcPr>
            <w:tcW w:type="dxa" w:w="1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₹4,000–6,000</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7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9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6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YES</w:t>
            </w:r>
          </w:p>
        </w:tc>
        <w:tc>
          <w:tcPr>
            <w:tcW w:type="dxa" w:w="1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Only device combining all four with real-time biofeedback adaptive control</w:t>
            </w:r>
          </w:p>
        </w:tc>
      </w:tr>
    </w:tbl>
    <w:p>
      <w:pPr>
        <w:spacing w:before="80" w:after="0"/>
      </w:pPr>
      <w:r>
        <w:rPr>
          <w:rFonts w:ascii="Arial" w:cs="Arial" w:eastAsia="Arial" w:hAnsi="Arial"/>
          <w:i/>
          <w:iCs/>
          <w:color w:val="40916C"/>
          <w:sz w:val="16"/>
          <w:szCs w:val="16"/>
        </w:rPr>
        <w:t xml:space="preserve">Table 12: Competitive landscape analysis — ArthroEase vs existing market solutions</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13. Development Roadmap — Hackathon to Market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2500"/>
        <w:gridCol w:w="1760"/>
      </w:tblGrid>
      <w:tr>
        <w:trPr>
          <w:tblHeader/>
        </w:trPr>
        <w:tc>
          <w:tcPr>
            <w:tcW w:type="dxa" w:w="15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18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w:t>
            </w:r>
          </w:p>
        </w:tc>
        <w:tc>
          <w:tcPr>
            <w:tcW w:type="dxa" w:w="12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Timeline</w:t>
            </w:r>
          </w:p>
        </w:tc>
        <w:tc>
          <w:tcPr>
            <w:tcW w:type="dxa" w:w="250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Activities</w:t>
            </w:r>
          </w:p>
        </w:tc>
        <w:tc>
          <w:tcPr>
            <w:tcW w:type="dxa" w:w="1760"/>
            <w:tcBorders>
              <w:top w:val="single" w:color="CCCCCC" w:sz="4"/>
              <w:left w:val="single" w:color="CCCCCC" w:sz="4"/>
              <w:bottom w:val="single" w:color="CCCCCC" w:sz="4"/>
              <w:right w:val="single" w:color="CCCCCC" w:sz="4"/>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Success Metric</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Phase 0: Hackathon MVP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Functional prototype demo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Now</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ESP32 + heat + vibration + GSR + BLE app working; TENS breadboard demo</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All systems operational on demo knee model</w:t>
            </w:r>
          </w:p>
        </w:tc>
      </w:tr>
      <w:tr>
        <w:trPr>
          <w:tblHeader w:val="false"/>
        </w:trPr>
        <w:tc>
          <w:tcPr>
            <w:tcW w:type="dxa" w:w="1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Phase 1: TENS Integration</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TENS-equipped prototype</w:t>
            </w:r>
          </w:p>
        </w:tc>
        <w:tc>
          <w:tcPr>
            <w:tcW w:type="dxa" w:w="1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Month 1–2</w:t>
            </w:r>
          </w:p>
        </w:tc>
        <w:tc>
          <w:tcPr>
            <w:tcW w:type="dxa" w:w="2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Design and test H-bridge TENS driver; validate waveform on oscilloscope; skin testing on team members</w:t>
            </w:r>
          </w:p>
        </w:tc>
        <w:tc>
          <w:tcPr>
            <w:tcW w:type="dxa" w:w="1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Verified biphasic waveform, &lt;5% THD</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Phase 2: PCB Design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Custom PCB v1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Month 2–4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KiCad PCB layout with component isolation zones; TENS high-voltage section isolated; first PCB fab order</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PCB passes DRC, fits in 3D-printed housing</w:t>
            </w:r>
          </w:p>
        </w:tc>
      </w:tr>
      <w:tr>
        <w:trPr>
          <w:tblHeader w:val="false"/>
        </w:trPr>
        <w:tc>
          <w:tcPr>
            <w:tcW w:type="dxa" w:w="1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Phase 3: Beta Testing</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10-person user trial</w:t>
            </w:r>
          </w:p>
        </w:tc>
        <w:tc>
          <w:tcPr>
            <w:tcW w:type="dxa" w:w="1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Month 4–8</w:t>
            </w:r>
          </w:p>
        </w:tc>
        <w:tc>
          <w:tcPr>
            <w:tcW w:type="dxa" w:w="2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Recruit 10 KOA patients (Grade II–III) with physiotherapy oversight; 8-week daily use; VAS + WOMAC scoring</w:t>
            </w:r>
          </w:p>
        </w:tc>
        <w:tc>
          <w:tcPr>
            <w:tcW w:type="dxa" w:w="1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≥30% VAS reduction vs baseline</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Phase 4: Regulatory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CE / CDSCO filing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Month 8–18</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Clinical validation report; ISO 13485 QMS setup; IEC 60601 compliance testing; CDSCO Class B filing</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Application accepted; no critical findings</w:t>
            </w:r>
          </w:p>
        </w:tc>
      </w:tr>
      <w:tr>
        <w:trPr>
          <w:tblHeader w:val="false"/>
        </w:trPr>
        <w:tc>
          <w:tcPr>
            <w:tcW w:type="dxa" w:w="1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Phase 5: Launch</w:t>
            </w:r>
          </w:p>
        </w:tc>
        <w:tc>
          <w:tcPr>
            <w:tcW w:type="dxa" w:w="18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Market launch</w:t>
            </w:r>
          </w:p>
        </w:tc>
        <w:tc>
          <w:tcPr>
            <w:tcW w:type="dxa" w:w="12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Month 18–24</w:t>
            </w:r>
          </w:p>
        </w:tc>
        <w:tc>
          <w:tcPr>
            <w:tcW w:type="dxa" w:w="250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Manufacturing partnership; e-commerce listing; physiotherapy clinic distribution network</w:t>
            </w:r>
          </w:p>
        </w:tc>
        <w:tc>
          <w:tcPr>
            <w:tcW w:type="dxa" w:w="176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vAlign w:val="center"/>
          </w:tcPr>
          <w:p>
            <w:pPr>
              <w:jc w:val="left"/>
            </w:pPr>
            <w:r>
              <w:rPr>
                <w:rFonts w:ascii="Arial" w:cs="Arial" w:eastAsia="Arial" w:hAnsi="Arial"/>
                <w:color w:val="4A4A4A"/>
                <w:sz w:val="18"/>
                <w:szCs w:val="18"/>
              </w:rPr>
              <w:t xml:space="preserve">500 units sold, ≥4.2/5 user rating</w:t>
            </w:r>
          </w:p>
        </w:tc>
      </w:tr>
    </w:tbl>
    <w:p>
      <w:pPr>
        <w:spacing w:before="80" w:after="0"/>
      </w:pPr>
      <w:r>
        <w:rPr>
          <w:rFonts w:ascii="Arial" w:cs="Arial" w:eastAsia="Arial" w:hAnsi="Arial"/>
          <w:i/>
          <w:iCs/>
          <w:color w:val="40916C"/>
          <w:sz w:val="16"/>
          <w:szCs w:val="16"/>
        </w:rPr>
        <w:t xml:space="preserve">Table 13: Six-phase development roadmap from hackathon prototype to market launch</w:t>
      </w:r>
    </w:p>
    <w:p>
      <w:pPr>
        <w:spacing w:before="0" w:after="0"/>
      </w:pPr>
      <w:r>
        <w:br w:type="page"/>
      </w:r>
    </w:p>
    <w:p>
      <w:pPr>
        <w:pStyle w:val="Heading1"/>
        <w:pBdr>
          <w:top w:val="none" w:color="FFFFFF" w:sz="0"/>
          <w:bottom w:val="single" w:color="2D6A4F" w:sz="12"/>
          <w:left w:val="none" w:color="FFFFFF" w:sz="0"/>
          <w:right w:val="none" w:color="FFFFFF" w:sz="0"/>
        </w:pBdr>
        <w:spacing w:before="360" w:after="160"/>
      </w:pPr>
      <w:r>
        <w:rPr>
          <w:rFonts w:ascii="Arial" w:cs="Arial" w:eastAsia="Arial" w:hAnsi="Arial"/>
          <w:b/>
          <w:bCs/>
          <w:color w:val="1A3C2A"/>
          <w:sz w:val="36"/>
          <w:szCs w:val="36"/>
        </w:rPr>
        <w:t xml:space="preserve">14. References</w:t>
      </w:r>
    </w:p>
    <w:p>
      <w:pPr>
        <w:spacing w:before="80" w:after="100"/>
        <w:jc w:val="both"/>
      </w:pPr>
      <w:r>
        <w:rPr>
          <w:rFonts w:ascii="Arial" w:cs="Arial" w:eastAsia="Arial" w:hAnsi="Arial"/>
          <w:color w:val="4A4A4A"/>
          <w:sz w:val="20"/>
          <w:szCs w:val="20"/>
        </w:rPr>
        <w:t xml:space="preserve">All clinical data and design parameters cited in this report are referenced below. These references validate the therapeutic approach and provide the evidence base for the ArthroEase regulatory dossier.</w:t>
      </w:r>
    </w:p>
    <w:p>
      <w:pPr>
        <w:pStyle w:val="ListParagraph"/>
        <w:numPr>
          <w:ilvl w:val="0"/>
          <w:numId w:val="2"/>
        </w:numPr>
        <w:spacing w:before="40" w:after="40"/>
      </w:pPr>
      <w:r>
        <w:rPr>
          <w:rFonts w:ascii="Arial" w:cs="Arial" w:eastAsia="Arial" w:hAnsi="Arial"/>
          <w:color w:val="4A4A4A"/>
          <w:sz w:val="20"/>
          <w:szCs w:val="20"/>
        </w:rPr>
        <w:t xml:space="preserve">GBD 2019 Musculoskeletal Disorders Collaborators. 'Global, regional, and national burden of osteoarthritis.' Lancet Rheumatology, 2023; 5(9):e508–e522.</w:t>
      </w:r>
    </w:p>
    <w:p>
      <w:pPr>
        <w:pStyle w:val="ListParagraph"/>
        <w:numPr>
          <w:ilvl w:val="0"/>
          <w:numId w:val="2"/>
        </w:numPr>
        <w:spacing w:before="40" w:after="40"/>
      </w:pPr>
      <w:r>
        <w:rPr>
          <w:rFonts w:ascii="Arial" w:cs="Arial" w:eastAsia="Arial" w:hAnsi="Arial"/>
          <w:color w:val="4A4A4A"/>
          <w:sz w:val="20"/>
          <w:szCs w:val="20"/>
        </w:rPr>
        <w:t xml:space="preserve">Vance CGT et al. 'Effects of TENS on pain, pain sensitivity, and function in people with knee osteoarthritis.' Arthritis &amp; Rheumatism, 2012; 64(12):4007–4016.</w:t>
      </w:r>
    </w:p>
    <w:p>
      <w:pPr>
        <w:pStyle w:val="ListParagraph"/>
        <w:numPr>
          <w:ilvl w:val="0"/>
          <w:numId w:val="2"/>
        </w:numPr>
        <w:spacing w:before="40" w:after="40"/>
      </w:pPr>
      <w:r>
        <w:rPr>
          <w:rFonts w:ascii="Arial" w:cs="Arial" w:eastAsia="Arial" w:hAnsi="Arial"/>
          <w:color w:val="4A4A4A"/>
          <w:sz w:val="20"/>
          <w:szCs w:val="20"/>
        </w:rPr>
        <w:t xml:space="preserve">Bingöl U et al. 'Efficacy of TENS versus short-wave diathermy combined with TENS in KOA.' Rheumatology International, 2005; 25(6):444–448.</w:t>
      </w:r>
    </w:p>
    <w:p>
      <w:pPr>
        <w:pStyle w:val="ListParagraph"/>
        <w:numPr>
          <w:ilvl w:val="0"/>
          <w:numId w:val="2"/>
        </w:numPr>
        <w:spacing w:before="40" w:after="40"/>
      </w:pPr>
      <w:r>
        <w:rPr>
          <w:rFonts w:ascii="Arial" w:cs="Arial" w:eastAsia="Arial" w:hAnsi="Arial"/>
          <w:color w:val="4A4A4A"/>
          <w:sz w:val="20"/>
          <w:szCs w:val="20"/>
        </w:rPr>
        <w:t xml:space="preserve">Fransen M et al. 'Thermotherapy for treating rheumatoid arthritis.' Cochrane Database of Systematic Reviews, 2015; Issue 4.</w:t>
      </w:r>
    </w:p>
    <w:p>
      <w:pPr>
        <w:pStyle w:val="ListParagraph"/>
        <w:numPr>
          <w:ilvl w:val="0"/>
          <w:numId w:val="2"/>
        </w:numPr>
        <w:spacing w:before="40" w:after="40"/>
      </w:pPr>
      <w:r>
        <w:rPr>
          <w:rFonts w:ascii="Arial" w:cs="Arial" w:eastAsia="Arial" w:hAnsi="Arial"/>
          <w:color w:val="4A4A4A"/>
          <w:sz w:val="20"/>
          <w:szCs w:val="20"/>
        </w:rPr>
        <w:t xml:space="preserve">Johnson MI &amp; Martinson M. 'Efficacy of electrical nerve stimulation for chronic musculoskeletal pain: a meta-analysis.' Pain, 2007; 130(1–2):157–165.</w:t>
      </w:r>
    </w:p>
    <w:p>
      <w:pPr>
        <w:pStyle w:val="ListParagraph"/>
        <w:numPr>
          <w:ilvl w:val="0"/>
          <w:numId w:val="2"/>
        </w:numPr>
        <w:spacing w:before="40" w:after="40"/>
      </w:pPr>
      <w:r>
        <w:rPr>
          <w:rFonts w:ascii="Arial" w:cs="Arial" w:eastAsia="Arial" w:hAnsi="Arial"/>
          <w:color w:val="4A4A4A"/>
          <w:sz w:val="20"/>
          <w:szCs w:val="20"/>
        </w:rPr>
        <w:t xml:space="preserve">Park JS et al. 'Effects of local vibration on pain in knee osteoarthritis patients.' J Physical Therapy Science, 2016; 28(4):1261–1265.</w:t>
      </w:r>
    </w:p>
    <w:p>
      <w:pPr>
        <w:pStyle w:val="ListParagraph"/>
        <w:numPr>
          <w:ilvl w:val="0"/>
          <w:numId w:val="2"/>
        </w:numPr>
        <w:spacing w:before="40" w:after="40"/>
      </w:pPr>
      <w:r>
        <w:rPr>
          <w:rFonts w:ascii="Arial" w:cs="Arial" w:eastAsia="Arial" w:hAnsi="Arial"/>
          <w:color w:val="4A4A4A"/>
          <w:sz w:val="20"/>
          <w:szCs w:val="20"/>
        </w:rPr>
        <w:t xml:space="preserve">Slemenda C et al. 'Quadriceps weakness and osteoarthritis of the knee.' Annals of Internal Medicine, 1997; 127(2):97–104.</w:t>
      </w:r>
    </w:p>
    <w:p>
      <w:pPr>
        <w:pStyle w:val="ListParagraph"/>
        <w:numPr>
          <w:ilvl w:val="0"/>
          <w:numId w:val="2"/>
        </w:numPr>
        <w:spacing w:before="40" w:after="40"/>
      </w:pPr>
      <w:r>
        <w:rPr>
          <w:rFonts w:ascii="Arial" w:cs="Arial" w:eastAsia="Arial" w:hAnsi="Arial"/>
          <w:color w:val="4A4A4A"/>
          <w:sz w:val="20"/>
          <w:szCs w:val="20"/>
        </w:rPr>
        <w:t xml:space="preserve">Melzack R &amp; Wall PD. 'Pain mechanisms: a new theory.' Science, 1965; 150(3699):971–979.</w:t>
      </w:r>
    </w:p>
    <w:p>
      <w:pPr>
        <w:pStyle w:val="ListParagraph"/>
        <w:numPr>
          <w:ilvl w:val="0"/>
          <w:numId w:val="2"/>
        </w:numPr>
        <w:spacing w:before="40" w:after="40"/>
      </w:pPr>
      <w:r>
        <w:rPr>
          <w:rFonts w:ascii="Arial" w:cs="Arial" w:eastAsia="Arial" w:hAnsi="Arial"/>
          <w:color w:val="4A4A4A"/>
          <w:sz w:val="20"/>
          <w:szCs w:val="20"/>
        </w:rPr>
        <w:t xml:space="preserve">Xu J et al. 'Vibration loading prevents the decrease of bone formation in the femoral head by inhibiting osteocyte apoptosis.' Osteoarthritis and Cartilage, 2016; 24(9):1607–1615.</w:t>
      </w:r>
    </w:p>
    <w:p>
      <w:pPr>
        <w:pStyle w:val="ListParagraph"/>
        <w:numPr>
          <w:ilvl w:val="0"/>
          <w:numId w:val="2"/>
        </w:numPr>
        <w:spacing w:before="40" w:after="40"/>
      </w:pPr>
      <w:r>
        <w:rPr>
          <w:rFonts w:ascii="Arial" w:cs="Arial" w:eastAsia="Arial" w:hAnsi="Arial"/>
          <w:color w:val="4A4A4A"/>
          <w:sz w:val="20"/>
          <w:szCs w:val="20"/>
        </w:rPr>
        <w:t xml:space="preserve">Arden N &amp; Nevitt MC. 'Osteoarthritis: epidemiology.' Best Practice &amp; Research Clinical Rheumatology, 2006; 20(1):3–25.</w:t>
      </w:r>
    </w:p>
    <w:p>
      <w:pPr>
        <w:pStyle w:val="ListParagraph"/>
        <w:numPr>
          <w:ilvl w:val="0"/>
          <w:numId w:val="2"/>
        </w:numPr>
        <w:spacing w:before="40" w:after="40"/>
      </w:pPr>
      <w:r>
        <w:rPr>
          <w:rFonts w:ascii="Arial" w:cs="Arial" w:eastAsia="Arial" w:hAnsi="Arial"/>
          <w:color w:val="4A4A4A"/>
          <w:sz w:val="20"/>
          <w:szCs w:val="20"/>
        </w:rPr>
        <w:t xml:space="preserve">NICE Guidelines NG226 (2022). 'Osteoarthritis in over 16s: diagnosis and management.' National Institute for Health and Care Excellence.</w:t>
      </w:r>
    </w:p>
    <w:p>
      <w:pPr>
        <w:pStyle w:val="ListParagraph"/>
        <w:numPr>
          <w:ilvl w:val="0"/>
          <w:numId w:val="2"/>
        </w:numPr>
        <w:spacing w:before="40" w:after="40"/>
      </w:pPr>
      <w:r>
        <w:rPr>
          <w:rFonts w:ascii="Arial" w:cs="Arial" w:eastAsia="Arial" w:hAnsi="Arial"/>
          <w:color w:val="4A4A4A"/>
          <w:sz w:val="20"/>
          <w:szCs w:val="20"/>
        </w:rPr>
        <w:t xml:space="preserve">IEC 60601-2-10 (2012). 'Medical electrical equipment — Particular requirements for the basic safety and essential performance of nerve and muscle stimulators.'</w:t>
      </w:r>
    </w:p>
    <w:p>
      <w:pPr>
        <w:pStyle w:val="ListParagraph"/>
        <w:numPr>
          <w:ilvl w:val="0"/>
          <w:numId w:val="2"/>
        </w:numPr>
        <w:spacing w:before="40" w:after="40"/>
      </w:pPr>
      <w:r>
        <w:rPr>
          <w:rFonts w:ascii="Arial" w:cs="Arial" w:eastAsia="Arial" w:hAnsi="Arial"/>
          <w:color w:val="4A4A4A"/>
          <w:sz w:val="20"/>
          <w:szCs w:val="20"/>
        </w:rPr>
        <w:t xml:space="preserve">Moritz AR &amp; Henriques FC. 'Studies of thermal injury II: the relative importance of time and surface temperature in the causation of cutaneous burns.' American Journal of Pathology, 1947; 23(5):695–720.</w:t>
      </w:r>
    </w:p>
    <w:p>
      <w:pPr>
        <w:pStyle w:val="ListParagraph"/>
        <w:numPr>
          <w:ilvl w:val="0"/>
          <w:numId w:val="2"/>
        </w:numPr>
        <w:spacing w:before="40" w:after="40"/>
      </w:pPr>
      <w:r>
        <w:rPr>
          <w:rFonts w:ascii="Arial" w:cs="Arial" w:eastAsia="Arial" w:hAnsi="Arial"/>
          <w:color w:val="4A4A4A"/>
          <w:sz w:val="20"/>
          <w:szCs w:val="20"/>
        </w:rPr>
        <w:t xml:space="preserve">Texas Instruments. 'DRV2605L Haptic Driver for LRA and ERM with Smart-Loop Architecture.' Datasheet SLOS854B, 2015.</w:t>
      </w:r>
    </w:p>
    <w:p>
      <w:pPr>
        <w:pStyle w:val="ListParagraph"/>
        <w:numPr>
          <w:ilvl w:val="0"/>
          <w:numId w:val="2"/>
        </w:numPr>
        <w:spacing w:before="40" w:after="40"/>
      </w:pPr>
      <w:r>
        <w:rPr>
          <w:rFonts w:ascii="Arial" w:cs="Arial" w:eastAsia="Arial" w:hAnsi="Arial"/>
          <w:color w:val="4A4A4A"/>
          <w:sz w:val="20"/>
          <w:szCs w:val="20"/>
        </w:rPr>
        <w:t xml:space="preserve">Espressif Systems. 'ESP32-S3 Technical Reference Manual v1.4.' Espressif Systems, 2023.</w:t>
      </w:r>
    </w:p>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6"/>
              <w:left w:val="single" w:color="2D6A4F" w:sz="16"/>
              <w:bottom w:val="single" w:color="2D6A4F" w:sz="16"/>
              <w:right w:val="single" w:color="2D6A4F" w:sz="16"/>
            </w:tcBorders>
            <w:shd w:fill="1A3C2A" w:val="clear"/>
            <w:tcMar>
              <w:top w:type="dxa" w:w="200"/>
              <w:left w:type="dxa" w:w="300"/>
              <w:bottom w:type="dxa" w:w="200"/>
              <w:right w:type="dxa" w:w="300"/>
            </w:tcMar>
          </w:tcPr>
          <w:p>
            <w:pPr>
              <w:spacing w:before="0" w:after="100"/>
              <w:jc w:val="center"/>
            </w:pPr>
            <w:r>
              <w:rPr>
                <w:rFonts w:ascii="Arial" w:cs="Arial" w:eastAsia="Arial" w:hAnsi="Arial"/>
                <w:b/>
                <w:bCs/>
                <w:color w:val="FFFFFF"/>
                <w:sz w:val="36"/>
                <w:szCs w:val="36"/>
              </w:rPr>
              <w:t xml:space="preserve">ArthroEase</w:t>
            </w:r>
          </w:p>
          <w:p>
            <w:pPr>
              <w:spacing w:before="0" w:after="60"/>
              <w:jc w:val="center"/>
            </w:pPr>
            <w:r>
              <w:rPr>
                <w:rFonts w:ascii="Arial" w:cs="Arial" w:eastAsia="Arial" w:hAnsi="Arial"/>
                <w:i/>
                <w:iCs/>
                <w:color w:val="95D5B2"/>
                <w:sz w:val="26"/>
                <w:szCs w:val="26"/>
              </w:rPr>
              <w:t xml:space="preserve">Pain Relief in Every Step of the Way</w:t>
            </w:r>
          </w:p>
          <w:p>
            <w:pPr>
              <w:spacing w:before="0" w:after="0"/>
              <w:jc w:val="center"/>
            </w:pPr>
            <w:r>
              <w:rPr>
                <w:rFonts w:ascii="Arial" w:cs="Arial" w:eastAsia="Arial" w:hAnsi="Arial"/>
                <w:color w:val="95D5B2"/>
                <w:sz w:val="20"/>
                <w:szCs w:val="20"/>
              </w:rPr>
              <w:t xml:space="preserve">Smart Biofeedback-Driven Wearable | TENS + Heat + Vibration + Adaptive Control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5D5B2" w:sz="4"/>
        <w:bottom w:val="none" w:color="FFFFFF" w:sz="0"/>
        <w:left w:val="none" w:color="FFFFFF" w:sz="0"/>
        <w:right w:val="none" w:color="FFFFFF" w:sz="0"/>
      </w:pBdr>
      <w:spacing w:before="80"/>
      <w:jc w:val="center"/>
    </w:pPr>
    <w:r>
      <w:rPr>
        <w:rFonts w:ascii="Arial" w:cs="Arial" w:eastAsia="Arial" w:hAnsi="Arial"/>
        <w:color w:val="40916C"/>
        <w:sz w:val="16"/>
        <w:szCs w:val="16"/>
      </w:rPr>
      <w:t xml:space="preserve">ArthroEase — Pain Relief in Every Step of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95D5B2" w:sz="6"/>
        <w:left w:val="none" w:color="FFFFFF" w:sz="0"/>
        <w:right w:val="none" w:color="FFFFFF" w:sz="0"/>
      </w:pBdr>
      <w:spacing w:before="0" w:after="80"/>
      <w:jc w:val="right"/>
    </w:pPr>
    <w:r>
      <w:rPr>
        <w:rFonts w:ascii="Arial" w:cs="Arial" w:eastAsia="Arial" w:hAnsi="Arial"/>
        <w:i/>
        <w:iCs/>
        <w:color w:val="2D6A4F"/>
        <w:sz w:val="16"/>
        <w:szCs w:val="16"/>
      </w:rPr>
      <w:t xml:space="preserve">ArthroEase Technical Report 2025  |  Hackathon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2A"/>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D6A4F"/>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2026-03-15T18:33:42.640Z</dcterms:created>
  <dcterms:modified xsi:type="dcterms:W3CDTF">2026-03-15T18:33:42.641Z</dcterms:modified>
</cp:coreProperties>
</file>

<file path=docProps/custom.xml><?xml version="1.0" encoding="utf-8"?>
<Properties xmlns="http://schemas.openxmlformats.org/officeDocument/2006/custom-properties" xmlns:vt="http://schemas.openxmlformats.org/officeDocument/2006/docPropsVTypes"/>
</file>