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color w:val="2F7D4F"/>
          <w:sz w:val="26"/>
          <w:szCs w:val="26"/>
        </w:rPr>
        <w:t xml:space="preserve">GSTP Onboard AI</w:t>
      </w:r>
    </w:p>
    <w:p>
      <w:pPr>
        <w:spacing w:after="120"/>
      </w:pPr>
      <w:r>
        <w:rPr>
          <w:rFonts w:ascii="Calibri" w:cs="Calibri" w:eastAsia="Calibri" w:hAnsi="Calibri"/>
          <w:b/>
          <w:bCs/>
          <w:color w:val="1F2A44"/>
          <w:sz w:val="48"/>
          <w:szCs w:val="48"/>
        </w:rPr>
        <w:t xml:space="preserve">Hazard-Model Training: Technical Report</w:t>
      </w:r>
    </w:p>
    <w:p>
      <w:pPr>
        <w:spacing w:after="360"/>
      </w:pPr>
      <w:r>
        <w:rPr>
          <w:rFonts w:ascii="Calibri" w:cs="Calibri" w:eastAsia="Calibri" w:hAnsi="Calibri"/>
          <w:color w:val="6B7486"/>
          <w:sz w:val="26"/>
          <w:szCs w:val="26"/>
        </w:rPr>
        <w:t xml:space="preserve">Progress report 1: agriculture land-use classification and wildfire burn-scar segmentation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5DAE3" w:sz="4"/>
              <w:left w:val="single" w:color="D5DAE3" w:sz="4"/>
              <w:bottom w:val="single" w:color="D5DAE3" w:sz="4"/>
              <w:right w:val="single" w:color="D5DAE3" w:sz="4"/>
            </w:tcBorders>
            <w:shd w:fill="EEF1F5" w:color="auto" w:val="clear"/>
            <w:tcMar>
              <w:top w:type="dxa" w:w="80"/>
              <w:left w:type="dxa" w:w="120"/>
              <w:bottom w:type="dxa" w:w="80"/>
              <w:right w:type="dxa" w:w="120"/>
            </w:tcMar>
          </w:tcPr>
          <w:p>
            <w:r>
              <w:rPr>
                <w:rFonts w:ascii="Calibri" w:cs="Calibri" w:eastAsia="Calibri" w:hAnsi="Calibri"/>
                <w:b/>
                <w:bCs/>
                <w:color w:val="1F2A44"/>
                <w:sz w:val="20"/>
                <w:szCs w:val="20"/>
              </w:rPr>
              <w:t xml:space="preserve">Author</w:t>
            </w:r>
          </w:p>
        </w:tc>
        <w:tc>
          <w:tcPr>
            <w:tcW w:type="dxa" w:w="6826"/>
            <w:tcBorders>
              <w:top w:val="single" w:color="D5DAE3" w:sz="4"/>
              <w:left w:val="single" w:color="D5DAE3" w:sz="4"/>
              <w:bottom w:val="single" w:color="D5DAE3" w:sz="4"/>
              <w:right w:val="single" w:color="D5DAE3" w:sz="4"/>
            </w:tcBorders>
            <w:shd w:fill="FFFFFF" w:color="auto" w:val="clear"/>
            <w:tcMar>
              <w:top w:type="dxa" w:w="80"/>
              <w:left w:type="dxa" w:w="120"/>
              <w:bottom w:type="dxa" w:w="80"/>
              <w:right w:type="dxa" w:w="120"/>
            </w:tcMar>
          </w:tcPr>
          <w:p>
            <w:r>
              <w:rPr>
                <w:rFonts w:ascii="Calibri" w:cs="Calibri" w:eastAsia="Calibri" w:hAnsi="Calibri"/>
                <w:b w:val="false"/>
                <w:bCs w:val="false"/>
                <w:color w:val="1F2A44"/>
                <w:sz w:val="20"/>
                <w:szCs w:val="20"/>
              </w:rPr>
              <w:t xml:space="preserve">Inayat Arshad, AI/ML Engineer (Embedded team)</w:t>
            </w:r>
          </w:p>
        </w:tc>
      </w:tr>
      <w:tr>
        <w:tc>
          <w:tcPr>
            <w:tcW w:type="dxa" w:w="2200"/>
            <w:tcBorders>
              <w:top w:val="single" w:color="D5DAE3" w:sz="4"/>
              <w:left w:val="single" w:color="D5DAE3" w:sz="4"/>
              <w:bottom w:val="single" w:color="D5DAE3" w:sz="4"/>
              <w:right w:val="single" w:color="D5DAE3" w:sz="4"/>
            </w:tcBorders>
            <w:shd w:fill="EEF1F5" w:color="auto" w:val="clear"/>
            <w:tcMar>
              <w:top w:type="dxa" w:w="80"/>
              <w:left w:type="dxa" w:w="120"/>
              <w:bottom w:type="dxa" w:w="80"/>
              <w:right w:type="dxa" w:w="120"/>
            </w:tcMar>
          </w:tcPr>
          <w:p>
            <w:r>
              <w:rPr>
                <w:rFonts w:ascii="Calibri" w:cs="Calibri" w:eastAsia="Calibri" w:hAnsi="Calibri"/>
                <w:b/>
                <w:bCs/>
                <w:color w:val="1F2A44"/>
                <w:sz w:val="20"/>
                <w:szCs w:val="20"/>
              </w:rPr>
              <w:t xml:space="preserve">Project</w:t>
            </w:r>
          </w:p>
        </w:tc>
        <w:tc>
          <w:tcPr>
            <w:tcW w:type="dxa" w:w="6826"/>
            <w:tcBorders>
              <w:top w:val="single" w:color="D5DAE3" w:sz="4"/>
              <w:left w:val="single" w:color="D5DAE3" w:sz="4"/>
              <w:bottom w:val="single" w:color="D5DAE3" w:sz="4"/>
              <w:right w:val="single" w:color="D5DAE3" w:sz="4"/>
            </w:tcBorders>
            <w:shd w:fill="FFFFFF" w:color="auto" w:val="clear"/>
            <w:tcMar>
              <w:top w:type="dxa" w:w="80"/>
              <w:left w:type="dxa" w:w="120"/>
              <w:bottom w:type="dxa" w:w="80"/>
              <w:right w:type="dxa" w:w="120"/>
            </w:tcMar>
          </w:tcPr>
          <w:p>
            <w:r>
              <w:rPr>
                <w:rFonts w:ascii="Calibri" w:cs="Calibri" w:eastAsia="Calibri" w:hAnsi="Calibri"/>
                <w:b w:val="false"/>
                <w:bCs w:val="false"/>
                <w:color w:val="1F2A44"/>
                <w:sz w:val="20"/>
                <w:szCs w:val="20"/>
              </w:rPr>
              <w:t xml:space="preserve">ESA GSTP onboard Earth-observation demonstrator, Space Systems Ltd</w:t>
            </w:r>
          </w:p>
        </w:tc>
      </w:tr>
      <w:tr>
        <w:tc>
          <w:tcPr>
            <w:tcW w:type="dxa" w:w="2200"/>
            <w:tcBorders>
              <w:top w:val="single" w:color="D5DAE3" w:sz="4"/>
              <w:left w:val="single" w:color="D5DAE3" w:sz="4"/>
              <w:bottom w:val="single" w:color="D5DAE3" w:sz="4"/>
              <w:right w:val="single" w:color="D5DAE3" w:sz="4"/>
            </w:tcBorders>
            <w:shd w:fill="EEF1F5" w:color="auto" w:val="clear"/>
            <w:tcMar>
              <w:top w:type="dxa" w:w="80"/>
              <w:left w:type="dxa" w:w="120"/>
              <w:bottom w:type="dxa" w:w="80"/>
              <w:right w:type="dxa" w:w="120"/>
            </w:tcMar>
          </w:tcPr>
          <w:p>
            <w:r>
              <w:rPr>
                <w:rFonts w:ascii="Calibri" w:cs="Calibri" w:eastAsia="Calibri" w:hAnsi="Calibri"/>
                <w:b/>
                <w:bCs/>
                <w:color w:val="1F2A44"/>
                <w:sz w:val="20"/>
                <w:szCs w:val="20"/>
              </w:rPr>
              <w:t xml:space="preserve">Task owner</w:t>
            </w:r>
          </w:p>
        </w:tc>
        <w:tc>
          <w:tcPr>
            <w:tcW w:type="dxa" w:w="6826"/>
            <w:tcBorders>
              <w:top w:val="single" w:color="D5DAE3" w:sz="4"/>
              <w:left w:val="single" w:color="D5DAE3" w:sz="4"/>
              <w:bottom w:val="single" w:color="D5DAE3" w:sz="4"/>
              <w:right w:val="single" w:color="D5DAE3" w:sz="4"/>
            </w:tcBorders>
            <w:shd w:fill="FFFFFF" w:color="auto" w:val="clear"/>
            <w:tcMar>
              <w:top w:type="dxa" w:w="80"/>
              <w:left w:type="dxa" w:w="120"/>
              <w:bottom w:type="dxa" w:w="80"/>
              <w:right w:type="dxa" w:w="120"/>
            </w:tcMar>
          </w:tcPr>
          <w:p>
            <w:r>
              <w:rPr>
                <w:rFonts w:ascii="Calibri" w:cs="Calibri" w:eastAsia="Calibri" w:hAnsi="Calibri"/>
                <w:b w:val="false"/>
                <w:bCs w:val="false"/>
                <w:color w:val="1F2A44"/>
                <w:sz w:val="20"/>
                <w:szCs w:val="20"/>
              </w:rPr>
              <w:t xml:space="preserve">Ayesha Abid</w:t>
            </w:r>
          </w:p>
        </w:tc>
      </w:tr>
      <w:tr>
        <w:tc>
          <w:tcPr>
            <w:tcW w:type="dxa" w:w="2200"/>
            <w:tcBorders>
              <w:top w:val="single" w:color="D5DAE3" w:sz="4"/>
              <w:left w:val="single" w:color="D5DAE3" w:sz="4"/>
              <w:bottom w:val="single" w:color="D5DAE3" w:sz="4"/>
              <w:right w:val="single" w:color="D5DAE3" w:sz="4"/>
            </w:tcBorders>
            <w:shd w:fill="EEF1F5" w:color="auto" w:val="clear"/>
            <w:tcMar>
              <w:top w:type="dxa" w:w="80"/>
              <w:left w:type="dxa" w:w="120"/>
              <w:bottom w:type="dxa" w:w="80"/>
              <w:right w:type="dxa" w:w="120"/>
            </w:tcMar>
          </w:tcPr>
          <w:p>
            <w:r>
              <w:rPr>
                <w:rFonts w:ascii="Calibri" w:cs="Calibri" w:eastAsia="Calibri" w:hAnsi="Calibri"/>
                <w:b/>
                <w:bCs/>
                <w:color w:val="1F2A44"/>
                <w:sz w:val="20"/>
                <w:szCs w:val="20"/>
              </w:rPr>
              <w:t xml:space="preserve">Date</w:t>
            </w:r>
          </w:p>
        </w:tc>
        <w:tc>
          <w:tcPr>
            <w:tcW w:type="dxa" w:w="6826"/>
            <w:tcBorders>
              <w:top w:val="single" w:color="D5DAE3" w:sz="4"/>
              <w:left w:val="single" w:color="D5DAE3" w:sz="4"/>
              <w:bottom w:val="single" w:color="D5DAE3" w:sz="4"/>
              <w:right w:val="single" w:color="D5DAE3" w:sz="4"/>
            </w:tcBorders>
            <w:shd w:fill="FFFFFF" w:color="auto" w:val="clear"/>
            <w:tcMar>
              <w:top w:type="dxa" w:w="80"/>
              <w:left w:type="dxa" w:w="120"/>
              <w:bottom w:type="dxa" w:w="80"/>
              <w:right w:type="dxa" w:w="120"/>
            </w:tcMar>
          </w:tcPr>
          <w:p>
            <w:r>
              <w:rPr>
                <w:rFonts w:ascii="Calibri" w:cs="Calibri" w:eastAsia="Calibri" w:hAnsi="Calibri"/>
                <w:b w:val="false"/>
                <w:bCs w:val="false"/>
                <w:color w:val="1F2A44"/>
                <w:sz w:val="20"/>
                <w:szCs w:val="20"/>
              </w:rPr>
              <w:t xml:space="preserve">22 October 2026</w:t>
            </w:r>
          </w:p>
        </w:tc>
      </w:tr>
      <w:tr>
        <w:tc>
          <w:tcPr>
            <w:tcW w:type="dxa" w:w="2200"/>
            <w:tcBorders>
              <w:top w:val="single" w:color="D5DAE3" w:sz="4"/>
              <w:left w:val="single" w:color="D5DAE3" w:sz="4"/>
              <w:bottom w:val="single" w:color="D5DAE3" w:sz="4"/>
              <w:right w:val="single" w:color="D5DAE3" w:sz="4"/>
            </w:tcBorders>
            <w:shd w:fill="EEF1F5" w:color="auto" w:val="clear"/>
            <w:tcMar>
              <w:top w:type="dxa" w:w="80"/>
              <w:left w:type="dxa" w:w="120"/>
              <w:bottom w:type="dxa" w:w="80"/>
              <w:right w:type="dxa" w:w="120"/>
            </w:tcMar>
          </w:tcPr>
          <w:p>
            <w:r>
              <w:rPr>
                <w:rFonts w:ascii="Calibri" w:cs="Calibri" w:eastAsia="Calibri" w:hAnsi="Calibri"/>
                <w:b/>
                <w:bCs/>
                <w:color w:val="1F2A44"/>
                <w:sz w:val="20"/>
                <w:szCs w:val="20"/>
              </w:rPr>
              <w:t xml:space="preserve">Code</w:t>
            </w:r>
          </w:p>
        </w:tc>
        <w:tc>
          <w:tcPr>
            <w:tcW w:type="dxa" w:w="6826"/>
            <w:tcBorders>
              <w:top w:val="single" w:color="D5DAE3" w:sz="4"/>
              <w:left w:val="single" w:color="D5DAE3" w:sz="4"/>
              <w:bottom w:val="single" w:color="D5DAE3" w:sz="4"/>
              <w:right w:val="single" w:color="D5DAE3" w:sz="4"/>
            </w:tcBorders>
            <w:shd w:fill="FFFFFF" w:color="auto" w:val="clear"/>
            <w:tcMar>
              <w:top w:type="dxa" w:w="80"/>
              <w:left w:type="dxa" w:w="120"/>
              <w:bottom w:type="dxa" w:w="80"/>
              <w:right w:type="dxa" w:w="120"/>
            </w:tcMar>
          </w:tcPr>
          <w:p>
            <w:r>
              <w:rPr>
                <w:rFonts w:ascii="Calibri" w:cs="Calibri" w:eastAsia="Calibri" w:hAnsi="Calibri"/>
                <w:b w:val="false"/>
                <w:bCs w:val="false"/>
                <w:color w:val="1F2A44"/>
                <w:sz w:val="20"/>
                <w:szCs w:val="20"/>
              </w:rPr>
              <w:t xml:space="preserve">github.com/inayatarshad/trainedmodels_gstp</w:t>
            </w:r>
          </w:p>
        </w:tc>
      </w:tr>
      <w:tr>
        <w:tc>
          <w:tcPr>
            <w:tcW w:type="dxa" w:w="2200"/>
            <w:tcBorders>
              <w:top w:val="single" w:color="D5DAE3" w:sz="4"/>
              <w:left w:val="single" w:color="D5DAE3" w:sz="4"/>
              <w:bottom w:val="single" w:color="D5DAE3" w:sz="4"/>
              <w:right w:val="single" w:color="D5DAE3" w:sz="4"/>
            </w:tcBorders>
            <w:shd w:fill="EEF1F5" w:color="auto" w:val="clear"/>
            <w:tcMar>
              <w:top w:type="dxa" w:w="80"/>
              <w:left w:type="dxa" w:w="120"/>
              <w:bottom w:type="dxa" w:w="80"/>
              <w:right w:type="dxa" w:w="120"/>
            </w:tcMar>
          </w:tcPr>
          <w:p>
            <w:r>
              <w:rPr>
                <w:rFonts w:ascii="Calibri" w:cs="Calibri" w:eastAsia="Calibri" w:hAnsi="Calibri"/>
                <w:b/>
                <w:bCs/>
                <w:color w:val="1F2A44"/>
                <w:sz w:val="20"/>
                <w:szCs w:val="20"/>
              </w:rPr>
              <w:t xml:space="preserve">Status</w:t>
            </w:r>
          </w:p>
        </w:tc>
        <w:tc>
          <w:tcPr>
            <w:tcW w:type="dxa" w:w="6826"/>
            <w:tcBorders>
              <w:top w:val="single" w:color="D5DAE3" w:sz="4"/>
              <w:left w:val="single" w:color="D5DAE3" w:sz="4"/>
              <w:bottom w:val="single" w:color="D5DAE3" w:sz="4"/>
              <w:right w:val="single" w:color="D5DAE3" w:sz="4"/>
            </w:tcBorders>
            <w:shd w:fill="FFFFFF" w:color="auto" w:val="clear"/>
            <w:tcMar>
              <w:top w:type="dxa" w:w="80"/>
              <w:left w:type="dxa" w:w="120"/>
              <w:bottom w:type="dxa" w:w="80"/>
              <w:right w:type="dxa" w:w="120"/>
            </w:tcMar>
          </w:tcPr>
          <w:p>
            <w:r>
              <w:rPr>
                <w:rFonts w:ascii="Calibri" w:cs="Calibri" w:eastAsia="Calibri" w:hAnsi="Calibri"/>
                <w:b w:val="false"/>
                <w:bCs w:val="false"/>
                <w:color w:val="1F2A44"/>
                <w:sz w:val="20"/>
                <w:szCs w:val="20"/>
              </w:rPr>
              <w:t xml:space="preserve">2 of 5 models trained and tested; floods training in progress</w:t>
            </w:r>
          </w:p>
        </w:tc>
      </w:tr>
    </w:tbl>
    <w:p>
      <w:r>
        <w:br w:type="page"/>
      </w:r>
    </w:p>
    <w:p>
      <w:pPr>
        <w:pStyle w:val="Heading1"/>
        <w:keepNext/>
        <w:keepLines/>
        <w:spacing w:after="160" w:before="360"/>
      </w:pPr>
      <w:r>
        <w:rPr>
          <w:rFonts w:ascii="Calibri" w:cs="Calibri" w:eastAsia="Calibri" w:hAnsi="Calibri"/>
          <w:b/>
          <w:bCs/>
          <w:color w:val="1F2A44"/>
          <w:sz w:val="32"/>
          <w:szCs w:val="32"/>
        </w:rPr>
        <w:t xml:space="preserve">1. Summary</w:t>
      </w:r>
    </w:p>
    <w:p>
      <w:pPr>
        <w:spacing w:after="140" w:line="288"/>
      </w:pPr>
      <w:r>
        <w:rPr>
          <w:rFonts w:ascii="Calibri" w:cs="Calibri" w:eastAsia="Calibri" w:hAnsi="Calibri"/>
          <w:color w:val="1F2A44"/>
          <w:sz w:val="22"/>
          <w:szCs w:val="22"/>
        </w:rPr>
        <w:t xml:space="preserve">This report covers the training stage of the AI component of the GSTP onboard demonstrator. The aim is to have trained, tested models for five hazard tasks (agriculture, floods, wildfires, forestry and air quality) for the 60 monitoring sites agreed with Ayesha, using public satellite imagery. Deployment on the Jetson is not part of this stage; every model is exported to ONNX so it can be built into a TensorRT engine later.</w:t>
      </w:r>
    </w:p>
    <w:p>
      <w:pPr>
        <w:spacing w:after="140" w:line="288"/>
      </w:pPr>
      <w:r>
        <w:rPr>
          <w:rFonts w:ascii="Calibri" w:cs="Calibri" w:eastAsia="Calibri" w:hAnsi="Calibri"/>
          <w:color w:val="1F2A44"/>
          <w:sz w:val="22"/>
          <w:szCs w:val="22"/>
        </w:rPr>
        <w:t xml:space="preserve">Two models are complete and evaluated on data they never saw during training:</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650"/>
        <w:gridCol w:w="1600"/>
        <w:gridCol w:w="2176"/>
        <w:gridCol w:w="1900"/>
      </w:tblGrid>
      <w:tr>
        <w:trPr>
          <w:tblHeader/>
        </w:trPr>
        <w:tc>
          <w:tcPr>
            <w:tcW w:type="dxa" w:w="1700"/>
            <w:tcBorders>
              <w:top w:val="single" w:color="D5DAE3" w:sz="4"/>
              <w:left w:val="single" w:color="D5DAE3" w:sz="4"/>
              <w:bottom w:val="single" w:color="D5DAE3" w:sz="4"/>
              <w:right w:val="single" w:color="D5DAE3" w:sz="4"/>
            </w:tcBorders>
            <w:shd w:fill="1F2A44" w:color="auto" w:val="clear"/>
            <w:tcMar>
              <w:top w:type="dxa" w:w="70"/>
              <w:left w:type="dxa" w:w="110"/>
              <w:bottom w:type="dxa" w:w="70"/>
              <w:right w:type="dxa" w:w="110"/>
            </w:tcMar>
          </w:tcPr>
          <w:p>
            <w:r>
              <w:rPr>
                <w:rFonts w:ascii="Calibri" w:cs="Calibri" w:eastAsia="Calibri" w:hAnsi="Calibri"/>
                <w:b/>
                <w:bCs/>
                <w:color w:val="FFFFFF"/>
                <w:sz w:val="19"/>
                <w:szCs w:val="19"/>
              </w:rPr>
              <w:t xml:space="preserve">Model</w:t>
            </w:r>
          </w:p>
        </w:tc>
        <w:tc>
          <w:tcPr>
            <w:tcW w:type="dxa" w:w="1650"/>
            <w:tcBorders>
              <w:top w:val="single" w:color="D5DAE3" w:sz="4"/>
              <w:left w:val="single" w:color="D5DAE3" w:sz="4"/>
              <w:bottom w:val="single" w:color="D5DAE3" w:sz="4"/>
              <w:right w:val="single" w:color="D5DAE3" w:sz="4"/>
            </w:tcBorders>
            <w:shd w:fill="1F2A44" w:color="auto" w:val="clear"/>
            <w:tcMar>
              <w:top w:type="dxa" w:w="70"/>
              <w:left w:type="dxa" w:w="110"/>
              <w:bottom w:type="dxa" w:w="70"/>
              <w:right w:type="dxa" w:w="110"/>
            </w:tcMar>
          </w:tcPr>
          <w:p>
            <w:r>
              <w:rPr>
                <w:rFonts w:ascii="Calibri" w:cs="Calibri" w:eastAsia="Calibri" w:hAnsi="Calibri"/>
                <w:b/>
                <w:bCs/>
                <w:color w:val="FFFFFF"/>
                <w:sz w:val="19"/>
                <w:szCs w:val="19"/>
              </w:rPr>
              <w:t xml:space="preserve">Task type</w:t>
            </w:r>
          </w:p>
        </w:tc>
        <w:tc>
          <w:tcPr>
            <w:tcW w:type="dxa" w:w="1600"/>
            <w:tcBorders>
              <w:top w:val="single" w:color="D5DAE3" w:sz="4"/>
              <w:left w:val="single" w:color="D5DAE3" w:sz="4"/>
              <w:bottom w:val="single" w:color="D5DAE3" w:sz="4"/>
              <w:right w:val="single" w:color="D5DAE3" w:sz="4"/>
            </w:tcBorders>
            <w:shd w:fill="1F2A44" w:color="auto" w:val="clear"/>
            <w:tcMar>
              <w:top w:type="dxa" w:w="70"/>
              <w:left w:type="dxa" w:w="110"/>
              <w:bottom w:type="dxa" w:w="70"/>
              <w:right w:type="dxa" w:w="110"/>
            </w:tcMar>
          </w:tcPr>
          <w:p>
            <w:r>
              <w:rPr>
                <w:rFonts w:ascii="Calibri" w:cs="Calibri" w:eastAsia="Calibri" w:hAnsi="Calibri"/>
                <w:b/>
                <w:bCs/>
                <w:color w:val="FFFFFF"/>
                <w:sz w:val="19"/>
                <w:szCs w:val="19"/>
              </w:rPr>
              <w:t xml:space="preserve">Test data</w:t>
            </w:r>
          </w:p>
        </w:tc>
        <w:tc>
          <w:tcPr>
            <w:tcW w:type="dxa" w:w="2176"/>
            <w:tcBorders>
              <w:top w:val="single" w:color="D5DAE3" w:sz="4"/>
              <w:left w:val="single" w:color="D5DAE3" w:sz="4"/>
              <w:bottom w:val="single" w:color="D5DAE3" w:sz="4"/>
              <w:right w:val="single" w:color="D5DAE3" w:sz="4"/>
            </w:tcBorders>
            <w:shd w:fill="1F2A44" w:color="auto" w:val="clear"/>
            <w:tcMar>
              <w:top w:type="dxa" w:w="70"/>
              <w:left w:type="dxa" w:w="110"/>
              <w:bottom w:type="dxa" w:w="70"/>
              <w:right w:type="dxa" w:w="110"/>
            </w:tcMar>
          </w:tcPr>
          <w:p>
            <w:r>
              <w:rPr>
                <w:rFonts w:ascii="Calibri" w:cs="Calibri" w:eastAsia="Calibri" w:hAnsi="Calibri"/>
                <w:b/>
                <w:bCs/>
                <w:color w:val="FFFFFF"/>
                <w:sz w:val="19"/>
                <w:szCs w:val="19"/>
              </w:rPr>
              <w:t xml:space="preserve">Result</w:t>
            </w:r>
          </w:p>
        </w:tc>
        <w:tc>
          <w:tcPr>
            <w:tcW w:type="dxa" w:w="1900"/>
            <w:tcBorders>
              <w:top w:val="single" w:color="D5DAE3" w:sz="4"/>
              <w:left w:val="single" w:color="D5DAE3" w:sz="4"/>
              <w:bottom w:val="single" w:color="D5DAE3" w:sz="4"/>
              <w:right w:val="single" w:color="D5DAE3" w:sz="4"/>
            </w:tcBorders>
            <w:shd w:fill="1F2A44" w:color="auto" w:val="clear"/>
            <w:tcMar>
              <w:top w:type="dxa" w:w="70"/>
              <w:left w:type="dxa" w:w="110"/>
              <w:bottom w:type="dxa" w:w="70"/>
              <w:right w:type="dxa" w:w="110"/>
            </w:tcMar>
          </w:tcPr>
          <w:p>
            <w:r>
              <w:rPr>
                <w:rFonts w:ascii="Calibri" w:cs="Calibri" w:eastAsia="Calibri" w:hAnsi="Calibri"/>
                <w:b/>
                <w:bCs/>
                <w:color w:val="FFFFFF"/>
                <w:sz w:val="19"/>
                <w:szCs w:val="19"/>
              </w:rPr>
              <w:t xml:space="preserve">Classic baseline</w:t>
            </w:r>
          </w:p>
        </w:tc>
      </w:tr>
      <w:tr>
        <w:tc>
          <w:tcPr>
            <w:tcW w:type="dxa" w:w="17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r>
              <w:rPr>
                <w:rFonts w:ascii="Calibri" w:cs="Calibri" w:eastAsia="Calibri" w:hAnsi="Calibri"/>
                <w:b/>
                <w:bCs/>
                <w:color w:val="1F2A44"/>
                <w:sz w:val="19"/>
                <w:szCs w:val="19"/>
              </w:rPr>
              <w:t xml:space="preserve">Agriculture land use</w:t>
            </w:r>
          </w:p>
        </w:tc>
        <w:tc>
          <w:tcPr>
            <w:tcW w:type="dxa" w:w="165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r>
              <w:rPr>
                <w:rFonts w:ascii="Calibri" w:cs="Calibri" w:eastAsia="Calibri" w:hAnsi="Calibri"/>
                <w:b w:val="false"/>
                <w:bCs w:val="false"/>
                <w:color w:val="1F2A44"/>
                <w:sz w:val="19"/>
                <w:szCs w:val="19"/>
              </w:rPr>
              <w:t xml:space="preserve">Classification (10 classes)</w:t>
            </w:r>
          </w:p>
        </w:tc>
        <w:tc>
          <w:tcPr>
            <w:tcW w:type="dxa" w:w="16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r>
              <w:rPr>
                <w:rFonts w:ascii="Calibri" w:cs="Calibri" w:eastAsia="Calibri" w:hAnsi="Calibri"/>
                <w:b w:val="false"/>
                <w:bCs w:val="false"/>
                <w:color w:val="1F2A44"/>
                <w:sz w:val="19"/>
                <w:szCs w:val="19"/>
              </w:rPr>
              <w:t xml:space="preserve">5,400 Sentinel-2 patches</w:t>
            </w:r>
          </w:p>
        </w:tc>
        <w:tc>
          <w:tcPr>
            <w:tcW w:type="dxa" w:w="2176"/>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r>
              <w:rPr>
                <w:rFonts w:ascii="Calibri" w:cs="Calibri" w:eastAsia="Calibri" w:hAnsi="Calibri"/>
                <w:b w:val="false"/>
                <w:bCs w:val="false"/>
                <w:color w:val="1F2A44"/>
                <w:sz w:val="19"/>
                <w:szCs w:val="19"/>
              </w:rPr>
              <w:t xml:space="preserve">99.19 % accuracy, macro-F1 99.16 %</w:t>
            </w:r>
          </w:p>
        </w:tc>
        <w:tc>
          <w:tcPr>
            <w:tcW w:type="dxa" w:w="19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r>
              <w:rPr>
                <w:rFonts w:ascii="Calibri" w:cs="Calibri" w:eastAsia="Calibri" w:hAnsi="Calibri"/>
                <w:b w:val="false"/>
                <w:bCs w:val="false"/>
                <w:color w:val="1F2A44"/>
                <w:sz w:val="19"/>
                <w:szCs w:val="19"/>
              </w:rPr>
              <w:t xml:space="preserve">None (thresholds cannot classify land use)</w:t>
            </w:r>
          </w:p>
        </w:tc>
      </w:tr>
      <w:tr>
        <w:tc>
          <w:tcPr>
            <w:tcW w:type="dxa" w:w="1700"/>
            <w:tcBorders>
              <w:top w:val="single" w:color="D5DAE3" w:sz="4"/>
              <w:left w:val="single" w:color="D5DAE3" w:sz="4"/>
              <w:bottom w:val="single" w:color="D5DAE3" w:sz="4"/>
              <w:right w:val="single" w:color="D5DAE3" w:sz="4"/>
            </w:tcBorders>
            <w:shd w:fill="FAFBFC" w:color="auto" w:val="clear"/>
            <w:tcMar>
              <w:top w:type="dxa" w:w="70"/>
              <w:left w:type="dxa" w:w="110"/>
              <w:bottom w:type="dxa" w:w="70"/>
              <w:right w:type="dxa" w:w="110"/>
            </w:tcMar>
          </w:tcPr>
          <w:p>
            <w:r>
              <w:rPr>
                <w:rFonts w:ascii="Calibri" w:cs="Calibri" w:eastAsia="Calibri" w:hAnsi="Calibri"/>
                <w:b/>
                <w:bCs/>
                <w:color w:val="1F2A44"/>
                <w:sz w:val="19"/>
                <w:szCs w:val="19"/>
              </w:rPr>
              <w:t xml:space="preserve">Wildfire burn scars</w:t>
            </w:r>
          </w:p>
        </w:tc>
        <w:tc>
          <w:tcPr>
            <w:tcW w:type="dxa" w:w="1650"/>
            <w:tcBorders>
              <w:top w:val="single" w:color="D5DAE3" w:sz="4"/>
              <w:left w:val="single" w:color="D5DAE3" w:sz="4"/>
              <w:bottom w:val="single" w:color="D5DAE3" w:sz="4"/>
              <w:right w:val="single" w:color="D5DAE3" w:sz="4"/>
            </w:tcBorders>
            <w:shd w:fill="FAFBFC" w:color="auto" w:val="clear"/>
            <w:tcMar>
              <w:top w:type="dxa" w:w="70"/>
              <w:left w:type="dxa" w:w="110"/>
              <w:bottom w:type="dxa" w:w="70"/>
              <w:right w:type="dxa" w:w="110"/>
            </w:tcMar>
          </w:tcPr>
          <w:p>
            <w:r>
              <w:rPr>
                <w:rFonts w:ascii="Calibri" w:cs="Calibri" w:eastAsia="Calibri" w:hAnsi="Calibri"/>
                <w:b w:val="false"/>
                <w:bCs w:val="false"/>
                <w:color w:val="1F2A44"/>
                <w:sz w:val="19"/>
                <w:szCs w:val="19"/>
              </w:rPr>
              <w:t xml:space="preserve">Segmentation (per pixel)</w:t>
            </w:r>
          </w:p>
        </w:tc>
        <w:tc>
          <w:tcPr>
            <w:tcW w:type="dxa" w:w="1600"/>
            <w:tcBorders>
              <w:top w:val="single" w:color="D5DAE3" w:sz="4"/>
              <w:left w:val="single" w:color="D5DAE3" w:sz="4"/>
              <w:bottom w:val="single" w:color="D5DAE3" w:sz="4"/>
              <w:right w:val="single" w:color="D5DAE3" w:sz="4"/>
            </w:tcBorders>
            <w:shd w:fill="FAFBFC" w:color="auto" w:val="clear"/>
            <w:tcMar>
              <w:top w:type="dxa" w:w="70"/>
              <w:left w:type="dxa" w:w="110"/>
              <w:bottom w:type="dxa" w:w="70"/>
              <w:right w:type="dxa" w:w="110"/>
            </w:tcMar>
          </w:tcPr>
          <w:p>
            <w:r>
              <w:rPr>
                <w:rFonts w:ascii="Calibri" w:cs="Calibri" w:eastAsia="Calibri" w:hAnsi="Calibri"/>
                <w:b w:val="false"/>
                <w:bCs w:val="false"/>
                <w:color w:val="1F2A44"/>
                <w:sz w:val="19"/>
                <w:szCs w:val="19"/>
              </w:rPr>
              <w:t xml:space="preserve">264 image chips</w:t>
            </w:r>
          </w:p>
        </w:tc>
        <w:tc>
          <w:tcPr>
            <w:tcW w:type="dxa" w:w="2176"/>
            <w:tcBorders>
              <w:top w:val="single" w:color="D5DAE3" w:sz="4"/>
              <w:left w:val="single" w:color="D5DAE3" w:sz="4"/>
              <w:bottom w:val="single" w:color="D5DAE3" w:sz="4"/>
              <w:right w:val="single" w:color="D5DAE3" w:sz="4"/>
            </w:tcBorders>
            <w:shd w:fill="FAFBFC" w:color="auto" w:val="clear"/>
            <w:tcMar>
              <w:top w:type="dxa" w:w="70"/>
              <w:left w:type="dxa" w:w="110"/>
              <w:bottom w:type="dxa" w:w="70"/>
              <w:right w:type="dxa" w:w="110"/>
            </w:tcMar>
          </w:tcPr>
          <w:p>
            <w:r>
              <w:rPr>
                <w:rFonts w:ascii="Calibri" w:cs="Calibri" w:eastAsia="Calibri" w:hAnsi="Calibri"/>
                <w:b w:val="false"/>
                <w:bCs w:val="false"/>
                <w:color w:val="1F2A44"/>
                <w:sz w:val="19"/>
                <w:szCs w:val="19"/>
              </w:rPr>
              <w:t xml:space="preserve">IoU 0.805, F1 0.892</w:t>
            </w:r>
          </w:p>
        </w:tc>
        <w:tc>
          <w:tcPr>
            <w:tcW w:type="dxa" w:w="1900"/>
            <w:tcBorders>
              <w:top w:val="single" w:color="D5DAE3" w:sz="4"/>
              <w:left w:val="single" w:color="D5DAE3" w:sz="4"/>
              <w:bottom w:val="single" w:color="D5DAE3" w:sz="4"/>
              <w:right w:val="single" w:color="D5DAE3" w:sz="4"/>
            </w:tcBorders>
            <w:shd w:fill="FAFBFC" w:color="auto" w:val="clear"/>
            <w:tcMar>
              <w:top w:type="dxa" w:w="70"/>
              <w:left w:type="dxa" w:w="110"/>
              <w:bottom w:type="dxa" w:w="70"/>
              <w:right w:type="dxa" w:w="110"/>
            </w:tcMar>
          </w:tcPr>
          <w:p>
            <w:r>
              <w:rPr>
                <w:rFonts w:ascii="Calibri" w:cs="Calibri" w:eastAsia="Calibri" w:hAnsi="Calibri"/>
                <w:b w:val="false"/>
                <w:bCs w:val="false"/>
                <w:color w:val="1F2A44"/>
                <w:sz w:val="19"/>
                <w:szCs w:val="19"/>
              </w:rPr>
              <w:t xml:space="preserve">NBR threshold: IoU 0.450, F1 0.621</w:t>
            </w:r>
          </w:p>
        </w:tc>
      </w:tr>
    </w:tbl>
    <w:p>
      <w:pPr>
        <w:spacing w:after="160"/>
      </w:pPr>
    </w:p>
    <w:p>
      <w:pPr>
        <w:spacing w:after="140" w:line="288"/>
      </w:pPr>
      <w:r>
        <w:rPr>
          <w:rFonts w:ascii="Calibri" w:cs="Calibri" w:eastAsia="Calibri" w:hAnsi="Calibri"/>
          <w:b/>
          <w:bCs/>
          <w:color w:val="1F2A44"/>
          <w:sz w:val="22"/>
          <w:szCs w:val="22"/>
        </w:rPr>
        <w:t xml:space="preserve">Key points. </w:t>
      </w:r>
      <w:r>
        <w:rPr>
          <w:rFonts w:ascii="Calibri" w:cs="Calibri" w:eastAsia="Calibri" w:hAnsi="Calibri"/>
          <w:color w:val="1F2A44"/>
          <w:sz w:val="22"/>
          <w:szCs w:val="22"/>
        </w:rPr>
        <w:t xml:space="preserve">The land-use classifier makes 44 mistakes in 5,400 test images. The burn-scar model nearly doubles the overlap with the true burned area compared with the standard NBR index threshold, at higher precision and higher recall. Both models are small enough for the Jetson path (11 M and 24 M parameters) and their ONNX exports were checked numerically against PyTorch.</w:t>
      </w:r>
    </w:p>
    <w:p>
      <w:pPr>
        <w:pStyle w:val="Heading1"/>
        <w:keepNext/>
        <w:keepLines/>
        <w:spacing w:after="160" w:before="360"/>
      </w:pPr>
      <w:r>
        <w:rPr>
          <w:rFonts w:ascii="Calibri" w:cs="Calibri" w:eastAsia="Calibri" w:hAnsi="Calibri"/>
          <w:b/>
          <w:bCs/>
          <w:color w:val="1F2A44"/>
          <w:sz w:val="32"/>
          <w:szCs w:val="32"/>
        </w:rPr>
        <w:t xml:space="preserve">2. Where this work fits in GSTP</w:t>
      </w:r>
    </w:p>
    <w:p>
      <w:pPr>
        <w:spacing w:after="140" w:line="288"/>
      </w:pPr>
      <w:r>
        <w:rPr>
          <w:rFonts w:ascii="Calibri" w:cs="Calibri" w:eastAsia="Calibri" w:hAnsi="Calibri"/>
          <w:color w:val="1F2A44"/>
          <w:sz w:val="22"/>
          <w:szCs w:val="22"/>
        </w:rPr>
        <w:t xml:space="preserve">The demonstrator captures an image, cleans it on the FPGA (dark-reference subtraction, FIR filtering), runs an AI model on the Jetson and sends the useful result to the ground (Path B in the architecture). This deliverable produces the AI models that sit in the Jetson box. They are trained now on public satellite data so the team has working, measured models before the camera-to-Jetson chain is integrated.</w:t>
      </w:r>
    </w:p>
    <w:p>
      <w:pPr>
        <w:spacing w:before="120"/>
        <w:jc w:val="center"/>
      </w:pPr>
      <w:r>
        <w:drawing>
          <wp:inline distT="0" distB="0" distL="0" distR="0">
            <wp:extent cx="5715000" cy="2419350"/>
            <wp:effectExtent t="0" r="0" b="0" l="0"/>
            <wp:docPr id="1" name="fig" descr="Figure 1. Training stage (this deliverable, green) and the onboard chain it feeds (planned, orange)." title="Figure 1. Training stage (this deliverable, green) and the onboard chain it feeds (planned, 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19350"/>
                    </a:xfrm>
                    <a:prstGeom prst="rect">
                      <a:avLst/>
                    </a:prstGeom>
                  </pic:spPr>
                </pic:pic>
              </a:graphicData>
            </a:graphic>
          </wp:inline>
        </w:drawing>
      </w:r>
    </w:p>
    <w:p>
      <w:pPr>
        <w:spacing w:after="240" w:before="60"/>
        <w:jc w:val="center"/>
      </w:pPr>
      <w:r>
        <w:rPr>
          <w:rFonts w:ascii="Calibri" w:cs="Calibri" w:eastAsia="Calibri" w:hAnsi="Calibri"/>
          <w:i/>
          <w:iCs/>
          <w:color w:val="6B7486"/>
          <w:sz w:val="18"/>
          <w:szCs w:val="18"/>
        </w:rPr>
        <w:t xml:space="preserve">Figure 1. Training stage (this deliverable, green) and the onboard chain it feeds (planned, orange).</w:t>
      </w:r>
    </w:p>
    <w:p>
      <w:pPr>
        <w:pStyle w:val="Heading1"/>
        <w:keepNext/>
        <w:keepLines/>
        <w:spacing w:after="160" w:before="360"/>
      </w:pPr>
      <w:r>
        <w:rPr>
          <w:rFonts w:ascii="Calibri" w:cs="Calibri" w:eastAsia="Calibri" w:hAnsi="Calibri"/>
          <w:b/>
          <w:bCs/>
          <w:color w:val="1F2A44"/>
          <w:sz w:val="32"/>
          <w:szCs w:val="32"/>
        </w:rPr>
        <w:t xml:space="preserve">3. Scope: what was intended and what is done</w:t>
      </w:r>
    </w:p>
    <w:p>
      <w:pPr>
        <w:spacing w:after="140" w:line="288"/>
      </w:pPr>
      <w:r>
        <w:rPr>
          <w:rFonts w:ascii="Calibri" w:cs="Calibri" w:eastAsia="Calibri" w:hAnsi="Calibri"/>
          <w:color w:val="1F2A44"/>
          <w:sz w:val="22"/>
          <w:szCs w:val="22"/>
        </w:rPr>
        <w:t xml:space="preserve">Each hazard was given the task type that matches the question it answers. Segmentation is used where the answer is where something is (flooded area, burned area, forest cover), classification where one label per area is enough, and forecasting for air quality, where satellite gas data is too coarse (about 5 km per pixel) for an image model to learn spatial patterns.</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0"/>
        <w:gridCol w:w="2000"/>
        <w:gridCol w:w="1950"/>
        <w:gridCol w:w="2226"/>
        <w:gridCol w:w="1500"/>
      </w:tblGrid>
      <w:tr>
        <w:trPr>
          <w:tblHeader/>
        </w:trPr>
        <w:tc>
          <w:tcPr>
            <w:tcW w:type="dxa" w:w="1350"/>
            <w:tcBorders>
              <w:top w:val="single" w:color="D5DAE3" w:sz="4"/>
              <w:left w:val="single" w:color="D5DAE3" w:sz="4"/>
              <w:bottom w:val="single" w:color="D5DAE3" w:sz="4"/>
              <w:right w:val="single" w:color="D5DAE3" w:sz="4"/>
            </w:tcBorders>
            <w:shd w:fill="1F2A44" w:color="auto" w:val="clear"/>
            <w:tcMar>
              <w:top w:type="dxa" w:w="70"/>
              <w:left w:type="dxa" w:w="110"/>
              <w:bottom w:type="dxa" w:w="70"/>
              <w:right w:type="dxa" w:w="110"/>
            </w:tcMar>
          </w:tcPr>
          <w:p>
            <w:r>
              <w:rPr>
                <w:rFonts w:ascii="Calibri" w:cs="Calibri" w:eastAsia="Calibri" w:hAnsi="Calibri"/>
                <w:b/>
                <w:bCs/>
                <w:color w:val="FFFFFF"/>
                <w:sz w:val="19"/>
                <w:szCs w:val="19"/>
              </w:rPr>
              <w:t xml:space="preserve">Hazard</w:t>
            </w:r>
          </w:p>
        </w:tc>
        <w:tc>
          <w:tcPr>
            <w:tcW w:type="dxa" w:w="2000"/>
            <w:tcBorders>
              <w:top w:val="single" w:color="D5DAE3" w:sz="4"/>
              <w:left w:val="single" w:color="D5DAE3" w:sz="4"/>
              <w:bottom w:val="single" w:color="D5DAE3" w:sz="4"/>
              <w:right w:val="single" w:color="D5DAE3" w:sz="4"/>
            </w:tcBorders>
            <w:shd w:fill="1F2A44" w:color="auto" w:val="clear"/>
            <w:tcMar>
              <w:top w:type="dxa" w:w="70"/>
              <w:left w:type="dxa" w:w="110"/>
              <w:bottom w:type="dxa" w:w="70"/>
              <w:right w:type="dxa" w:w="110"/>
            </w:tcMar>
          </w:tcPr>
          <w:p>
            <w:r>
              <w:rPr>
                <w:rFonts w:ascii="Calibri" w:cs="Calibri" w:eastAsia="Calibri" w:hAnsi="Calibri"/>
                <w:b/>
                <w:bCs/>
                <w:color w:val="FFFFFF"/>
                <w:sz w:val="19"/>
                <w:szCs w:val="19"/>
              </w:rPr>
              <w:t xml:space="preserve">Task</w:t>
            </w:r>
          </w:p>
        </w:tc>
        <w:tc>
          <w:tcPr>
            <w:tcW w:type="dxa" w:w="1950"/>
            <w:tcBorders>
              <w:top w:val="single" w:color="D5DAE3" w:sz="4"/>
              <w:left w:val="single" w:color="D5DAE3" w:sz="4"/>
              <w:bottom w:val="single" w:color="D5DAE3" w:sz="4"/>
              <w:right w:val="single" w:color="D5DAE3" w:sz="4"/>
            </w:tcBorders>
            <w:shd w:fill="1F2A44" w:color="auto" w:val="clear"/>
            <w:tcMar>
              <w:top w:type="dxa" w:w="70"/>
              <w:left w:type="dxa" w:w="110"/>
              <w:bottom w:type="dxa" w:w="70"/>
              <w:right w:type="dxa" w:w="110"/>
            </w:tcMar>
          </w:tcPr>
          <w:p>
            <w:r>
              <w:rPr>
                <w:rFonts w:ascii="Calibri" w:cs="Calibri" w:eastAsia="Calibri" w:hAnsi="Calibri"/>
                <w:b/>
                <w:bCs/>
                <w:color w:val="FFFFFF"/>
                <w:sz w:val="19"/>
                <w:szCs w:val="19"/>
              </w:rPr>
              <w:t xml:space="preserve">Model</w:t>
            </w:r>
          </w:p>
        </w:tc>
        <w:tc>
          <w:tcPr>
            <w:tcW w:type="dxa" w:w="2226"/>
            <w:tcBorders>
              <w:top w:val="single" w:color="D5DAE3" w:sz="4"/>
              <w:left w:val="single" w:color="D5DAE3" w:sz="4"/>
              <w:bottom w:val="single" w:color="D5DAE3" w:sz="4"/>
              <w:right w:val="single" w:color="D5DAE3" w:sz="4"/>
            </w:tcBorders>
            <w:shd w:fill="1F2A44" w:color="auto" w:val="clear"/>
            <w:tcMar>
              <w:top w:type="dxa" w:w="70"/>
              <w:left w:type="dxa" w:w="110"/>
              <w:bottom w:type="dxa" w:w="70"/>
              <w:right w:type="dxa" w:w="110"/>
            </w:tcMar>
          </w:tcPr>
          <w:p>
            <w:r>
              <w:rPr>
                <w:rFonts w:ascii="Calibri" w:cs="Calibri" w:eastAsia="Calibri" w:hAnsi="Calibri"/>
                <w:b/>
                <w:bCs/>
                <w:color w:val="FFFFFF"/>
                <w:sz w:val="19"/>
                <w:szCs w:val="19"/>
              </w:rPr>
              <w:t xml:space="preserve">Training data</w:t>
            </w:r>
          </w:p>
        </w:tc>
        <w:tc>
          <w:tcPr>
            <w:tcW w:type="dxa" w:w="1500"/>
            <w:tcBorders>
              <w:top w:val="single" w:color="D5DAE3" w:sz="4"/>
              <w:left w:val="single" w:color="D5DAE3" w:sz="4"/>
              <w:bottom w:val="single" w:color="D5DAE3" w:sz="4"/>
              <w:right w:val="single" w:color="D5DAE3" w:sz="4"/>
            </w:tcBorders>
            <w:shd w:fill="1F2A44" w:color="auto" w:val="clear"/>
            <w:tcMar>
              <w:top w:type="dxa" w:w="70"/>
              <w:left w:type="dxa" w:w="110"/>
              <w:bottom w:type="dxa" w:w="70"/>
              <w:right w:type="dxa" w:w="110"/>
            </w:tcMar>
          </w:tcPr>
          <w:p>
            <w:r>
              <w:rPr>
                <w:rFonts w:ascii="Calibri" w:cs="Calibri" w:eastAsia="Calibri" w:hAnsi="Calibri"/>
                <w:b/>
                <w:bCs/>
                <w:color w:val="FFFFFF"/>
                <w:sz w:val="19"/>
                <w:szCs w:val="19"/>
              </w:rPr>
              <w:t xml:space="preserve">Status</w:t>
            </w:r>
          </w:p>
        </w:tc>
      </w:tr>
      <w:tr>
        <w:tc>
          <w:tcPr>
            <w:tcW w:type="dxa" w:w="1350"/>
            <w:tcBorders>
              <w:top w:val="single" w:color="D5DAE3" w:sz="4"/>
              <w:left w:val="single" w:color="D5DAE3" w:sz="4"/>
              <w:bottom w:val="single" w:color="D5DAE3" w:sz="4"/>
              <w:right w:val="single" w:color="D5DAE3" w:sz="4"/>
            </w:tcBorders>
            <w:shd w:fill="EAF5EE" w:color="auto" w:val="clear"/>
            <w:tcMar>
              <w:top w:type="dxa" w:w="70"/>
              <w:left w:type="dxa" w:w="110"/>
              <w:bottom w:type="dxa" w:w="70"/>
              <w:right w:type="dxa" w:w="110"/>
            </w:tcMar>
          </w:tcPr>
          <w:p>
            <w:r>
              <w:rPr>
                <w:rFonts w:ascii="Calibri" w:cs="Calibri" w:eastAsia="Calibri" w:hAnsi="Calibri"/>
                <w:b/>
                <w:bCs/>
                <w:color w:val="1F2A44"/>
                <w:sz w:val="19"/>
                <w:szCs w:val="19"/>
              </w:rPr>
              <w:t xml:space="preserve">Agriculture</w:t>
            </w:r>
          </w:p>
        </w:tc>
        <w:tc>
          <w:tcPr>
            <w:tcW w:type="dxa" w:w="2000"/>
            <w:tcBorders>
              <w:top w:val="single" w:color="D5DAE3" w:sz="4"/>
              <w:left w:val="single" w:color="D5DAE3" w:sz="4"/>
              <w:bottom w:val="single" w:color="D5DAE3" w:sz="4"/>
              <w:right w:val="single" w:color="D5DAE3" w:sz="4"/>
            </w:tcBorders>
            <w:shd w:fill="EAF5EE" w:color="auto" w:val="clear"/>
            <w:tcMar>
              <w:top w:type="dxa" w:w="70"/>
              <w:left w:type="dxa" w:w="110"/>
              <w:bottom w:type="dxa" w:w="70"/>
              <w:right w:type="dxa" w:w="110"/>
            </w:tcMar>
          </w:tcPr>
          <w:p>
            <w:r>
              <w:rPr>
                <w:rFonts w:ascii="Calibri" w:cs="Calibri" w:eastAsia="Calibri" w:hAnsi="Calibri"/>
                <w:b w:val="false"/>
                <w:bCs w:val="false"/>
                <w:color w:val="1F2A44"/>
                <w:sz w:val="19"/>
                <w:szCs w:val="19"/>
              </w:rPr>
              <w:t xml:space="preserve">Land-use classification</w:t>
            </w:r>
          </w:p>
        </w:tc>
        <w:tc>
          <w:tcPr>
            <w:tcW w:type="dxa" w:w="1950"/>
            <w:tcBorders>
              <w:top w:val="single" w:color="D5DAE3" w:sz="4"/>
              <w:left w:val="single" w:color="D5DAE3" w:sz="4"/>
              <w:bottom w:val="single" w:color="D5DAE3" w:sz="4"/>
              <w:right w:val="single" w:color="D5DAE3" w:sz="4"/>
            </w:tcBorders>
            <w:shd w:fill="EAF5EE" w:color="auto" w:val="clear"/>
            <w:tcMar>
              <w:top w:type="dxa" w:w="70"/>
              <w:left w:type="dxa" w:w="110"/>
              <w:bottom w:type="dxa" w:w="70"/>
              <w:right w:type="dxa" w:w="110"/>
            </w:tcMar>
          </w:tcPr>
          <w:p>
            <w:r>
              <w:rPr>
                <w:rFonts w:ascii="Calibri" w:cs="Calibri" w:eastAsia="Calibri" w:hAnsi="Calibri"/>
                <w:b w:val="false"/>
                <w:bCs w:val="false"/>
                <w:color w:val="1F2A44"/>
                <w:sz w:val="19"/>
                <w:szCs w:val="19"/>
              </w:rPr>
              <w:t xml:space="preserve">ResNet-18, Sentinel-2 pretrained</w:t>
            </w:r>
          </w:p>
        </w:tc>
        <w:tc>
          <w:tcPr>
            <w:tcW w:type="dxa" w:w="2226"/>
            <w:tcBorders>
              <w:top w:val="single" w:color="D5DAE3" w:sz="4"/>
              <w:left w:val="single" w:color="D5DAE3" w:sz="4"/>
              <w:bottom w:val="single" w:color="D5DAE3" w:sz="4"/>
              <w:right w:val="single" w:color="D5DAE3" w:sz="4"/>
            </w:tcBorders>
            <w:shd w:fill="EAF5EE" w:color="auto" w:val="clear"/>
            <w:tcMar>
              <w:top w:type="dxa" w:w="70"/>
              <w:left w:type="dxa" w:w="110"/>
              <w:bottom w:type="dxa" w:w="70"/>
              <w:right w:type="dxa" w:w="110"/>
            </w:tcMar>
          </w:tcPr>
          <w:p>
            <w:r>
              <w:rPr>
                <w:rFonts w:ascii="Calibri" w:cs="Calibri" w:eastAsia="Calibri" w:hAnsi="Calibri"/>
                <w:b w:val="false"/>
                <w:bCs w:val="false"/>
                <w:color w:val="1F2A44"/>
                <w:sz w:val="19"/>
                <w:szCs w:val="19"/>
              </w:rPr>
              <w:t xml:space="preserve">EuroSAT (27,000 patches)</w:t>
            </w:r>
          </w:p>
        </w:tc>
        <w:tc>
          <w:tcPr>
            <w:tcW w:type="dxa" w:w="1500"/>
            <w:tcBorders>
              <w:top w:val="single" w:color="D5DAE3" w:sz="4"/>
              <w:left w:val="single" w:color="D5DAE3" w:sz="4"/>
              <w:bottom w:val="single" w:color="D5DAE3" w:sz="4"/>
              <w:right w:val="single" w:color="D5DAE3" w:sz="4"/>
            </w:tcBorders>
            <w:shd w:fill="EAF5EE" w:color="auto" w:val="clear"/>
            <w:tcMar>
              <w:top w:type="dxa" w:w="70"/>
              <w:left w:type="dxa" w:w="110"/>
              <w:bottom w:type="dxa" w:w="70"/>
              <w:right w:type="dxa" w:w="110"/>
            </w:tcMar>
          </w:tcPr>
          <w:p>
            <w:r>
              <w:rPr>
                <w:rFonts w:ascii="Calibri" w:cs="Calibri" w:eastAsia="Calibri" w:hAnsi="Calibri"/>
                <w:b w:val="false"/>
                <w:bCs w:val="false"/>
                <w:color w:val="1F2A44"/>
                <w:sz w:val="19"/>
                <w:szCs w:val="19"/>
              </w:rPr>
              <w:t xml:space="preserve">Done</w:t>
            </w:r>
          </w:p>
        </w:tc>
      </w:tr>
      <w:tr>
        <w:tc>
          <w:tcPr>
            <w:tcW w:type="dxa" w:w="1350"/>
            <w:tcBorders>
              <w:top w:val="single" w:color="D5DAE3" w:sz="4"/>
              <w:left w:val="single" w:color="D5DAE3" w:sz="4"/>
              <w:bottom w:val="single" w:color="D5DAE3" w:sz="4"/>
              <w:right w:val="single" w:color="D5DAE3" w:sz="4"/>
            </w:tcBorders>
            <w:shd w:fill="EAF5EE" w:color="auto" w:val="clear"/>
            <w:tcMar>
              <w:top w:type="dxa" w:w="70"/>
              <w:left w:type="dxa" w:w="110"/>
              <w:bottom w:type="dxa" w:w="70"/>
              <w:right w:type="dxa" w:w="110"/>
            </w:tcMar>
          </w:tcPr>
          <w:p>
            <w:r>
              <w:rPr>
                <w:rFonts w:ascii="Calibri" w:cs="Calibri" w:eastAsia="Calibri" w:hAnsi="Calibri"/>
                <w:b/>
                <w:bCs/>
                <w:color w:val="1F2A44"/>
                <w:sz w:val="19"/>
                <w:szCs w:val="19"/>
              </w:rPr>
              <w:t xml:space="preserve">Wildfires</w:t>
            </w:r>
          </w:p>
        </w:tc>
        <w:tc>
          <w:tcPr>
            <w:tcW w:type="dxa" w:w="2000"/>
            <w:tcBorders>
              <w:top w:val="single" w:color="D5DAE3" w:sz="4"/>
              <w:left w:val="single" w:color="D5DAE3" w:sz="4"/>
              <w:bottom w:val="single" w:color="D5DAE3" w:sz="4"/>
              <w:right w:val="single" w:color="D5DAE3" w:sz="4"/>
            </w:tcBorders>
            <w:shd w:fill="EAF5EE" w:color="auto" w:val="clear"/>
            <w:tcMar>
              <w:top w:type="dxa" w:w="70"/>
              <w:left w:type="dxa" w:w="110"/>
              <w:bottom w:type="dxa" w:w="70"/>
              <w:right w:type="dxa" w:w="110"/>
            </w:tcMar>
          </w:tcPr>
          <w:p>
            <w:r>
              <w:rPr>
                <w:rFonts w:ascii="Calibri" w:cs="Calibri" w:eastAsia="Calibri" w:hAnsi="Calibri"/>
                <w:b w:val="false"/>
                <w:bCs w:val="false"/>
                <w:color w:val="1F2A44"/>
                <w:sz w:val="19"/>
                <w:szCs w:val="19"/>
              </w:rPr>
              <w:t xml:space="preserve">Burn-scar segmentation</w:t>
            </w:r>
          </w:p>
        </w:tc>
        <w:tc>
          <w:tcPr>
            <w:tcW w:type="dxa" w:w="1950"/>
            <w:tcBorders>
              <w:top w:val="single" w:color="D5DAE3" w:sz="4"/>
              <w:left w:val="single" w:color="D5DAE3" w:sz="4"/>
              <w:bottom w:val="single" w:color="D5DAE3" w:sz="4"/>
              <w:right w:val="single" w:color="D5DAE3" w:sz="4"/>
            </w:tcBorders>
            <w:shd w:fill="EAF5EE" w:color="auto" w:val="clear"/>
            <w:tcMar>
              <w:top w:type="dxa" w:w="70"/>
              <w:left w:type="dxa" w:w="110"/>
              <w:bottom w:type="dxa" w:w="70"/>
              <w:right w:type="dxa" w:w="110"/>
            </w:tcMar>
          </w:tcPr>
          <w:p>
            <w:r>
              <w:rPr>
                <w:rFonts w:ascii="Calibri" w:cs="Calibri" w:eastAsia="Calibri" w:hAnsi="Calibri"/>
                <w:b w:val="false"/>
                <w:bCs w:val="false"/>
                <w:color w:val="1F2A44"/>
                <w:sz w:val="19"/>
                <w:szCs w:val="19"/>
              </w:rPr>
              <w:t xml:space="preserve">U-Net, ResNet-34 encoder</w:t>
            </w:r>
          </w:p>
        </w:tc>
        <w:tc>
          <w:tcPr>
            <w:tcW w:type="dxa" w:w="2226"/>
            <w:tcBorders>
              <w:top w:val="single" w:color="D5DAE3" w:sz="4"/>
              <w:left w:val="single" w:color="D5DAE3" w:sz="4"/>
              <w:bottom w:val="single" w:color="D5DAE3" w:sz="4"/>
              <w:right w:val="single" w:color="D5DAE3" w:sz="4"/>
            </w:tcBorders>
            <w:shd w:fill="EAF5EE" w:color="auto" w:val="clear"/>
            <w:tcMar>
              <w:top w:type="dxa" w:w="70"/>
              <w:left w:type="dxa" w:w="110"/>
              <w:bottom w:type="dxa" w:w="70"/>
              <w:right w:type="dxa" w:w="110"/>
            </w:tcMar>
          </w:tcPr>
          <w:p>
            <w:r>
              <w:rPr>
                <w:rFonts w:ascii="Calibri" w:cs="Calibri" w:eastAsia="Calibri" w:hAnsi="Calibri"/>
                <w:b w:val="false"/>
                <w:bCs w:val="false"/>
                <w:color w:val="1F2A44"/>
                <w:sz w:val="19"/>
                <w:szCs w:val="19"/>
              </w:rPr>
              <w:t xml:space="preserve">HLS Burn Scars (804 chips)</w:t>
            </w:r>
          </w:p>
        </w:tc>
        <w:tc>
          <w:tcPr>
            <w:tcW w:type="dxa" w:w="1500"/>
            <w:tcBorders>
              <w:top w:val="single" w:color="D5DAE3" w:sz="4"/>
              <w:left w:val="single" w:color="D5DAE3" w:sz="4"/>
              <w:bottom w:val="single" w:color="D5DAE3" w:sz="4"/>
              <w:right w:val="single" w:color="D5DAE3" w:sz="4"/>
            </w:tcBorders>
            <w:shd w:fill="EAF5EE" w:color="auto" w:val="clear"/>
            <w:tcMar>
              <w:top w:type="dxa" w:w="70"/>
              <w:left w:type="dxa" w:w="110"/>
              <w:bottom w:type="dxa" w:w="70"/>
              <w:right w:type="dxa" w:w="110"/>
            </w:tcMar>
          </w:tcPr>
          <w:p>
            <w:r>
              <w:rPr>
                <w:rFonts w:ascii="Calibri" w:cs="Calibri" w:eastAsia="Calibri" w:hAnsi="Calibri"/>
                <w:b w:val="false"/>
                <w:bCs w:val="false"/>
                <w:color w:val="1F2A44"/>
                <w:sz w:val="19"/>
                <w:szCs w:val="19"/>
              </w:rPr>
              <w:t xml:space="preserve">Done</w:t>
            </w:r>
          </w:p>
        </w:tc>
      </w:tr>
      <w:tr>
        <w:tc>
          <w:tcPr>
            <w:tcW w:type="dxa" w:w="135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r>
              <w:rPr>
                <w:rFonts w:ascii="Calibri" w:cs="Calibri" w:eastAsia="Calibri" w:hAnsi="Calibri"/>
                <w:b/>
                <w:bCs/>
                <w:color w:val="1F2A44"/>
                <w:sz w:val="19"/>
                <w:szCs w:val="19"/>
              </w:rPr>
              <w:t xml:space="preserve">Floods</w:t>
            </w:r>
          </w:p>
        </w:tc>
        <w:tc>
          <w:tcPr>
            <w:tcW w:type="dxa" w:w="20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r>
              <w:rPr>
                <w:rFonts w:ascii="Calibri" w:cs="Calibri" w:eastAsia="Calibri" w:hAnsi="Calibri"/>
                <w:b w:val="false"/>
                <w:bCs w:val="false"/>
                <w:color w:val="1F2A44"/>
                <w:sz w:val="19"/>
                <w:szCs w:val="19"/>
              </w:rPr>
              <w:t xml:space="preserve">Water segmentation (radar, optical, both)</w:t>
            </w:r>
          </w:p>
        </w:tc>
        <w:tc>
          <w:tcPr>
            <w:tcW w:type="dxa" w:w="195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r>
              <w:rPr>
                <w:rFonts w:ascii="Calibri" w:cs="Calibri" w:eastAsia="Calibri" w:hAnsi="Calibri"/>
                <w:b w:val="false"/>
                <w:bCs w:val="false"/>
                <w:color w:val="1F2A44"/>
                <w:sz w:val="19"/>
                <w:szCs w:val="19"/>
              </w:rPr>
              <w:t xml:space="preserve">U-Net, ResNet-34 encoder</w:t>
            </w:r>
          </w:p>
        </w:tc>
        <w:tc>
          <w:tcPr>
            <w:tcW w:type="dxa" w:w="2226"/>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r>
              <w:rPr>
                <w:rFonts w:ascii="Calibri" w:cs="Calibri" w:eastAsia="Calibri" w:hAnsi="Calibri"/>
                <w:b w:val="false"/>
                <w:bCs w:val="false"/>
                <w:color w:val="1F2A44"/>
                <w:sz w:val="19"/>
                <w:szCs w:val="19"/>
              </w:rPr>
              <w:t xml:space="preserve">Sen1Floods11 (446 chips, 11 events)</w:t>
            </w:r>
          </w:p>
        </w:tc>
        <w:tc>
          <w:tcPr>
            <w:tcW w:type="dxa" w:w="15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r>
              <w:rPr>
                <w:rFonts w:ascii="Calibri" w:cs="Calibri" w:eastAsia="Calibri" w:hAnsi="Calibri"/>
                <w:b w:val="false"/>
                <w:bCs w:val="false"/>
                <w:color w:val="1F2A44"/>
                <w:sz w:val="19"/>
                <w:szCs w:val="19"/>
              </w:rPr>
              <w:t xml:space="preserve">Training</w:t>
            </w:r>
          </w:p>
        </w:tc>
      </w:tr>
      <w:tr>
        <w:tc>
          <w:tcPr>
            <w:tcW w:type="dxa" w:w="1350"/>
            <w:tcBorders>
              <w:top w:val="single" w:color="D5DAE3" w:sz="4"/>
              <w:left w:val="single" w:color="D5DAE3" w:sz="4"/>
              <w:bottom w:val="single" w:color="D5DAE3" w:sz="4"/>
              <w:right w:val="single" w:color="D5DAE3" w:sz="4"/>
            </w:tcBorders>
            <w:shd w:fill="FAFBFC" w:color="auto" w:val="clear"/>
            <w:tcMar>
              <w:top w:type="dxa" w:w="70"/>
              <w:left w:type="dxa" w:w="110"/>
              <w:bottom w:type="dxa" w:w="70"/>
              <w:right w:type="dxa" w:w="110"/>
            </w:tcMar>
          </w:tcPr>
          <w:p>
            <w:r>
              <w:rPr>
                <w:rFonts w:ascii="Calibri" w:cs="Calibri" w:eastAsia="Calibri" w:hAnsi="Calibri"/>
                <w:b/>
                <w:bCs/>
                <w:color w:val="1F2A44"/>
                <w:sz w:val="19"/>
                <w:szCs w:val="19"/>
              </w:rPr>
              <w:t xml:space="preserve">Forestry</w:t>
            </w:r>
          </w:p>
        </w:tc>
        <w:tc>
          <w:tcPr>
            <w:tcW w:type="dxa" w:w="2000"/>
            <w:tcBorders>
              <w:top w:val="single" w:color="D5DAE3" w:sz="4"/>
              <w:left w:val="single" w:color="D5DAE3" w:sz="4"/>
              <w:bottom w:val="single" w:color="D5DAE3" w:sz="4"/>
              <w:right w:val="single" w:color="D5DAE3" w:sz="4"/>
            </w:tcBorders>
            <w:shd w:fill="FAFBFC" w:color="auto" w:val="clear"/>
            <w:tcMar>
              <w:top w:type="dxa" w:w="70"/>
              <w:left w:type="dxa" w:w="110"/>
              <w:bottom w:type="dxa" w:w="70"/>
              <w:right w:type="dxa" w:w="110"/>
            </w:tcMar>
          </w:tcPr>
          <w:p>
            <w:r>
              <w:rPr>
                <w:rFonts w:ascii="Calibri" w:cs="Calibri" w:eastAsia="Calibri" w:hAnsi="Calibri"/>
                <w:b w:val="false"/>
                <w:bCs w:val="false"/>
                <w:color w:val="1F2A44"/>
                <w:sz w:val="19"/>
                <w:szCs w:val="19"/>
              </w:rPr>
              <w:t xml:space="preserve">Forest segmentation, loss between dates</w:t>
            </w:r>
          </w:p>
        </w:tc>
        <w:tc>
          <w:tcPr>
            <w:tcW w:type="dxa" w:w="1950"/>
            <w:tcBorders>
              <w:top w:val="single" w:color="D5DAE3" w:sz="4"/>
              <w:left w:val="single" w:color="D5DAE3" w:sz="4"/>
              <w:bottom w:val="single" w:color="D5DAE3" w:sz="4"/>
              <w:right w:val="single" w:color="D5DAE3" w:sz="4"/>
            </w:tcBorders>
            <w:shd w:fill="FAFBFC" w:color="auto" w:val="clear"/>
            <w:tcMar>
              <w:top w:type="dxa" w:w="70"/>
              <w:left w:type="dxa" w:w="110"/>
              <w:bottom w:type="dxa" w:w="70"/>
              <w:right w:type="dxa" w:w="110"/>
            </w:tcMar>
          </w:tcPr>
          <w:p>
            <w:r>
              <w:rPr>
                <w:rFonts w:ascii="Calibri" w:cs="Calibri" w:eastAsia="Calibri" w:hAnsi="Calibri"/>
                <w:b w:val="false"/>
                <w:bCs w:val="false"/>
                <w:color w:val="1F2A44"/>
                <w:sz w:val="19"/>
                <w:szCs w:val="19"/>
              </w:rPr>
              <w:t xml:space="preserve">U-Net, ResNet-34 encoder</w:t>
            </w:r>
          </w:p>
        </w:tc>
        <w:tc>
          <w:tcPr>
            <w:tcW w:type="dxa" w:w="2226"/>
            <w:tcBorders>
              <w:top w:val="single" w:color="D5DAE3" w:sz="4"/>
              <w:left w:val="single" w:color="D5DAE3" w:sz="4"/>
              <w:bottom w:val="single" w:color="D5DAE3" w:sz="4"/>
              <w:right w:val="single" w:color="D5DAE3" w:sz="4"/>
            </w:tcBorders>
            <w:shd w:fill="FAFBFC" w:color="auto" w:val="clear"/>
            <w:tcMar>
              <w:top w:type="dxa" w:w="70"/>
              <w:left w:type="dxa" w:w="110"/>
              <w:bottom w:type="dxa" w:w="70"/>
              <w:right w:type="dxa" w:w="110"/>
            </w:tcMar>
          </w:tcPr>
          <w:p>
            <w:r>
              <w:rPr>
                <w:rFonts w:ascii="Calibri" w:cs="Calibri" w:eastAsia="Calibri" w:hAnsi="Calibri"/>
                <w:b w:val="false"/>
                <w:bCs w:val="false"/>
                <w:color w:val="1F2A44"/>
                <w:sz w:val="19"/>
                <w:szCs w:val="19"/>
              </w:rPr>
              <w:t xml:space="preserve">Amazon &amp; Atlantic Forest (Zenodo)</w:t>
            </w:r>
          </w:p>
        </w:tc>
        <w:tc>
          <w:tcPr>
            <w:tcW w:type="dxa" w:w="1500"/>
            <w:tcBorders>
              <w:top w:val="single" w:color="D5DAE3" w:sz="4"/>
              <w:left w:val="single" w:color="D5DAE3" w:sz="4"/>
              <w:bottom w:val="single" w:color="D5DAE3" w:sz="4"/>
              <w:right w:val="single" w:color="D5DAE3" w:sz="4"/>
            </w:tcBorders>
            <w:shd w:fill="FAFBFC" w:color="auto" w:val="clear"/>
            <w:tcMar>
              <w:top w:type="dxa" w:w="70"/>
              <w:left w:type="dxa" w:w="110"/>
              <w:bottom w:type="dxa" w:w="70"/>
              <w:right w:type="dxa" w:w="110"/>
            </w:tcMar>
          </w:tcPr>
          <w:p>
            <w:r>
              <w:rPr>
                <w:rFonts w:ascii="Calibri" w:cs="Calibri" w:eastAsia="Calibri" w:hAnsi="Calibri"/>
                <w:b w:val="false"/>
                <w:bCs w:val="false"/>
                <w:color w:val="1F2A44"/>
                <w:sz w:val="19"/>
                <w:szCs w:val="19"/>
              </w:rPr>
              <w:t xml:space="preserve">Next</w:t>
            </w:r>
          </w:p>
        </w:tc>
      </w:tr>
      <w:tr>
        <w:tc>
          <w:tcPr>
            <w:tcW w:type="dxa" w:w="135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r>
              <w:rPr>
                <w:rFonts w:ascii="Calibri" w:cs="Calibri" w:eastAsia="Calibri" w:hAnsi="Calibri"/>
                <w:b/>
                <w:bCs/>
                <w:color w:val="1F2A44"/>
                <w:sz w:val="19"/>
                <w:szCs w:val="19"/>
              </w:rPr>
              <w:t xml:space="preserve">Air quality</w:t>
            </w:r>
          </w:p>
        </w:tc>
        <w:tc>
          <w:tcPr>
            <w:tcW w:type="dxa" w:w="20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r>
              <w:rPr>
                <w:rFonts w:ascii="Calibri" w:cs="Calibri" w:eastAsia="Calibri" w:hAnsi="Calibri"/>
                <w:b w:val="false"/>
                <w:bCs w:val="false"/>
                <w:color w:val="1F2A44"/>
                <w:sz w:val="19"/>
                <w:szCs w:val="19"/>
              </w:rPr>
              <w:t xml:space="preserve">Next-day NO₂ / PM2.5 forecast</w:t>
            </w:r>
          </w:p>
        </w:tc>
        <w:tc>
          <w:tcPr>
            <w:tcW w:type="dxa" w:w="195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r>
              <w:rPr>
                <w:rFonts w:ascii="Calibri" w:cs="Calibri" w:eastAsia="Calibri" w:hAnsi="Calibri"/>
                <w:b w:val="false"/>
                <w:bCs w:val="false"/>
                <w:color w:val="1F2A44"/>
                <w:sz w:val="19"/>
                <w:szCs w:val="19"/>
              </w:rPr>
              <w:t xml:space="preserve">LightGBM, one model for all sites</w:t>
            </w:r>
          </w:p>
        </w:tc>
        <w:tc>
          <w:tcPr>
            <w:tcW w:type="dxa" w:w="2226"/>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r>
              <w:rPr>
                <w:rFonts w:ascii="Calibri" w:cs="Calibri" w:eastAsia="Calibri" w:hAnsi="Calibri"/>
                <w:b w:val="false"/>
                <w:bCs w:val="false"/>
                <w:color w:val="1F2A44"/>
                <w:sz w:val="19"/>
                <w:szCs w:val="19"/>
              </w:rPr>
              <w:t xml:space="preserve">CAMS + ERA5, 2022–2026</w:t>
            </w:r>
          </w:p>
        </w:tc>
        <w:tc>
          <w:tcPr>
            <w:tcW w:type="dxa" w:w="15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r>
              <w:rPr>
                <w:rFonts w:ascii="Calibri" w:cs="Calibri" w:eastAsia="Calibri" w:hAnsi="Calibri"/>
                <w:b w:val="false"/>
                <w:bCs w:val="false"/>
                <w:color w:val="1F2A44"/>
                <w:sz w:val="19"/>
                <w:szCs w:val="19"/>
              </w:rPr>
              <w:t xml:space="preserve">Next</w:t>
            </w:r>
          </w:p>
        </w:tc>
      </w:tr>
      <w:tr>
        <w:tc>
          <w:tcPr>
            <w:tcW w:type="dxa" w:w="1350"/>
            <w:tcBorders>
              <w:top w:val="single" w:color="D5DAE3" w:sz="4"/>
              <w:left w:val="single" w:color="D5DAE3" w:sz="4"/>
              <w:bottom w:val="single" w:color="D5DAE3" w:sz="4"/>
              <w:right w:val="single" w:color="D5DAE3" w:sz="4"/>
            </w:tcBorders>
            <w:shd w:fill="FAFBFC" w:color="auto" w:val="clear"/>
            <w:tcMar>
              <w:top w:type="dxa" w:w="70"/>
              <w:left w:type="dxa" w:w="110"/>
              <w:bottom w:type="dxa" w:w="70"/>
              <w:right w:type="dxa" w:w="110"/>
            </w:tcMar>
          </w:tcPr>
          <w:p>
            <w:r>
              <w:rPr>
                <w:rFonts w:ascii="Calibri" w:cs="Calibri" w:eastAsia="Calibri" w:hAnsi="Calibri"/>
                <w:b/>
                <w:bCs/>
                <w:color w:val="1F2A44"/>
                <w:sz w:val="19"/>
                <w:szCs w:val="19"/>
              </w:rPr>
              <w:t xml:space="preserve">All five</w:t>
            </w:r>
          </w:p>
        </w:tc>
        <w:tc>
          <w:tcPr>
            <w:tcW w:type="dxa" w:w="2000"/>
            <w:tcBorders>
              <w:top w:val="single" w:color="D5DAE3" w:sz="4"/>
              <w:left w:val="single" w:color="D5DAE3" w:sz="4"/>
              <w:bottom w:val="single" w:color="D5DAE3" w:sz="4"/>
              <w:right w:val="single" w:color="D5DAE3" w:sz="4"/>
            </w:tcBorders>
            <w:shd w:fill="FAFBFC" w:color="auto" w:val="clear"/>
            <w:tcMar>
              <w:top w:type="dxa" w:w="70"/>
              <w:left w:type="dxa" w:w="110"/>
              <w:bottom w:type="dxa" w:w="70"/>
              <w:right w:type="dxa" w:w="110"/>
            </w:tcMar>
          </w:tcPr>
          <w:p>
            <w:r>
              <w:rPr>
                <w:rFonts w:ascii="Calibri" w:cs="Calibri" w:eastAsia="Calibri" w:hAnsi="Calibri"/>
                <w:b w:val="false"/>
                <w:bCs w:val="false"/>
                <w:color w:val="1F2A44"/>
                <w:sz w:val="19"/>
                <w:szCs w:val="19"/>
              </w:rPr>
              <w:t xml:space="preserve">Apply to the 60 sites, real events</w:t>
            </w:r>
          </w:p>
        </w:tc>
        <w:tc>
          <w:tcPr>
            <w:tcW w:type="dxa" w:w="1950"/>
            <w:tcBorders>
              <w:top w:val="single" w:color="D5DAE3" w:sz="4"/>
              <w:left w:val="single" w:color="D5DAE3" w:sz="4"/>
              <w:bottom w:val="single" w:color="D5DAE3" w:sz="4"/>
              <w:right w:val="single" w:color="D5DAE3" w:sz="4"/>
            </w:tcBorders>
            <w:shd w:fill="FAFBFC" w:color="auto" w:val="clear"/>
            <w:tcMar>
              <w:top w:type="dxa" w:w="70"/>
              <w:left w:type="dxa" w:w="110"/>
              <w:bottom w:type="dxa" w:w="70"/>
              <w:right w:type="dxa" w:w="110"/>
            </w:tcMar>
          </w:tcPr>
          <w:p>
            <w:r>
              <w:rPr>
                <w:rFonts w:ascii="Calibri" w:cs="Calibri" w:eastAsia="Calibri" w:hAnsi="Calibri"/>
                <w:b w:val="false"/>
                <w:bCs w:val="false"/>
                <w:color w:val="1F2A44"/>
                <w:sz w:val="19"/>
                <w:szCs w:val="19"/>
              </w:rPr>
              <w:t xml:space="preserve">Trained models above</w:t>
            </w:r>
          </w:p>
        </w:tc>
        <w:tc>
          <w:tcPr>
            <w:tcW w:type="dxa" w:w="2226"/>
            <w:tcBorders>
              <w:top w:val="single" w:color="D5DAE3" w:sz="4"/>
              <w:left w:val="single" w:color="D5DAE3" w:sz="4"/>
              <w:bottom w:val="single" w:color="D5DAE3" w:sz="4"/>
              <w:right w:val="single" w:color="D5DAE3" w:sz="4"/>
            </w:tcBorders>
            <w:shd w:fill="FAFBFC" w:color="auto" w:val="clear"/>
            <w:tcMar>
              <w:top w:type="dxa" w:w="70"/>
              <w:left w:type="dxa" w:w="110"/>
              <w:bottom w:type="dxa" w:w="70"/>
              <w:right w:type="dxa" w:w="110"/>
            </w:tcMar>
          </w:tcPr>
          <w:p>
            <w:r>
              <w:rPr>
                <w:rFonts w:ascii="Calibri" w:cs="Calibri" w:eastAsia="Calibri" w:hAnsi="Calibri"/>
                <w:b w:val="false"/>
                <w:bCs w:val="false"/>
                <w:color w:val="1F2A44"/>
                <w:sz w:val="19"/>
                <w:szCs w:val="19"/>
              </w:rPr>
              <w:t xml:space="preserve">Live Sentinel-1/2 imagery</w:t>
            </w:r>
          </w:p>
        </w:tc>
        <w:tc>
          <w:tcPr>
            <w:tcW w:type="dxa" w:w="1500"/>
            <w:tcBorders>
              <w:top w:val="single" w:color="D5DAE3" w:sz="4"/>
              <w:left w:val="single" w:color="D5DAE3" w:sz="4"/>
              <w:bottom w:val="single" w:color="D5DAE3" w:sz="4"/>
              <w:right w:val="single" w:color="D5DAE3" w:sz="4"/>
            </w:tcBorders>
            <w:shd w:fill="FAFBFC" w:color="auto" w:val="clear"/>
            <w:tcMar>
              <w:top w:type="dxa" w:w="70"/>
              <w:left w:type="dxa" w:w="110"/>
              <w:bottom w:type="dxa" w:w="70"/>
              <w:right w:type="dxa" w:w="110"/>
            </w:tcMar>
          </w:tcPr>
          <w:p>
            <w:r>
              <w:rPr>
                <w:rFonts w:ascii="Calibri" w:cs="Calibri" w:eastAsia="Calibri" w:hAnsi="Calibri"/>
                <w:b w:val="false"/>
                <w:bCs w:val="false"/>
                <w:color w:val="1F2A44"/>
                <w:sz w:val="19"/>
                <w:szCs w:val="19"/>
              </w:rPr>
              <w:t xml:space="preserve">After training</w:t>
            </w:r>
          </w:p>
        </w:tc>
      </w:tr>
    </w:tbl>
    <w:p>
      <w:pPr>
        <w:spacing w:after="160"/>
      </w:pPr>
    </w:p>
    <w:p>
      <w:pPr>
        <w:spacing w:after="140" w:line="288"/>
      </w:pPr>
      <w:r>
        <w:rPr>
          <w:rFonts w:ascii="Calibri" w:cs="Calibri" w:eastAsia="Calibri" w:hAnsi="Calibri"/>
          <w:color w:val="1F2A44"/>
          <w:sz w:val="22"/>
          <w:szCs w:val="22"/>
        </w:rPr>
        <w:t xml:space="preserve">The 60 sites are 20 in Spain, 16 in the UK and 24 worldwide, each with a bounding box. They are stored in configs/crisp_sites.json together with the real events used for the site application step (for example the Valencia floods of October 2024 and the Pedrógão Grande fire of June 2017).</w:t>
      </w:r>
    </w:p>
    <w:p>
      <w:pPr>
        <w:pStyle w:val="Heading1"/>
        <w:keepNext/>
        <w:keepLines/>
        <w:spacing w:after="160" w:before="360"/>
      </w:pPr>
      <w:r>
        <w:rPr>
          <w:rFonts w:ascii="Calibri" w:cs="Calibri" w:eastAsia="Calibri" w:hAnsi="Calibri"/>
          <w:b/>
          <w:bCs/>
          <w:color w:val="1F2A44"/>
          <w:sz w:val="32"/>
          <w:szCs w:val="32"/>
        </w:rPr>
        <w:t xml:space="preserve">4. Method common to all models</w:t>
      </w:r>
    </w:p>
    <w:p>
      <w:pPr>
        <w:pStyle w:val="Heading2"/>
        <w:keepNext/>
        <w:keepLines/>
        <w:spacing w:after="120" w:before="260"/>
      </w:pPr>
      <w:r>
        <w:rPr>
          <w:rFonts w:ascii="Calibri" w:cs="Calibri" w:eastAsia="Calibri" w:hAnsi="Calibri"/>
          <w:b/>
          <w:bCs/>
          <w:color w:val="2F7D4F"/>
          <w:sz w:val="26"/>
          <w:szCs w:val="26"/>
        </w:rPr>
        <w:t xml:space="preserve">4.1 Evaluation protocol</w:t>
      </w:r>
    </w:p>
    <w:p>
      <w:pPr>
        <w:spacing w:after="140" w:line="288"/>
      </w:pPr>
      <w:r>
        <w:rPr>
          <w:rFonts w:ascii="Calibri" w:cs="Calibri" w:eastAsia="Calibri" w:hAnsi="Calibri"/>
          <w:color w:val="1F2A44"/>
          <w:sz w:val="22"/>
          <w:szCs w:val="22"/>
        </w:rPr>
        <w:t xml:space="preserve">The same rules apply to every model, so the reported numbers are fair estimates of performance on new imagery of the same kind:</w:t>
      </w:r>
    </w:p>
    <w:p>
      <w:pPr>
        <w:pStyle w:val="ListParagraph"/>
        <w:numPr>
          <w:ilvl w:val="0"/>
          <w:numId w:val="2"/>
        </w:numPr>
        <w:spacing w:after="80" w:line="276"/>
      </w:pPr>
      <w:r>
        <w:rPr>
          <w:rFonts w:ascii="Calibri" w:cs="Calibri" w:eastAsia="Calibri" w:hAnsi="Calibri"/>
          <w:b/>
          <w:bCs/>
          <w:color w:val="1F2A44"/>
          <w:sz w:val="22"/>
          <w:szCs w:val="22"/>
        </w:rPr>
        <w:t xml:space="preserve">Test data is used once. </w:t>
      </w:r>
      <w:r>
        <w:rPr>
          <w:rFonts w:ascii="Calibri" w:cs="Calibri" w:eastAsia="Calibri" w:hAnsi="Calibri"/>
          <w:color w:val="1F2A44"/>
          <w:sz w:val="22"/>
          <w:szCs w:val="22"/>
        </w:rPr>
        <w:t xml:space="preserve">Early stopping, model selection and the decision threshold are all chosen on a separate validation split. Where a public dataset has no labelled test split, its official validation set becomes the test set and a new validation set is carved out of training.</w:t>
      </w:r>
    </w:p>
    <w:p>
      <w:pPr>
        <w:pStyle w:val="ListParagraph"/>
        <w:numPr>
          <w:ilvl w:val="0"/>
          <w:numId w:val="2"/>
        </w:numPr>
        <w:spacing w:after="80" w:line="276"/>
      </w:pPr>
      <w:r>
        <w:rPr>
          <w:rFonts w:ascii="Calibri" w:cs="Calibri" w:eastAsia="Calibri" w:hAnsi="Calibri"/>
          <w:b/>
          <w:bCs/>
          <w:color w:val="1F2A44"/>
          <w:sz w:val="22"/>
          <w:szCs w:val="22"/>
        </w:rPr>
        <w:t xml:space="preserve">No leakage between neighbouring chips. </w:t>
      </w:r>
      <w:r>
        <w:rPr>
          <w:rFonts w:ascii="Calibri" w:cs="Calibri" w:eastAsia="Calibri" w:hAnsi="Calibri"/>
          <w:color w:val="1F2A44"/>
          <w:sz w:val="22"/>
          <w:szCs w:val="22"/>
        </w:rPr>
        <w:t xml:space="preserve">Burn-scar validation chips are grouped by satellite tile, so chips cut from the same scene never sit on both sides of the split.</w:t>
      </w:r>
    </w:p>
    <w:p>
      <w:pPr>
        <w:pStyle w:val="ListParagraph"/>
        <w:numPr>
          <w:ilvl w:val="0"/>
          <w:numId w:val="2"/>
        </w:numPr>
        <w:spacing w:after="80" w:line="276"/>
      </w:pPr>
      <w:r>
        <w:rPr>
          <w:rFonts w:ascii="Calibri" w:cs="Calibri" w:eastAsia="Calibri" w:hAnsi="Calibri"/>
          <w:b/>
          <w:bCs/>
          <w:color w:val="1F2A44"/>
          <w:sz w:val="22"/>
          <w:szCs w:val="22"/>
        </w:rPr>
        <w:t xml:space="preserve">Normalisation statistics come from training data only.</w:t>
      </w:r>
    </w:p>
    <w:p>
      <w:pPr>
        <w:pStyle w:val="ListParagraph"/>
        <w:numPr>
          <w:ilvl w:val="0"/>
          <w:numId w:val="2"/>
        </w:numPr>
        <w:spacing w:after="80" w:line="276"/>
      </w:pPr>
      <w:r>
        <w:rPr>
          <w:rFonts w:ascii="Calibri" w:cs="Calibri" w:eastAsia="Calibri" w:hAnsi="Calibri"/>
          <w:b/>
          <w:bCs/>
          <w:color w:val="1F2A44"/>
          <w:sz w:val="22"/>
          <w:szCs w:val="22"/>
        </w:rPr>
        <w:t xml:space="preserve">Every model is compared with a baseline. </w:t>
      </w:r>
      <w:r>
        <w:rPr>
          <w:rFonts w:ascii="Calibri" w:cs="Calibri" w:eastAsia="Calibri" w:hAnsi="Calibri"/>
          <w:color w:val="1F2A44"/>
          <w:sz w:val="22"/>
          <w:szCs w:val="22"/>
        </w:rPr>
        <w:t xml:space="preserve">For the image models this is the best single-index threshold (NBR, MNDWI or NDVI), tuned on validation and scored on the same test chips, which is a stronger baseline than a fixed textbook value.</w:t>
      </w:r>
    </w:p>
    <w:p>
      <w:pPr>
        <w:pStyle w:val="Heading2"/>
        <w:keepNext/>
        <w:keepLines/>
        <w:spacing w:after="120" w:before="260"/>
      </w:pPr>
      <w:r>
        <w:rPr>
          <w:rFonts w:ascii="Calibri" w:cs="Calibri" w:eastAsia="Calibri" w:hAnsi="Calibri"/>
          <w:b/>
          <w:bCs/>
          <w:color w:val="2F7D4F"/>
          <w:sz w:val="26"/>
          <w:szCs w:val="26"/>
        </w:rPr>
        <w:t xml:space="preserve">4.2 Infrastructure</w:t>
      </w:r>
    </w:p>
    <w:p>
      <w:pPr>
        <w:spacing w:after="140" w:line="288"/>
      </w:pPr>
      <w:r>
        <w:rPr>
          <w:rFonts w:ascii="Calibri" w:cs="Calibri" w:eastAsia="Calibri" w:hAnsi="Calibri"/>
          <w:color w:val="1F2A44"/>
          <w:sz w:val="22"/>
          <w:szCs w:val="22"/>
        </w:rPr>
        <w:t xml:space="preserve">All training runs on Google Colab with an NVIDIA Tesla T4 GPU. Nothing is trained on a local laptop. Each notebook mounts Google Drive, clones the repository, trains, tests and saves checkpoints, ONNX files and figures to Drive. The shared library in src/gstp holds the data readers, models, loss, metrics and training loops, so all five notebooks use identical code paths. Ten automated tests run every training path end to end on synthetic data before any GPU time is spent.</w:t>
      </w:r>
    </w:p>
    <w:p>
      <w:pPr>
        <w:pStyle w:val="Heading1"/>
        <w:keepNext/>
        <w:keepLines/>
        <w:spacing w:after="160" w:before="360"/>
      </w:pPr>
      <w:r>
        <w:rPr>
          <w:rFonts w:ascii="Calibri" w:cs="Calibri" w:eastAsia="Calibri" w:hAnsi="Calibri"/>
          <w:b/>
          <w:bCs/>
          <w:color w:val="1F2A44"/>
          <w:sz w:val="32"/>
          <w:szCs w:val="32"/>
        </w:rPr>
        <w:t xml:space="preserve">5. Model 1: agriculture land-use classification</w:t>
      </w:r>
    </w:p>
    <w:p>
      <w:pPr>
        <w:pStyle w:val="Heading2"/>
        <w:keepNext/>
        <w:keepLines/>
        <w:spacing w:after="120" w:before="260"/>
      </w:pPr>
      <w:r>
        <w:rPr>
          <w:rFonts w:ascii="Calibri" w:cs="Calibri" w:eastAsia="Calibri" w:hAnsi="Calibri"/>
          <w:b/>
          <w:bCs/>
          <w:color w:val="2F7D4F"/>
          <w:sz w:val="26"/>
          <w:szCs w:val="26"/>
        </w:rPr>
        <w:t xml:space="preserve">5.1 Purpose</w:t>
      </w:r>
    </w:p>
    <w:p>
      <w:pPr>
        <w:spacing w:after="140" w:line="288"/>
      </w:pPr>
      <w:r>
        <w:rPr>
          <w:rFonts w:ascii="Calibri" w:cs="Calibri" w:eastAsia="Calibri" w:hAnsi="Calibri"/>
          <w:color w:val="1F2A44"/>
          <w:sz w:val="22"/>
          <w:szCs w:val="22"/>
        </w:rPr>
        <w:t xml:space="preserve">Crop-health indicators such as NDVI are only meaningful over farmland. Run patch by patch over a site, this classifier produces a land-use map that shows where the cropland is, so crop-health readings are computed over the right pixels. It separates four agricultural classes (annual crop, permanent crop, pasture, herbaceous vegetation) from six other land covers.</w:t>
      </w:r>
    </w:p>
    <w:p>
      <w:pPr>
        <w:pStyle w:val="Heading2"/>
        <w:keepNext/>
        <w:keepLines/>
        <w:spacing w:after="120" w:before="260"/>
      </w:pPr>
      <w:r>
        <w:rPr>
          <w:rFonts w:ascii="Calibri" w:cs="Calibri" w:eastAsia="Calibri" w:hAnsi="Calibri"/>
          <w:b/>
          <w:bCs/>
          <w:color w:val="2F7D4F"/>
          <w:sz w:val="26"/>
          <w:szCs w:val="26"/>
        </w:rPr>
        <w:t xml:space="preserve">5.2 Data</w:t>
      </w:r>
    </w:p>
    <w:p>
      <w:pPr>
        <w:spacing w:after="140" w:line="288"/>
      </w:pPr>
      <w:r>
        <w:rPr>
          <w:rFonts w:ascii="Calibri" w:cs="Calibri" w:eastAsia="Calibri" w:hAnsi="Calibri"/>
          <w:color w:val="1F2A44"/>
          <w:sz w:val="22"/>
          <w:szCs w:val="22"/>
        </w:rPr>
        <w:t xml:space="preserve">EuroSAT multispectral (Helber et al., 2019): 27,000 Sentinel-2 patches of 64 × 64 pixels (640 m × 640 m) from 34 European countries, 10 classes, with the official TorchGeo train / validation / test split of 16,200 / 5,400 / 5,400 images. Band B10 (cirrus) is dropped because it is not delivered in Sentinel-2 Level-2A products, leaving 12 bands.</w:t>
      </w:r>
    </w:p>
    <w:p>
      <w:pPr>
        <w:pStyle w:val="Heading2"/>
        <w:keepNext/>
        <w:keepLines/>
        <w:spacing w:after="120" w:before="260"/>
      </w:pPr>
      <w:r>
        <w:rPr>
          <w:rFonts w:ascii="Calibri" w:cs="Calibri" w:eastAsia="Calibri" w:hAnsi="Calibri"/>
          <w:b/>
          <w:bCs/>
          <w:color w:val="2F7D4F"/>
          <w:sz w:val="26"/>
          <w:szCs w:val="26"/>
        </w:rPr>
        <w:t xml:space="preserve">5.3 Model and training</w:t>
      </w:r>
    </w:p>
    <w:p>
      <w:pPr>
        <w:spacing w:after="140" w:line="288"/>
      </w:pPr>
      <w:r>
        <w:rPr>
          <w:rFonts w:ascii="Calibri" w:cs="Calibri" w:eastAsia="Calibri" w:hAnsi="Calibri"/>
          <w:color w:val="1F2A44"/>
          <w:sz w:val="22"/>
          <w:szCs w:val="22"/>
        </w:rPr>
        <w:t xml:space="preserve">ResNet-18 initialised with weights pretrained by self-supervised learning (MoCo) on SSL4EO-S12, about one million Sentinel-2 scenes using all 13 bands. Satellite-native pretraining reaches higher accuracy with less labelled data than ImageNet weights. The pretrained first convolution is reduced from 13 to 12 input channels by removing the B10 filter, and patches are resized to 128 px inside the model so the feature scale is closer to pretraining. Training: 30 epochs, AdamW, one-cycle learning rate 1e-3, batch 128, label smoothing 0.05, random flips and rotations, 27 minutes on the T4.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5DAE3" w:sz="4"/>
              <w:left w:val="single" w:color="2F7D4F" w:sz="18"/>
              <w:bottom w:val="single" w:color="D5DAE3" w:sz="4"/>
              <w:right w:val="single" w:color="D5DAE3" w:sz="4"/>
            </w:tcBorders>
            <w:shd w:fill="F4F6F9" w:color="auto" w:val="clear"/>
            <w:tcMar>
              <w:top w:type="dxa" w:w="120"/>
              <w:left w:type="dxa" w:w="180"/>
              <w:bottom w:type="dxa" w:w="120"/>
              <w:right w:type="dxa" w:w="140"/>
            </w:tcMar>
          </w:tcPr>
          <w:p>
            <w:pPr>
              <w:spacing w:after="60"/>
            </w:pPr>
            <w:r>
              <w:rPr>
                <w:rFonts w:ascii="Calibri" w:cs="Calibri" w:eastAsia="Calibri" w:hAnsi="Calibri"/>
                <w:i/>
                <w:iCs/>
                <w:color w:val="6B7486"/>
                <w:sz w:val="18"/>
                <w:szCs w:val="18"/>
              </w:rPr>
              <w:t xml:space="preserve">src/gstp/models.py: building the classifier from Sentinel-2 pretrained weights</w:t>
            </w:r>
          </w:p>
          <w:p>
            <w:pPr>
              <w:spacing w:after="0" w:line="240"/>
            </w:pPr>
            <w:r>
              <w:rPr>
                <w:rFonts w:ascii="Consolas" w:cs="Consolas" w:eastAsia="Consolas" w:hAnsi="Consolas"/>
                <w:color w:val="24292F"/>
                <w:sz w:val="17"/>
                <w:szCs w:val="17"/>
              </w:rPr>
              <w:t xml:space="preserve"># Channel order of the SSL4EO-S12 weights. Inputs must follow it exactly.</w:t>
            </w:r>
          </w:p>
          <w:p>
            <w:pPr>
              <w:spacing w:after="0" w:line="240"/>
            </w:pPr>
            <w:r>
              <w:rPr>
                <w:rFonts w:ascii="Consolas" w:cs="Consolas" w:eastAsia="Consolas" w:hAnsi="Consolas"/>
                <w:color w:val="24292F"/>
                <w:sz w:val="17"/>
                <w:szCs w:val="17"/>
              </w:rPr>
              <w:t xml:space="preserve">SSL4EO_S2_BANDS = ["B01","B02","B03","B04","B05","B06","B07",</w:t>
            </w:r>
          </w:p>
          <w:p>
            <w:pPr>
              <w:spacing w:after="0" w:line="240"/>
            </w:pPr>
            <w:r>
              <w:rPr>
                <w:rFonts w:ascii="Consolas" w:cs="Consolas" w:eastAsia="Consolas" w:hAnsi="Consolas"/>
                <w:color w:val="24292F"/>
                <w:sz w:val="17"/>
                <w:szCs w:val="17"/>
              </w:rPr>
              <w:t xml:space="preserve">                   "B08","B8A","B09","B10","B11","B12"]</w:t>
            </w:r>
          </w:p>
          <w:p>
            <w:pPr>
              <w:spacing w:after="0" w:line="240"/>
            </w:pPr>
            <w:r>
              <w:rPr>
                <w:rFonts w:ascii="Consolas" w:cs="Consolas" w:eastAsia="Consolas" w:hAnsi="Consolas"/>
                <w:color w:val="24292F"/>
                <w:sz w:val="17"/>
                <w:szCs w:val="17"/>
              </w:rPr>
              <w:t xml:space="preserve"> </w:t>
            </w:r>
          </w:p>
          <w:p>
            <w:pPr>
              <w:spacing w:after="0" w:line="240"/>
            </w:pPr>
            <w:r>
              <w:rPr>
                <w:rFonts w:ascii="Consolas" w:cs="Consolas" w:eastAsia="Consolas" w:hAnsi="Consolas"/>
                <w:color w:val="24292F"/>
                <w:sz w:val="17"/>
                <w:szCs w:val="17"/>
              </w:rPr>
              <w:t xml:space="preserve">model = timm.create_model("resnet18", in_chans=13, num_classes=num_classes)</w:t>
            </w:r>
          </w:p>
          <w:p>
            <w:pPr>
              <w:spacing w:after="0" w:line="240"/>
            </w:pPr>
            <w:r>
              <w:rPr>
                <w:rFonts w:ascii="Consolas" w:cs="Consolas" w:eastAsia="Consolas" w:hAnsi="Consolas"/>
                <w:color w:val="24292F"/>
                <w:sz w:val="17"/>
                <w:szCs w:val="17"/>
              </w:rPr>
              <w:t xml:space="preserve">state = ResNet18_Weights.SENTINEL2_ALL_MOCO.get_state_dict()</w:t>
            </w:r>
          </w:p>
          <w:p>
            <w:pPr>
              <w:spacing w:after="0" w:line="240"/>
            </w:pPr>
            <w:r>
              <w:rPr>
                <w:rFonts w:ascii="Consolas" w:cs="Consolas" w:eastAsia="Consolas" w:hAnsi="Consolas"/>
                <w:color w:val="24292F"/>
                <w:sz w:val="17"/>
                <w:szCs w:val="17"/>
              </w:rPr>
              <w:t xml:space="preserve">state = {k: v for k, v in state.items() if not k.startswith("fc.")}</w:t>
            </w:r>
          </w:p>
          <w:p>
            <w:pPr>
              <w:spacing w:after="0" w:line="240"/>
            </w:pPr>
            <w:r>
              <w:rPr>
                <w:rFonts w:ascii="Consolas" w:cs="Consolas" w:eastAsia="Consolas" w:hAnsi="Consolas"/>
                <w:color w:val="24292F"/>
                <w:sz w:val="17"/>
                <w:szCs w:val="17"/>
              </w:rPr>
              <w:t xml:space="preserve">model.load_state_dict(state, strict=False)</w:t>
            </w:r>
          </w:p>
          <w:p>
            <w:pPr>
              <w:spacing w:after="0" w:line="240"/>
            </w:pPr>
            <w:r>
              <w:rPr>
                <w:rFonts w:ascii="Consolas" w:cs="Consolas" w:eastAsia="Consolas" w:hAnsi="Consolas"/>
                <w:color w:val="24292F"/>
                <w:sz w:val="17"/>
                <w:szCs w:val="17"/>
              </w:rPr>
              <w:t xml:space="preserve"> </w:t>
            </w:r>
          </w:p>
          <w:p>
            <w:pPr>
              <w:spacing w:after="0" w:line="240"/>
            </w:pPr>
            <w:r>
              <w:rPr>
                <w:rFonts w:ascii="Consolas" w:cs="Consolas" w:eastAsia="Consolas" w:hAnsi="Consolas"/>
                <w:color w:val="24292F"/>
                <w:sz w:val="17"/>
                <w:szCs w:val="17"/>
              </w:rPr>
              <w:t xml:space="preserve"># Drop B10 so the model accepts Sentinel-2 L2A (12 bands): keep the other 12 filters</w:t>
            </w:r>
          </w:p>
          <w:p>
            <w:pPr>
              <w:spacing w:after="0" w:line="240"/>
            </w:pPr>
            <w:r>
              <w:rPr>
                <w:rFonts w:ascii="Consolas" w:cs="Consolas" w:eastAsia="Consolas" w:hAnsi="Consolas"/>
                <w:color w:val="24292F"/>
                <w:sz w:val="17"/>
                <w:szCs w:val="17"/>
              </w:rPr>
              <w:t xml:space="preserve">keep = [i for i in range(13) if i not in drop_band_idx]</w:t>
            </w:r>
          </w:p>
          <w:p>
            <w:pPr>
              <w:spacing w:after="0" w:line="240"/>
            </w:pPr>
            <w:r>
              <w:rPr>
                <w:rFonts w:ascii="Consolas" w:cs="Consolas" w:eastAsia="Consolas" w:hAnsi="Consolas"/>
                <w:color w:val="24292F"/>
                <w:sz w:val="17"/>
                <w:szCs w:val="17"/>
              </w:rPr>
              <w:t xml:space="preserve">new_conv.weight.copy_(model.conv1.weight[:, keep])</w:t>
            </w:r>
          </w:p>
        </w:tc>
      </w:tr>
    </w:tbl>
    <w:p>
      <w:pPr>
        <w:spacing w:after="160"/>
      </w:pPr>
    </w:p>
    <w:p>
      <w:pPr>
        <w:spacing w:after="140" w:line="288"/>
      </w:pPr>
      <w:r>
        <w:rPr>
          <w:rFonts w:ascii="Calibri" w:cs="Calibri" w:eastAsia="Calibri" w:hAnsi="Calibri"/>
          <w:b/>
          <w:bCs/>
          <w:color w:val="1F2A44"/>
          <w:sz w:val="22"/>
          <w:szCs w:val="22"/>
        </w:rPr>
        <w:t xml:space="preserve">A bug caught before training. </w:t>
      </w:r>
      <w:r>
        <w:rPr>
          <w:rFonts w:ascii="Calibri" w:cs="Calibri" w:eastAsia="Calibri" w:hAnsi="Calibri"/>
          <w:color w:val="1F2A44"/>
          <w:sz w:val="22"/>
          <w:szCs w:val="22"/>
        </w:rPr>
        <w:t xml:space="preserve">TorchGeo lists the EuroSAT bands with B8A last, while the pretrained weights expect B8A after B08. Loading in the default order would have fed every band to the wrong filters and silently lowered accuracy. The band list is now set explicitly from the pretrained-weight order (above) and checked in the tests.</w:t>
      </w:r>
    </w:p>
    <w:p>
      <w:pPr>
        <w:spacing w:before="120"/>
        <w:jc w:val="center"/>
      </w:pPr>
      <w:r>
        <w:drawing>
          <wp:inline distT="0" distB="0" distL="0" distR="0">
            <wp:extent cx="5715000" cy="2981325"/>
            <wp:effectExtent t="0" r="0" b="0" l="0"/>
            <wp:docPr id="2" name="fig" descr="Figure 2. Training run on Colab: dataset loaded with the expected split and band order (left), first epochs (right)." title="Figure 2. Training run on Colab: dataset loaded with the expected split and band order (left), first epochs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81325"/>
                    </a:xfrm>
                    <a:prstGeom prst="rect">
                      <a:avLst/>
                    </a:prstGeom>
                  </pic:spPr>
                </pic:pic>
              </a:graphicData>
            </a:graphic>
          </wp:inline>
        </w:drawing>
      </w:r>
    </w:p>
    <w:p>
      <w:pPr>
        <w:spacing w:after="240" w:before="60"/>
        <w:jc w:val="center"/>
      </w:pPr>
      <w:r>
        <w:rPr>
          <w:rFonts w:ascii="Calibri" w:cs="Calibri" w:eastAsia="Calibri" w:hAnsi="Calibri"/>
          <w:i/>
          <w:iCs/>
          <w:color w:val="6B7486"/>
          <w:sz w:val="18"/>
          <w:szCs w:val="18"/>
        </w:rPr>
        <w:t xml:space="preserve">Figure 2. Training run on Colab: dataset loaded with the expected split and band order (left), first epochs (right).</w:t>
      </w:r>
    </w:p>
    <w:p>
      <w:pPr>
        <w:pStyle w:val="Heading2"/>
        <w:keepNext/>
        <w:keepLines/>
        <w:spacing w:after="120" w:before="260"/>
      </w:pPr>
      <w:r>
        <w:rPr>
          <w:rFonts w:ascii="Calibri" w:cs="Calibri" w:eastAsia="Calibri" w:hAnsi="Calibri"/>
          <w:b/>
          <w:bCs/>
          <w:color w:val="2F7D4F"/>
          <w:sz w:val="26"/>
          <w:szCs w:val="26"/>
        </w:rPr>
        <w:t xml:space="preserve">5.4 Results</w:t>
      </w:r>
    </w:p>
    <w:p>
      <w:pPr>
        <w:spacing w:after="140" w:line="288"/>
      </w:pPr>
      <w:r>
        <w:rPr>
          <w:rFonts w:ascii="Calibri" w:cs="Calibri" w:eastAsia="Calibri" w:hAnsi="Calibri"/>
          <w:color w:val="1F2A44"/>
          <w:sz w:val="22"/>
          <w:szCs w:val="22"/>
        </w:rPr>
        <w:t xml:space="preserve">On the 5,400 test images the model reaches 99.19 % accuracy and 99.16 % macro-F1. The best validation epoch was 26 of 30. The four agricultural classes score between 98.7 % and 99.1 % F1. The remaining confusions are between visually similar vegetation types, mainly permanent crop versus herbaceous vegetation (6 images) and pasture versus annual crop (3 images).</w:t>
      </w:r>
    </w:p>
    <w:p>
      <w:pPr>
        <w:spacing w:before="120"/>
        <w:jc w:val="center"/>
      </w:pPr>
      <w:r>
        <w:drawing>
          <wp:inline distT="0" distB="0" distL="0" distR="0">
            <wp:extent cx="4476750" cy="3848100"/>
            <wp:effectExtent t="0" r="0" b="0" l="0"/>
            <wp:docPr id="3" name="fig" descr="Figure 3. Confusion matrix on the test set (counts; colour = share of each true class)." title="Figure 3. Confusion matrix on the test set (counts; colour = share of each true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848100"/>
                    </a:xfrm>
                    <a:prstGeom prst="rect">
                      <a:avLst/>
                    </a:prstGeom>
                  </pic:spPr>
                </pic:pic>
              </a:graphicData>
            </a:graphic>
          </wp:inline>
        </w:drawing>
      </w:r>
    </w:p>
    <w:p>
      <w:pPr>
        <w:spacing w:after="240" w:before="60"/>
        <w:jc w:val="center"/>
      </w:pPr>
      <w:r>
        <w:rPr>
          <w:rFonts w:ascii="Calibri" w:cs="Calibri" w:eastAsia="Calibri" w:hAnsi="Calibri"/>
          <w:i/>
          <w:iCs/>
          <w:color w:val="6B7486"/>
          <w:sz w:val="18"/>
          <w:szCs w:val="18"/>
        </w:rPr>
        <w:t xml:space="preserve">Figure 3. Confusion matrix on the test set (counts; colour = share of each true class).</w:t>
      </w:r>
    </w:p>
    <w:p>
      <w:pPr>
        <w:spacing w:before="120"/>
        <w:jc w:val="center"/>
      </w:pPr>
      <w:r>
        <w:drawing>
          <wp:inline distT="0" distB="0" distL="0" distR="0">
            <wp:extent cx="4476750" cy="2743200"/>
            <wp:effectExtent t="0" r="0" b="0" l="0"/>
            <wp:docPr id="4" name="fig" descr="Figure 4. F1 score per class on the test set. Agricultural classes in green (axis starts at 97 %)." title="Figure 4. F1 score per class on the test set. Agricultural classes in green (axis starts at 9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743200"/>
                    </a:xfrm>
                    <a:prstGeom prst="rect">
                      <a:avLst/>
                    </a:prstGeom>
                  </pic:spPr>
                </pic:pic>
              </a:graphicData>
            </a:graphic>
          </wp:inline>
        </w:drawing>
      </w:r>
    </w:p>
    <w:p>
      <w:pPr>
        <w:spacing w:after="240" w:before="60"/>
        <w:jc w:val="center"/>
      </w:pPr>
      <w:r>
        <w:rPr>
          <w:rFonts w:ascii="Calibri" w:cs="Calibri" w:eastAsia="Calibri" w:hAnsi="Calibri"/>
          <w:i/>
          <w:iCs/>
          <w:color w:val="6B7486"/>
          <w:sz w:val="18"/>
          <w:szCs w:val="18"/>
        </w:rPr>
        <w:t xml:space="preserve">Figure 4. F1 score per class on the test set. Agricultural classes in green (axis starts at 97 %).</w:t>
      </w:r>
    </w:p>
    <w:p>
      <w:pPr>
        <w:spacing w:before="120"/>
        <w:jc w:val="center"/>
      </w:pPr>
      <w:r>
        <w:drawing>
          <wp:inline distT="0" distB="0" distL="0" distR="0">
            <wp:extent cx="5715000" cy="1971675"/>
            <wp:effectExtent t="0" r="0" b="0" l="0"/>
            <wp:docPr id="5" name="fig" descr="Figure 5. Training loss and validation accuracy per epoch." title="Figure 5. Training loss and validation accuracy per ep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971675"/>
                    </a:xfrm>
                    <a:prstGeom prst="rect">
                      <a:avLst/>
                    </a:prstGeom>
                  </pic:spPr>
                </pic:pic>
              </a:graphicData>
            </a:graphic>
          </wp:inline>
        </w:drawing>
      </w:r>
    </w:p>
    <w:p>
      <w:pPr>
        <w:spacing w:after="240" w:before="60"/>
        <w:jc w:val="center"/>
      </w:pPr>
      <w:r>
        <w:rPr>
          <w:rFonts w:ascii="Calibri" w:cs="Calibri" w:eastAsia="Calibri" w:hAnsi="Calibri"/>
          <w:i/>
          <w:iCs/>
          <w:color w:val="6B7486"/>
          <w:sz w:val="18"/>
          <w:szCs w:val="18"/>
        </w:rPr>
        <w:t xml:space="preserve">Figure 5. Training loss and validation accuracy per epoch.</w:t>
      </w:r>
    </w:p>
    <w:p>
      <w:pPr>
        <w:pStyle w:val="Heading1"/>
        <w:keepNext/>
        <w:keepLines/>
        <w:spacing w:after="160" w:before="360"/>
      </w:pPr>
      <w:r>
        <w:rPr>
          <w:rFonts w:ascii="Calibri" w:cs="Calibri" w:eastAsia="Calibri" w:hAnsi="Calibri"/>
          <w:b/>
          <w:bCs/>
          <w:color w:val="1F2A44"/>
          <w:sz w:val="32"/>
          <w:szCs w:val="32"/>
        </w:rPr>
        <w:t xml:space="preserve">6. Model 2: wildfire burn-scar segmentation</w:t>
      </w:r>
    </w:p>
    <w:p>
      <w:pPr>
        <w:pStyle w:val="Heading2"/>
        <w:keepNext/>
        <w:keepLines/>
        <w:spacing w:after="120" w:before="260"/>
      </w:pPr>
      <w:r>
        <w:rPr>
          <w:rFonts w:ascii="Calibri" w:cs="Calibri" w:eastAsia="Calibri" w:hAnsi="Calibri"/>
          <w:b/>
          <w:bCs/>
          <w:color w:val="2F7D4F"/>
          <w:sz w:val="26"/>
          <w:szCs w:val="26"/>
        </w:rPr>
        <w:t xml:space="preserve">6.1 Purpose</w:t>
      </w:r>
    </w:p>
    <w:p>
      <w:pPr>
        <w:spacing w:after="140" w:line="288"/>
      </w:pPr>
      <w:r>
        <w:rPr>
          <w:rFonts w:ascii="Calibri" w:cs="Calibri" w:eastAsia="Calibri" w:hAnsi="Calibri"/>
          <w:color w:val="1F2A44"/>
          <w:sz w:val="22"/>
          <w:szCs w:val="22"/>
        </w:rPr>
        <w:t xml:space="preserve">After a fire, the useful product is a map of what burned and how large the burned area is. The model labels every pixel as burned or not burned. Applied to images from before and after a fire, the newly burned pixels give the burned area in km².</w:t>
      </w:r>
    </w:p>
    <w:p>
      <w:pPr>
        <w:pStyle w:val="Heading2"/>
        <w:keepNext/>
        <w:keepLines/>
        <w:spacing w:after="120" w:before="260"/>
      </w:pPr>
      <w:r>
        <w:rPr>
          <w:rFonts w:ascii="Calibri" w:cs="Calibri" w:eastAsia="Calibri" w:hAnsi="Calibri"/>
          <w:b/>
          <w:bCs/>
          <w:color w:val="2F7D4F"/>
          <w:sz w:val="26"/>
          <w:szCs w:val="26"/>
        </w:rPr>
        <w:t xml:space="preserve">6.2 Data</w:t>
      </w:r>
    </w:p>
    <w:p>
      <w:pPr>
        <w:spacing w:after="140" w:line="288"/>
      </w:pPr>
      <w:r>
        <w:rPr>
          <w:rFonts w:ascii="Calibri" w:cs="Calibri" w:eastAsia="Calibri" w:hAnsi="Calibri"/>
          <w:color w:val="1F2A44"/>
          <w:sz w:val="22"/>
          <w:szCs w:val="22"/>
        </w:rPr>
        <w:t xml:space="preserve">HLS Burn Scars (NASA / IBM, 2023): 804 chips of 512 × 512 pixels at 30 m from fires across the contiguous USA (2018–2021), with expert burn-scar masks. Inputs are six bands that exist on Sentinel-2 (blue, green, red, narrow NIR, SWIR-1, SWIR-2), so the model applies directly to Sentinel-2 imagery. The official validation folder (264 chips) is held out as the test set; the 540 training chips are split 459 / 81 into training and validation, grouped by satellite tile.</w:t>
      </w:r>
    </w:p>
    <w:p>
      <w:pPr>
        <w:pStyle w:val="Heading2"/>
        <w:keepNext/>
        <w:keepLines/>
        <w:spacing w:after="120" w:before="260"/>
      </w:pPr>
      <w:r>
        <w:rPr>
          <w:rFonts w:ascii="Calibri" w:cs="Calibri" w:eastAsia="Calibri" w:hAnsi="Calibri"/>
          <w:b/>
          <w:bCs/>
          <w:color w:val="2F7D4F"/>
          <w:sz w:val="26"/>
          <w:szCs w:val="26"/>
        </w:rPr>
        <w:t xml:space="preserve">6.3 Model and training</w:t>
      </w:r>
    </w:p>
    <w:p>
      <w:pPr>
        <w:spacing w:after="140" w:line="288"/>
      </w:pPr>
      <w:r>
        <w:rPr>
          <w:rFonts w:ascii="Calibri" w:cs="Calibri" w:eastAsia="Calibri" w:hAnsi="Calibri"/>
          <w:color w:val="1F2A44"/>
          <w:sz w:val="22"/>
          <w:szCs w:val="22"/>
        </w:rPr>
        <w:t xml:space="preserve">U-Net with an ImageNet-pretrained ResNet-34 encoder (24.4 M parameters) and the first convolution adapted to six bands. The loss combines binary cross-entropy, for stable per-pixel learning, with Dice loss, which directly optimises overlap and copes with burned pixels being a minority (about 11 % of the data). No-data pixels are excluded from both loss and metrics. Training: 60 epochs on random 256 px crops with flips and rotations, AdamW with a one-cycle schedule at 3e-4, mixed precision, 24 minutes on the T4.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5DAE3" w:sz="4"/>
              <w:left w:val="single" w:color="2F7D4F" w:sz="18"/>
              <w:bottom w:val="single" w:color="D5DAE3" w:sz="4"/>
              <w:right w:val="single" w:color="D5DAE3" w:sz="4"/>
            </w:tcBorders>
            <w:shd w:fill="F4F6F9" w:color="auto" w:val="clear"/>
            <w:tcMar>
              <w:top w:type="dxa" w:w="120"/>
              <w:left w:type="dxa" w:w="180"/>
              <w:bottom w:type="dxa" w:w="120"/>
              <w:right w:type="dxa" w:w="140"/>
            </w:tcMar>
          </w:tcPr>
          <w:p>
            <w:pPr>
              <w:spacing w:after="60"/>
            </w:pPr>
            <w:r>
              <w:rPr>
                <w:rFonts w:ascii="Calibri" w:cs="Calibri" w:eastAsia="Calibri" w:hAnsi="Calibri"/>
                <w:i/>
                <w:iCs/>
                <w:color w:val="6B7486"/>
                <w:sz w:val="18"/>
                <w:szCs w:val="18"/>
              </w:rPr>
              <w:t xml:space="preserve">src/gstp/losses.py: BCE + Dice loss with ignored pixels (condensed)</w:t>
            </w:r>
          </w:p>
          <w:p>
            <w:pPr>
              <w:spacing w:after="0" w:line="240"/>
            </w:pPr>
            <w:r>
              <w:rPr>
                <w:rFonts w:ascii="Consolas" w:cs="Consolas" w:eastAsia="Consolas" w:hAnsi="Consolas"/>
                <w:color w:val="24292F"/>
                <w:sz w:val="17"/>
                <w:szCs w:val="17"/>
              </w:rPr>
              <w:t xml:space="preserve">class BCEDiceLoss(torch.nn.Module):</w:t>
            </w:r>
          </w:p>
          <w:p>
            <w:pPr>
              <w:spacing w:after="0" w:line="240"/>
            </w:pPr>
            <w:r>
              <w:rPr>
                <w:rFonts w:ascii="Consolas" w:cs="Consolas" w:eastAsia="Consolas" w:hAnsi="Consolas"/>
                <w:color w:val="24292F"/>
                <w:sz w:val="17"/>
                <w:szCs w:val="17"/>
              </w:rPr>
              <w:t xml:space="preserve">    def forward(self, logits, target):</w:t>
            </w:r>
          </w:p>
          <w:p>
            <w:pPr>
              <w:spacing w:after="0" w:line="240"/>
            </w:pPr>
            <w:r>
              <w:rPr>
                <w:rFonts w:ascii="Consolas" w:cs="Consolas" w:eastAsia="Consolas" w:hAnsi="Consolas"/>
                <w:color w:val="24292F"/>
                <w:sz w:val="17"/>
                <w:szCs w:val="17"/>
              </w:rPr>
              <w:t xml:space="preserve">        valid = target != IGNORE_INDEX            # no-data pixels are ignored</w:t>
            </w:r>
          </w:p>
          <w:p>
            <w:pPr>
              <w:spacing w:after="0" w:line="240"/>
            </w:pPr>
            <w:r>
              <w:rPr>
                <w:rFonts w:ascii="Consolas" w:cs="Consolas" w:eastAsia="Consolas" w:hAnsi="Consolas"/>
                <w:color w:val="24292F"/>
                <w:sz w:val="17"/>
                <w:szCs w:val="17"/>
              </w:rPr>
              <w:t xml:space="preserve">        y = target.float() * valid</w:t>
            </w:r>
          </w:p>
          <w:p>
            <w:pPr>
              <w:spacing w:after="0" w:line="240"/>
            </w:pPr>
            <w:r>
              <w:rPr>
                <w:rFonts w:ascii="Consolas" w:cs="Consolas" w:eastAsia="Consolas" w:hAnsi="Consolas"/>
                <w:color w:val="24292F"/>
                <w:sz w:val="17"/>
                <w:szCs w:val="17"/>
              </w:rPr>
              <w:t xml:space="preserve">        bce = F.binary_cross_entropy_with_logits(logits, y, reduction="none")</w:t>
            </w:r>
          </w:p>
          <w:p>
            <w:pPr>
              <w:spacing w:after="0" w:line="240"/>
            </w:pPr>
            <w:r>
              <w:rPr>
                <w:rFonts w:ascii="Consolas" w:cs="Consolas" w:eastAsia="Consolas" w:hAnsi="Consolas"/>
                <w:color w:val="24292F"/>
                <w:sz w:val="17"/>
                <w:szCs w:val="17"/>
              </w:rPr>
              <w:t xml:space="preserve">        bce = (bce * valid).sum() / valid.sum()</w:t>
            </w:r>
          </w:p>
          <w:p>
            <w:pPr>
              <w:spacing w:after="0" w:line="240"/>
            </w:pPr>
            <w:r>
              <w:rPr>
                <w:rFonts w:ascii="Consolas" w:cs="Consolas" w:eastAsia="Consolas" w:hAnsi="Consolas"/>
                <w:color w:val="24292F"/>
                <w:sz w:val="17"/>
                <w:szCs w:val="17"/>
              </w:rPr>
              <w:t xml:space="preserve">        p = torch.sigmoid(logits) * valid</w:t>
            </w:r>
          </w:p>
          <w:p>
            <w:pPr>
              <w:spacing w:after="0" w:line="240"/>
            </w:pPr>
            <w:r>
              <w:rPr>
                <w:rFonts w:ascii="Consolas" w:cs="Consolas" w:eastAsia="Consolas" w:hAnsi="Consolas"/>
                <w:color w:val="24292F"/>
                <w:sz w:val="17"/>
                <w:szCs w:val="17"/>
              </w:rPr>
              <w:t xml:space="preserve">        dice = 1 - (2 * (p * y).sum() + 1) / (p.sum() + y.sum() + 1)</w:t>
            </w:r>
          </w:p>
          <w:p>
            <w:pPr>
              <w:spacing w:after="0" w:line="240"/>
            </w:pPr>
            <w:r>
              <w:rPr>
                <w:rFonts w:ascii="Consolas" w:cs="Consolas" w:eastAsia="Consolas" w:hAnsi="Consolas"/>
                <w:color w:val="24292F"/>
                <w:sz w:val="17"/>
                <w:szCs w:val="17"/>
              </w:rPr>
              <w:t xml:space="preserve">        return 0.5 * bce + 0.5 * dice</w:t>
            </w:r>
          </w:p>
        </w:tc>
      </w:tr>
    </w:tbl>
    <w:p>
      <w:pPr>
        <w:spacing w:after="160"/>
      </w:pPr>
    </w:p>
    <w:p>
      <w:pPr>
        <w:spacing w:after="140" w:line="288"/>
      </w:pPr>
      <w:r>
        <w:rPr>
          <w:rFonts w:ascii="Calibri" w:cs="Calibri" w:eastAsia="Calibri" w:hAnsi="Calibri"/>
          <w:color w:val="1F2A44"/>
          <w:sz w:val="22"/>
          <w:szCs w:val="22"/>
        </w:rPr>
        <w:t xml:space="preserve">The decision threshold is not fixed at 0.5. After training, the threshold that maximises IoU on the validation set (0.70) is selected and stored inside the checkpoint, and the test set is scored once at that threshold.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5DAE3" w:sz="4"/>
              <w:left w:val="single" w:color="2F7D4F" w:sz="18"/>
              <w:bottom w:val="single" w:color="D5DAE3" w:sz="4"/>
              <w:right w:val="single" w:color="D5DAE3" w:sz="4"/>
            </w:tcBorders>
            <w:shd w:fill="F4F6F9" w:color="auto" w:val="clear"/>
            <w:tcMar>
              <w:top w:type="dxa" w:w="120"/>
              <w:left w:type="dxa" w:w="180"/>
              <w:bottom w:type="dxa" w:w="120"/>
              <w:right w:type="dxa" w:w="140"/>
            </w:tcMar>
          </w:tcPr>
          <w:p>
            <w:pPr>
              <w:spacing w:after="60"/>
            </w:pPr>
            <w:r>
              <w:rPr>
                <w:rFonts w:ascii="Calibri" w:cs="Calibri" w:eastAsia="Calibri" w:hAnsi="Calibri"/>
                <w:i/>
                <w:iCs/>
                <w:color w:val="6B7486"/>
                <w:sz w:val="18"/>
                <w:szCs w:val="18"/>
              </w:rPr>
              <w:t xml:space="preserve">src/gstp/train_seg.py: threshold selection and one-time test (condensed)</w:t>
            </w:r>
          </w:p>
          <w:p>
            <w:pPr>
              <w:spacing w:after="0" w:line="240"/>
            </w:pPr>
            <w:r>
              <w:rPr>
                <w:rFonts w:ascii="Consolas" w:cs="Consolas" w:eastAsia="Consolas" w:hAnsi="Consolas"/>
                <w:color w:val="24292F"/>
                <w:sz w:val="17"/>
                <w:szCs w:val="17"/>
              </w:rPr>
              <w:t xml:space="preserve"># after training: reload the best epoch, choose the threshold on VALIDATION data</w:t>
            </w:r>
          </w:p>
          <w:p>
            <w:pPr>
              <w:spacing w:after="0" w:line="240"/>
            </w:pPr>
            <w:r>
              <w:rPr>
                <w:rFonts w:ascii="Consolas" w:cs="Consolas" w:eastAsia="Consolas" w:hAnsi="Consolas"/>
                <w:color w:val="24292F"/>
                <w:sz w:val="17"/>
                <w:szCs w:val="17"/>
              </w:rPr>
              <w:t xml:space="preserve">val_meter, _ = evaluate(model, val_ds, thresholds=np.arange(0.05, 0.96, 0.05))</w:t>
            </w:r>
          </w:p>
          <w:p>
            <w:pPr>
              <w:spacing w:after="0" w:line="240"/>
            </w:pPr>
            <w:r>
              <w:rPr>
                <w:rFonts w:ascii="Consolas" w:cs="Consolas" w:eastAsia="Consolas" w:hAnsi="Consolas"/>
                <w:color w:val="24292F"/>
                <w:sz w:val="17"/>
                <w:szCs w:val="17"/>
              </w:rPr>
              <w:t xml:space="preserve">best = val_meter.best("iou")                 # -&gt; threshold 0.70 for burn scars</w:t>
            </w:r>
          </w:p>
          <w:p>
            <w:pPr>
              <w:spacing w:after="0" w:line="240"/>
            </w:pPr>
            <w:r>
              <w:rPr>
                <w:rFonts w:ascii="Consolas" w:cs="Consolas" w:eastAsia="Consolas" w:hAnsi="Consolas"/>
                <w:color w:val="24292F"/>
                <w:sz w:val="17"/>
                <w:szCs w:val="17"/>
              </w:rPr>
              <w:t xml:space="preserve">state["threshold"] = best["threshold"]       # saved with the weights</w:t>
            </w:r>
          </w:p>
          <w:p>
            <w:pPr>
              <w:spacing w:after="0" w:line="240"/>
            </w:pPr>
            <w:r>
              <w:rPr>
                <w:rFonts w:ascii="Consolas" w:cs="Consolas" w:eastAsia="Consolas" w:hAnsi="Consolas"/>
                <w:color w:val="24292F"/>
                <w:sz w:val="17"/>
                <w:szCs w:val="17"/>
              </w:rPr>
              <w:t xml:space="preserve"> </w:t>
            </w:r>
          </w:p>
          <w:p>
            <w:pPr>
              <w:spacing w:after="0" w:line="240"/>
            </w:pPr>
            <w:r>
              <w:rPr>
                <w:rFonts w:ascii="Consolas" w:cs="Consolas" w:eastAsia="Consolas" w:hAnsi="Consolas"/>
                <w:color w:val="24292F"/>
                <w:sz w:val="17"/>
                <w:szCs w:val="17"/>
              </w:rPr>
              <w:t xml:space="preserve"># the test split is scored once, at that threshold</w:t>
            </w:r>
          </w:p>
          <w:p>
            <w:pPr>
              <w:spacing w:after="0" w:line="240"/>
            </w:pPr>
            <w:r>
              <w:rPr>
                <w:rFonts w:ascii="Consolas" w:cs="Consolas" w:eastAsia="Consolas" w:hAnsi="Consolas"/>
                <w:color w:val="24292F"/>
                <w:sz w:val="17"/>
                <w:szCs w:val="17"/>
              </w:rPr>
              <w:t xml:space="preserve">report = test_report(model, {"test": test_ds}, best["threshold"], out_path)</w:t>
            </w:r>
          </w:p>
        </w:tc>
      </w:tr>
    </w:tbl>
    <w:p>
      <w:pPr>
        <w:spacing w:after="160"/>
      </w:pPr>
    </w:p>
    <w:p>
      <w:pPr>
        <w:spacing w:before="120"/>
        <w:jc w:val="center"/>
      </w:pPr>
      <w:r>
        <w:drawing>
          <wp:inline distT="0" distB="0" distL="0" distR="0">
            <wp:extent cx="3619500" cy="3133725"/>
            <wp:effectExtent t="0" r="0" b="0" l="0"/>
            <wp:docPr id="6" name="fig" descr="Figure 6. Validation scores against decision threshold (Colab output); 0.70 maximises IoU." title="Figure 6. Validation scores against decision threshold (Colab output); 0.70 maximises I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3133725"/>
                    </a:xfrm>
                    <a:prstGeom prst="rect">
                      <a:avLst/>
                    </a:prstGeom>
                  </pic:spPr>
                </pic:pic>
              </a:graphicData>
            </a:graphic>
          </wp:inline>
        </w:drawing>
      </w:r>
    </w:p>
    <w:p>
      <w:pPr>
        <w:spacing w:after="240" w:before="60"/>
        <w:jc w:val="center"/>
      </w:pPr>
      <w:r>
        <w:rPr>
          <w:rFonts w:ascii="Calibri" w:cs="Calibri" w:eastAsia="Calibri" w:hAnsi="Calibri"/>
          <w:i/>
          <w:iCs/>
          <w:color w:val="6B7486"/>
          <w:sz w:val="18"/>
          <w:szCs w:val="18"/>
        </w:rPr>
        <w:t xml:space="preserve">Figure 6. Validation scores against decision threshold (Colab output); 0.70 maximises IoU.</w:t>
      </w:r>
    </w:p>
    <w:p>
      <w:pPr>
        <w:pStyle w:val="Heading2"/>
        <w:keepNext/>
        <w:keepLines/>
        <w:spacing w:after="120" w:before="260"/>
      </w:pPr>
      <w:r>
        <w:rPr>
          <w:rFonts w:ascii="Calibri" w:cs="Calibri" w:eastAsia="Calibri" w:hAnsi="Calibri"/>
          <w:b/>
          <w:bCs/>
          <w:color w:val="2F7D4F"/>
          <w:sz w:val="26"/>
          <w:szCs w:val="26"/>
        </w:rPr>
        <w:t xml:space="preserve">6.4 Results</w:t>
      </w:r>
    </w:p>
    <w:p>
      <w:pPr>
        <w:spacing w:after="140" w:line="288"/>
      </w:pPr>
      <w:r>
        <w:rPr>
          <w:rFonts w:ascii="Calibri" w:cs="Calibri" w:eastAsia="Calibri" w:hAnsi="Calibri"/>
          <w:color w:val="1F2A44"/>
          <w:sz w:val="22"/>
          <w:szCs w:val="22"/>
        </w:rPr>
        <w:t xml:space="preserve">On the 264 test chips the model reaches IoU 0.805 and F1 0.892 for the burned class, with precision 90.5 % and recall 88.0 %. The NBR (normalised burn ratio) threshold, tuned on the same validation chips, reaches IoU 0.450 and F1 0.621. The learned model is better on both kinds of error: it raises false alarms less often and misses fewer burned pixels. For context, the published result for NASA/IBM's much larger Prithvi foundation model on this dataset is about 0.83 burn-scar IoU.</w:t>
      </w:r>
    </w:p>
    <w:p>
      <w:pPr>
        <w:spacing w:before="120"/>
        <w:jc w:val="center"/>
      </w:pPr>
      <w:r>
        <w:drawing>
          <wp:inline distT="0" distB="0" distL="0" distR="0">
            <wp:extent cx="5334000" cy="2857500"/>
            <wp:effectExtent t="0" r="0" b="0" l="0"/>
            <wp:docPr id="7" name="fig" descr="Figure 7. U-Net vs the classic NBR threshold on the same 264 test chips." title="Figure 7. U-Net vs the classic NBR threshold on the same 264 test c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857500"/>
                    </a:xfrm>
                    <a:prstGeom prst="rect">
                      <a:avLst/>
                    </a:prstGeom>
                  </pic:spPr>
                </pic:pic>
              </a:graphicData>
            </a:graphic>
          </wp:inline>
        </w:drawing>
      </w:r>
    </w:p>
    <w:p>
      <w:pPr>
        <w:spacing w:after="240" w:before="60"/>
        <w:jc w:val="center"/>
      </w:pPr>
      <w:r>
        <w:rPr>
          <w:rFonts w:ascii="Calibri" w:cs="Calibri" w:eastAsia="Calibri" w:hAnsi="Calibri"/>
          <w:i/>
          <w:iCs/>
          <w:color w:val="6B7486"/>
          <w:sz w:val="18"/>
          <w:szCs w:val="18"/>
        </w:rPr>
        <w:t xml:space="preserve">Figure 7. U-Net vs the classic NBR threshold on the same 264 test chips.</w:t>
      </w:r>
    </w:p>
    <w:p>
      <w:pPr>
        <w:spacing w:before="120"/>
        <w:jc w:val="center"/>
      </w:pPr>
      <w:r>
        <w:drawing>
          <wp:inline distT="0" distB="0" distL="0" distR="0">
            <wp:extent cx="5715000" cy="1971675"/>
            <wp:effectExtent t="0" r="0" b="0" l="0"/>
            <wp:docPr id="8" name="fig" descr="Figure 8. Training loss and validation IoU per epoch." title="Figure 8. Training loss and validation IoU per ep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971675"/>
                    </a:xfrm>
                    <a:prstGeom prst="rect">
                      <a:avLst/>
                    </a:prstGeom>
                  </pic:spPr>
                </pic:pic>
              </a:graphicData>
            </a:graphic>
          </wp:inline>
        </w:drawing>
      </w:r>
    </w:p>
    <w:p>
      <w:pPr>
        <w:spacing w:after="240" w:before="60"/>
        <w:jc w:val="center"/>
      </w:pPr>
      <w:r>
        <w:rPr>
          <w:rFonts w:ascii="Calibri" w:cs="Calibri" w:eastAsia="Calibri" w:hAnsi="Calibri"/>
          <w:i/>
          <w:iCs/>
          <w:color w:val="6B7486"/>
          <w:sz w:val="18"/>
          <w:szCs w:val="18"/>
        </w:rPr>
        <w:t xml:space="preserve">Figure 8. Training loss and validation IoU per epoch.</w:t>
      </w:r>
    </w:p>
    <w:p>
      <w:pPr>
        <w:pStyle w:val="Heading1"/>
        <w:keepNext/>
        <w:keepLines/>
        <w:spacing w:after="160" w:before="360"/>
      </w:pPr>
      <w:r>
        <w:rPr>
          <w:rFonts w:ascii="Calibri" w:cs="Calibri" w:eastAsia="Calibri" w:hAnsi="Calibri"/>
          <w:b/>
          <w:bCs/>
          <w:color w:val="1F2A44"/>
          <w:sz w:val="32"/>
          <w:szCs w:val="32"/>
        </w:rPr>
        <w:t xml:space="preserve">7. Engineering notes</w:t>
      </w:r>
    </w:p>
    <w:p>
      <w:pPr>
        <w:pStyle w:val="Heading2"/>
        <w:keepNext/>
        <w:keepLines/>
        <w:spacing w:after="120" w:before="260"/>
      </w:pPr>
      <w:r>
        <w:rPr>
          <w:rFonts w:ascii="Calibri" w:cs="Calibri" w:eastAsia="Calibri" w:hAnsi="Calibri"/>
          <w:b/>
          <w:bCs/>
          <w:color w:val="2F7D4F"/>
          <w:sz w:val="26"/>
          <w:szCs w:val="26"/>
        </w:rPr>
        <w:t xml:space="preserve">7.1 Repository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5DAE3" w:sz="4"/>
              <w:left w:val="single" w:color="2F7D4F" w:sz="18"/>
              <w:bottom w:val="single" w:color="D5DAE3" w:sz="4"/>
              <w:right w:val="single" w:color="D5DAE3" w:sz="4"/>
            </w:tcBorders>
            <w:shd w:fill="F4F6F9" w:color="auto" w:val="clear"/>
            <w:tcMar>
              <w:top w:type="dxa" w:w="120"/>
              <w:left w:type="dxa" w:w="180"/>
              <w:bottom w:type="dxa" w:w="120"/>
              <w:right w:type="dxa" w:w="140"/>
            </w:tcMar>
          </w:tcPr>
          <w:p>
            <w:pPr>
              <w:spacing w:after="60"/>
            </w:pPr>
            <w:r>
              <w:rPr>
                <w:rFonts w:ascii="Calibri" w:cs="Calibri" w:eastAsia="Calibri" w:hAnsi="Calibri"/>
                <w:i/>
                <w:iCs/>
                <w:color w:val="6B7486"/>
                <w:sz w:val="18"/>
                <w:szCs w:val="18"/>
              </w:rPr>
              <w:t xml:space="preserve">trainedmodels_gstp repository layout</w:t>
            </w:r>
          </w:p>
          <w:p>
            <w:pPr>
              <w:spacing w:after="0" w:line="240"/>
            </w:pPr>
            <w:r>
              <w:rPr>
                <w:rFonts w:ascii="Consolas" w:cs="Consolas" w:eastAsia="Consolas" w:hAnsi="Consolas"/>
                <w:color w:val="24292F"/>
                <w:sz w:val="17"/>
                <w:szCs w:val="17"/>
              </w:rPr>
              <w:t xml:space="preserve">configs/     60 sites (bounding boxes) + real events</w:t>
            </w:r>
          </w:p>
          <w:p>
            <w:pPr>
              <w:spacing w:after="0" w:line="240"/>
            </w:pPr>
            <w:r>
              <w:rPr>
                <w:rFonts w:ascii="Consolas" w:cs="Consolas" w:eastAsia="Consolas" w:hAnsi="Consolas"/>
                <w:color w:val="24292F"/>
                <w:sz w:val="17"/>
                <w:szCs w:val="17"/>
              </w:rPr>
              <w:t xml:space="preserve">notebooks/   01 floods, 02 wildfires, 03 forestry,</w:t>
            </w:r>
          </w:p>
          <w:p>
            <w:pPr>
              <w:spacing w:after="0" w:line="240"/>
            </w:pPr>
            <w:r>
              <w:rPr>
                <w:rFonts w:ascii="Consolas" w:cs="Consolas" w:eastAsia="Consolas" w:hAnsi="Consolas"/>
                <w:color w:val="24292F"/>
                <w:sz w:val="17"/>
                <w:szCs w:val="17"/>
              </w:rPr>
              <w:t xml:space="preserve">             04 agriculture, 05 air quality, 06 sites</w:t>
            </w:r>
          </w:p>
          <w:p>
            <w:pPr>
              <w:spacing w:after="0" w:line="240"/>
            </w:pPr>
            <w:r>
              <w:rPr>
                <w:rFonts w:ascii="Consolas" w:cs="Consolas" w:eastAsia="Consolas" w:hAnsi="Consolas"/>
                <w:color w:val="24292F"/>
                <w:sz w:val="17"/>
                <w:szCs w:val="17"/>
              </w:rPr>
              <w:t xml:space="preserve">src/gstp/    data readers, models, loss, metrics,</w:t>
            </w:r>
          </w:p>
          <w:p>
            <w:pPr>
              <w:spacing w:after="0" w:line="240"/>
            </w:pPr>
            <w:r>
              <w:rPr>
                <w:rFonts w:ascii="Consolas" w:cs="Consolas" w:eastAsia="Consolas" w:hAnsi="Consolas"/>
                <w:color w:val="24292F"/>
                <w:sz w:val="17"/>
                <w:szCs w:val="17"/>
              </w:rPr>
              <w:t xml:space="preserve">             training loops, baselines</w:t>
            </w:r>
          </w:p>
          <w:p>
            <w:pPr>
              <w:spacing w:after="0" w:line="240"/>
            </w:pPr>
            <w:r>
              <w:rPr>
                <w:rFonts w:ascii="Consolas" w:cs="Consolas" w:eastAsia="Consolas" w:hAnsi="Consolas"/>
                <w:color w:val="24292F"/>
                <w:sz w:val="17"/>
                <w:szCs w:val="17"/>
              </w:rPr>
              <w:t xml:space="preserve">results/     metrics (JSON) and figures per run</w:t>
            </w:r>
          </w:p>
          <w:p>
            <w:pPr>
              <w:spacing w:after="0" w:line="240"/>
            </w:pPr>
            <w:r>
              <w:rPr>
                <w:rFonts w:ascii="Consolas" w:cs="Consolas" w:eastAsia="Consolas" w:hAnsi="Consolas"/>
                <w:color w:val="24292F"/>
                <w:sz w:val="17"/>
                <w:szCs w:val="17"/>
              </w:rPr>
              <w:t xml:space="preserve">docs/        model cards (use, data, limitations)</w:t>
            </w:r>
          </w:p>
          <w:p>
            <w:pPr>
              <w:spacing w:after="0" w:line="240"/>
            </w:pPr>
            <w:r>
              <w:rPr>
                <w:rFonts w:ascii="Consolas" w:cs="Consolas" w:eastAsia="Consolas" w:hAnsi="Consolas"/>
                <w:color w:val="24292F"/>
                <w:sz w:val="17"/>
                <w:szCs w:val="17"/>
              </w:rPr>
              <w:t xml:space="preserve">tests/       10 end-to-end tests (pytest)</w:t>
            </w:r>
          </w:p>
        </w:tc>
      </w:tr>
    </w:tbl>
    <w:p>
      <w:pPr>
        <w:spacing w:after="160"/>
      </w:pPr>
    </w:p>
    <w:p>
      <w:pPr>
        <w:pStyle w:val="Heading2"/>
        <w:keepNext/>
        <w:keepLines/>
        <w:spacing w:after="120" w:before="260"/>
      </w:pPr>
      <w:r>
        <w:rPr>
          <w:rFonts w:ascii="Calibri" w:cs="Calibri" w:eastAsia="Calibri" w:hAnsi="Calibri"/>
          <w:b/>
          <w:bCs/>
          <w:color w:val="2F7D4F"/>
          <w:sz w:val="26"/>
          <w:szCs w:val="26"/>
        </w:rPr>
        <w:t xml:space="preserve">7.2 Export for the Jetson</w:t>
      </w:r>
    </w:p>
    <w:p>
      <w:pPr>
        <w:spacing w:after="140" w:line="288"/>
      </w:pPr>
      <w:r>
        <w:rPr>
          <w:rFonts w:ascii="Calibri" w:cs="Calibri" w:eastAsia="Calibri" w:hAnsi="Calibri"/>
          <w:color w:val="1F2A44"/>
          <w:sz w:val="22"/>
          <w:szCs w:val="22"/>
        </w:rPr>
        <w:t xml:space="preserve">Every model is exported to ONNX (opset 17, dynamic batch size) next to its checkpoint. The export is checked numerically by running the same input through PyTorch and ONNX Runtime; the maximum relative difference was 3.1 × 10⁻⁷ for the classifier and 1.3 × 10⁻⁶ for the burn-scar model. Building the TensorRT engine and checking FP16 accuracy has to happen on the Jetson itself and is part of the deployment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5DAE3" w:sz="4"/>
              <w:left w:val="single" w:color="2F7D4F" w:sz="18"/>
              <w:bottom w:val="single" w:color="D5DAE3" w:sz="4"/>
              <w:right w:val="single" w:color="D5DAE3" w:sz="4"/>
            </w:tcBorders>
            <w:shd w:fill="F4F6F9" w:color="auto" w:val="clear"/>
            <w:tcMar>
              <w:top w:type="dxa" w:w="120"/>
              <w:left w:type="dxa" w:w="180"/>
              <w:bottom w:type="dxa" w:w="120"/>
              <w:right w:type="dxa" w:w="140"/>
            </w:tcMar>
          </w:tcPr>
          <w:p>
            <w:pPr>
              <w:spacing w:after="60"/>
            </w:pPr>
            <w:r>
              <w:rPr>
                <w:rFonts w:ascii="Calibri" w:cs="Calibri" w:eastAsia="Calibri" w:hAnsi="Calibri"/>
                <w:i/>
                <w:iCs/>
                <w:color w:val="6B7486"/>
                <w:sz w:val="18"/>
                <w:szCs w:val="18"/>
              </w:rPr>
              <w:t xml:space="preserve">src/gstp/models.py: ONNX export with numerical check (condensed)</w:t>
            </w:r>
          </w:p>
          <w:p>
            <w:pPr>
              <w:spacing w:after="0" w:line="240"/>
            </w:pPr>
            <w:r>
              <w:rPr>
                <w:rFonts w:ascii="Consolas" w:cs="Consolas" w:eastAsia="Consolas" w:hAnsi="Consolas"/>
                <w:color w:val="24292F"/>
                <w:sz w:val="17"/>
                <w:szCs w:val="17"/>
              </w:rPr>
              <w:t xml:space="preserve">torch.onnx.export(model, dummy, path, input_names=["image"], output_names=["logits"],</w:t>
            </w:r>
          </w:p>
          <w:p>
            <w:pPr>
              <w:spacing w:after="0" w:line="240"/>
            </w:pPr>
            <w:r>
              <w:rPr>
                <w:rFonts w:ascii="Consolas" w:cs="Consolas" w:eastAsia="Consolas" w:hAnsi="Consolas"/>
                <w:color w:val="24292F"/>
                <w:sz w:val="17"/>
                <w:szCs w:val="17"/>
              </w:rPr>
              <w:t xml:space="preserve">                  opset_version=17, dynamic_axes={"image": {0: "batch"}})</w:t>
            </w:r>
          </w:p>
          <w:p>
            <w:pPr>
              <w:spacing w:after="0" w:line="240"/>
            </w:pPr>
            <w:r>
              <w:rPr>
                <w:rFonts w:ascii="Consolas" w:cs="Consolas" w:eastAsia="Consolas" w:hAnsi="Consolas"/>
                <w:color w:val="24292F"/>
                <w:sz w:val="17"/>
                <w:szCs w:val="17"/>
              </w:rPr>
              <w:t xml:space="preserve">out = onnxruntime.InferenceSession(path).run(None, {"image": x})[0]</w:t>
            </w:r>
          </w:p>
          <w:p>
            <w:pPr>
              <w:spacing w:after="0" w:line="240"/>
            </w:pPr>
            <w:r>
              <w:rPr>
                <w:rFonts w:ascii="Consolas" w:cs="Consolas" w:eastAsia="Consolas" w:hAnsi="Consolas"/>
                <w:color w:val="24292F"/>
                <w:sz w:val="17"/>
                <w:szCs w:val="17"/>
              </w:rPr>
              <w:t xml:space="preserve">assert max_relative_error(out, model(x)) &lt; 1e-3     # verified at export time</w:t>
            </w:r>
          </w:p>
        </w:tc>
      </w:tr>
    </w:tbl>
    <w:p>
      <w:pPr>
        <w:spacing w:after="160"/>
      </w:pPr>
    </w:p>
    <w:p>
      <w:pPr>
        <w:pStyle w:val="Heading2"/>
        <w:keepNext/>
        <w:keepLines/>
        <w:spacing w:after="120" w:before="260"/>
      </w:pPr>
      <w:r>
        <w:rPr>
          <w:rFonts w:ascii="Calibri" w:cs="Calibri" w:eastAsia="Calibri" w:hAnsi="Calibri"/>
          <w:b/>
          <w:bCs/>
          <w:color w:val="2F7D4F"/>
          <w:sz w:val="26"/>
          <w:szCs w:val="26"/>
        </w:rPr>
        <w:t xml:space="preserve">7.3 Issues found and fixed</w:t>
      </w:r>
    </w:p>
    <w:p>
      <w:pPr>
        <w:pStyle w:val="ListParagraph"/>
        <w:numPr>
          <w:ilvl w:val="0"/>
          <w:numId w:val="2"/>
        </w:numPr>
        <w:spacing w:after="80" w:line="276"/>
      </w:pPr>
      <w:r>
        <w:rPr>
          <w:rFonts w:ascii="Calibri" w:cs="Calibri" w:eastAsia="Calibri" w:hAnsi="Calibri"/>
          <w:b/>
          <w:bCs/>
          <w:color w:val="1F2A44"/>
          <w:sz w:val="22"/>
          <w:szCs w:val="22"/>
        </w:rPr>
        <w:t xml:space="preserve">Band order (agriculture). </w:t>
      </w:r>
      <w:r>
        <w:rPr>
          <w:rFonts w:ascii="Calibri" w:cs="Calibri" w:eastAsia="Calibri" w:hAnsi="Calibri"/>
          <w:color w:val="1F2A44"/>
          <w:sz w:val="22"/>
          <w:szCs w:val="22"/>
        </w:rPr>
        <w:t xml:space="preserve">TorchGeo's default band order did not match the pretrained weights; fixed before training (section 5.3).</w:t>
      </w:r>
    </w:p>
    <w:p>
      <w:pPr>
        <w:pStyle w:val="ListParagraph"/>
        <w:numPr>
          <w:ilvl w:val="0"/>
          <w:numId w:val="2"/>
        </w:numPr>
        <w:spacing w:after="80" w:line="276"/>
      </w:pPr>
      <w:r>
        <w:rPr>
          <w:rFonts w:ascii="Calibri" w:cs="Calibri" w:eastAsia="Calibri" w:hAnsi="Calibri"/>
          <w:b/>
          <w:bCs/>
          <w:color w:val="1F2A44"/>
          <w:sz w:val="22"/>
          <w:szCs w:val="22"/>
        </w:rPr>
        <w:t xml:space="preserve">Mask file naming (wildfires). </w:t>
      </w:r>
      <w:r>
        <w:rPr>
          <w:rFonts w:ascii="Calibri" w:cs="Calibri" w:eastAsia="Calibri" w:hAnsi="Calibri"/>
          <w:color w:val="1F2A44"/>
          <w:sz w:val="22"/>
          <w:szCs w:val="22"/>
        </w:rPr>
        <w:t xml:space="preserve">The released masks are named &lt;scene&gt;.mask.tif, not &lt;scene&gt;_mask.tif as documented elsewhere. A pairing check stopped the run before it could train on nothing; the reader now accepts both forms and found all 804 chips.</w:t>
      </w:r>
    </w:p>
    <w:p>
      <w:pPr>
        <w:pStyle w:val="ListParagraph"/>
        <w:numPr>
          <w:ilvl w:val="0"/>
          <w:numId w:val="2"/>
        </w:numPr>
        <w:spacing w:after="80" w:line="276"/>
      </w:pPr>
      <w:r>
        <w:rPr>
          <w:rFonts w:ascii="Calibri" w:cs="Calibri" w:eastAsia="Calibri" w:hAnsi="Calibri"/>
          <w:b/>
          <w:bCs/>
          <w:color w:val="1F2A44"/>
          <w:sz w:val="22"/>
          <w:szCs w:val="22"/>
        </w:rPr>
        <w:t xml:space="preserve">Packaging. </w:t>
      </w:r>
      <w:r>
        <w:rPr>
          <w:rFonts w:ascii="Calibri" w:cs="Calibri" w:eastAsia="Calibri" w:hAnsi="Calibri"/>
          <w:color w:val="1F2A44"/>
          <w:sz w:val="22"/>
          <w:szCs w:val="22"/>
        </w:rPr>
        <w:t xml:space="preserve">An over-broad ignore rule had excluded the data package from the first commit; caught on the first Colab run and fixed.</w:t>
      </w:r>
    </w:p>
    <w:p>
      <w:pPr>
        <w:pStyle w:val="Heading1"/>
        <w:keepNext/>
        <w:keepLines/>
        <w:spacing w:after="160" w:before="360"/>
      </w:pPr>
      <w:r>
        <w:rPr>
          <w:rFonts w:ascii="Calibri" w:cs="Calibri" w:eastAsia="Calibri" w:hAnsi="Calibri"/>
          <w:b/>
          <w:bCs/>
          <w:color w:val="1F2A44"/>
          <w:sz w:val="32"/>
          <w:szCs w:val="32"/>
        </w:rPr>
        <w:t xml:space="preserve">8. Limitations</w:t>
      </w:r>
    </w:p>
    <w:p>
      <w:pPr>
        <w:pStyle w:val="ListParagraph"/>
        <w:numPr>
          <w:ilvl w:val="0"/>
          <w:numId w:val="2"/>
        </w:numPr>
        <w:spacing w:after="80" w:line="276"/>
      </w:pPr>
      <w:r>
        <w:rPr>
          <w:rFonts w:ascii="Calibri" w:cs="Calibri" w:eastAsia="Calibri" w:hAnsi="Calibri"/>
          <w:b/>
          <w:bCs/>
          <w:color w:val="1F2A44"/>
          <w:sz w:val="22"/>
          <w:szCs w:val="22"/>
        </w:rPr>
        <w:t xml:space="preserve">Training data is not the GSTP camera. </w:t>
      </w:r>
      <w:r>
        <w:rPr>
          <w:rFonts w:ascii="Calibri" w:cs="Calibri" w:eastAsia="Calibri" w:hAnsi="Calibri"/>
          <w:color w:val="1F2A44"/>
          <w:sz w:val="22"/>
          <w:szCs w:val="22"/>
        </w:rPr>
        <w:t xml:space="preserve">The models learn from Sentinel-2-class imagery. The onboard camera will differ in bands, resolution and radiometry, so the models will need adaptation or retraining on its data before results can be compared.</w:t>
      </w:r>
    </w:p>
    <w:p>
      <w:pPr>
        <w:pStyle w:val="ListParagraph"/>
        <w:numPr>
          <w:ilvl w:val="0"/>
          <w:numId w:val="2"/>
        </w:numPr>
        <w:spacing w:after="80" w:line="276"/>
      </w:pPr>
      <w:r>
        <w:rPr>
          <w:rFonts w:ascii="Calibri" w:cs="Calibri" w:eastAsia="Calibri" w:hAnsi="Calibri"/>
          <w:b/>
          <w:bCs/>
          <w:color w:val="1F2A44"/>
          <w:sz w:val="22"/>
          <w:szCs w:val="22"/>
        </w:rPr>
        <w:t xml:space="preserve">Geography. </w:t>
      </w:r>
      <w:r>
        <w:rPr>
          <w:rFonts w:ascii="Calibri" w:cs="Calibri" w:eastAsia="Calibri" w:hAnsi="Calibri"/>
          <w:color w:val="1F2A44"/>
          <w:sz w:val="22"/>
          <w:szCs w:val="22"/>
        </w:rPr>
        <w:t xml:space="preserve">Burn-scar training fires are all in the USA, and EuroSAT covers Europe. Mediterranean, Australian and South Asian sites are outside these distributions, which is why the next step applies the models to real events at the 60 sites.</w:t>
      </w:r>
    </w:p>
    <w:p>
      <w:pPr>
        <w:pStyle w:val="ListParagraph"/>
        <w:numPr>
          <w:ilvl w:val="0"/>
          <w:numId w:val="2"/>
        </w:numPr>
        <w:spacing w:after="80" w:line="276"/>
      </w:pPr>
      <w:r>
        <w:rPr>
          <w:rFonts w:ascii="Calibri" w:cs="Calibri" w:eastAsia="Calibri" w:hAnsi="Calibri"/>
          <w:b/>
          <w:bCs/>
          <w:color w:val="1F2A44"/>
          <w:sz w:val="22"/>
          <w:szCs w:val="22"/>
        </w:rPr>
        <w:t xml:space="preserve">Patch-level labels (agriculture). </w:t>
      </w:r>
      <w:r>
        <w:rPr>
          <w:rFonts w:ascii="Calibri" w:cs="Calibri" w:eastAsia="Calibri" w:hAnsi="Calibri"/>
          <w:color w:val="1F2A44"/>
          <w:sz w:val="22"/>
          <w:szCs w:val="22"/>
        </w:rPr>
        <w:t xml:space="preserve">The classifier labels 640 m patches, not individual fields, and does not measure crop stress itself.</w:t>
      </w:r>
    </w:p>
    <w:p>
      <w:pPr>
        <w:pStyle w:val="ListParagraph"/>
        <w:numPr>
          <w:ilvl w:val="0"/>
          <w:numId w:val="2"/>
        </w:numPr>
        <w:spacing w:after="80" w:line="276"/>
      </w:pPr>
      <w:r>
        <w:rPr>
          <w:rFonts w:ascii="Calibri" w:cs="Calibri" w:eastAsia="Calibri" w:hAnsi="Calibri"/>
          <w:b/>
          <w:bCs/>
          <w:color w:val="1F2A44"/>
          <w:sz w:val="22"/>
          <w:szCs w:val="22"/>
        </w:rPr>
        <w:t xml:space="preserve">Not yet measured on hardware. </w:t>
      </w:r>
      <w:r>
        <w:rPr>
          <w:rFonts w:ascii="Calibri" w:cs="Calibri" w:eastAsia="Calibri" w:hAnsi="Calibri"/>
          <w:color w:val="1F2A44"/>
          <w:sz w:val="22"/>
          <w:szCs w:val="22"/>
        </w:rPr>
        <w:t xml:space="preserve">Latency, memory and power on the Jetson are not measured in this stage.</w:t>
      </w:r>
    </w:p>
    <w:p>
      <w:pPr>
        <w:pStyle w:val="Heading1"/>
        <w:keepNext/>
        <w:keepLines/>
        <w:spacing w:after="160" w:before="360"/>
      </w:pPr>
      <w:r>
        <w:rPr>
          <w:rFonts w:ascii="Calibri" w:cs="Calibri" w:eastAsia="Calibri" w:hAnsi="Calibri"/>
          <w:b/>
          <w:bCs/>
          <w:color w:val="1F2A44"/>
          <w:sz w:val="32"/>
          <w:szCs w:val="32"/>
        </w:rPr>
        <w:t xml:space="preserve">9. Next steps</w:t>
      </w:r>
    </w:p>
    <w:p>
      <w:pPr>
        <w:pStyle w:val="ListParagraph"/>
        <w:numPr>
          <w:ilvl w:val="0"/>
          <w:numId w:val="2"/>
        </w:numPr>
        <w:spacing w:after="80" w:line="276"/>
      </w:pPr>
      <w:r>
        <w:rPr>
          <w:rFonts w:ascii="Calibri" w:cs="Calibri" w:eastAsia="Calibri" w:hAnsi="Calibri"/>
          <w:color w:val="1F2A44"/>
          <w:sz w:val="22"/>
          <w:szCs w:val="22"/>
        </w:rPr>
        <w:t xml:space="preserve">Finish the flood models (radar, optical, combined), scored on the official test split and on a whole flood event withheld from training (Bolivia).</w:t>
      </w:r>
    </w:p>
    <w:p>
      <w:pPr>
        <w:pStyle w:val="ListParagraph"/>
        <w:numPr>
          <w:ilvl w:val="0"/>
          <w:numId w:val="2"/>
        </w:numPr>
        <w:spacing w:after="80" w:line="276"/>
      </w:pPr>
      <w:r>
        <w:rPr>
          <w:rFonts w:ascii="Calibri" w:cs="Calibri" w:eastAsia="Calibri" w:hAnsi="Calibri"/>
          <w:color w:val="1F2A44"/>
          <w:sz w:val="22"/>
          <w:szCs w:val="22"/>
        </w:rPr>
        <w:t xml:space="preserve">Train the forestry model and the air-quality forecaster for all 60 sites.</w:t>
      </w:r>
    </w:p>
    <w:p>
      <w:pPr>
        <w:pStyle w:val="ListParagraph"/>
        <w:numPr>
          <w:ilvl w:val="0"/>
          <w:numId w:val="2"/>
        </w:numPr>
        <w:spacing w:after="80" w:line="276"/>
      </w:pPr>
      <w:r>
        <w:rPr>
          <w:rFonts w:ascii="Calibri" w:cs="Calibri" w:eastAsia="Calibri" w:hAnsi="Calibri"/>
          <w:color w:val="1F2A44"/>
          <w:sz w:val="22"/>
          <w:szCs w:val="22"/>
        </w:rPr>
        <w:t xml:space="preserve">Apply the trained models to real events at the sites (Valencia floods 2024, Sukkur floods 2022, Pedrógão Grande fire 2017 and others) and compare the mapped areas with published reports.</w:t>
      </w:r>
    </w:p>
    <w:p>
      <w:pPr>
        <w:pStyle w:val="ListParagraph"/>
        <w:numPr>
          <w:ilvl w:val="0"/>
          <w:numId w:val="2"/>
        </w:numPr>
        <w:spacing w:after="80" w:line="276"/>
      </w:pPr>
      <w:r>
        <w:rPr>
          <w:rFonts w:ascii="Calibri" w:cs="Calibri" w:eastAsia="Calibri" w:hAnsi="Calibri"/>
          <w:color w:val="1F2A44"/>
          <w:sz w:val="22"/>
          <w:szCs w:val="22"/>
        </w:rPr>
        <w:t xml:space="preserve">With the embedded team: agree the input format coming from the FPGA, then build and benchmark TensorRT engines on the Jetson.</w:t>
      </w:r>
    </w:p>
    <w:p>
      <w:pPr>
        <w:pStyle w:val="Heading1"/>
        <w:keepNext/>
        <w:keepLines/>
        <w:spacing w:after="160" w:before="360"/>
      </w:pPr>
      <w:r>
        <w:rPr>
          <w:rFonts w:ascii="Calibri" w:cs="Calibri" w:eastAsia="Calibri" w:hAnsi="Calibri"/>
          <w:b/>
          <w:bCs/>
          <w:color w:val="1F2A44"/>
          <w:sz w:val="32"/>
          <w:szCs w:val="32"/>
        </w:rPr>
        <w:t xml:space="preserve">Appendix: reproducing the results</w:t>
      </w:r>
    </w:p>
    <w:p>
      <w:pPr>
        <w:pStyle w:val="ListParagraph"/>
        <w:numPr>
          <w:ilvl w:val="0"/>
          <w:numId w:val="2"/>
        </w:numPr>
        <w:spacing w:after="80" w:line="276"/>
      </w:pPr>
      <w:r>
        <w:rPr>
          <w:rFonts w:ascii="Calibri" w:cs="Calibri" w:eastAsia="Calibri" w:hAnsi="Calibri"/>
          <w:color w:val="1F2A44"/>
          <w:sz w:val="22"/>
          <w:szCs w:val="22"/>
        </w:rPr>
        <w:t xml:space="preserve">Open a notebook from the repository in Google Colab and select Runtime ▸ Change runtime type ▸ T4 GPU.</w:t>
      </w:r>
    </w:p>
    <w:p>
      <w:pPr>
        <w:pStyle w:val="ListParagraph"/>
        <w:numPr>
          <w:ilvl w:val="0"/>
          <w:numId w:val="2"/>
        </w:numPr>
        <w:spacing w:after="80" w:line="276"/>
      </w:pPr>
      <w:r>
        <w:rPr>
          <w:rFonts w:ascii="Calibri" w:cs="Calibri" w:eastAsia="Calibri" w:hAnsi="Calibri"/>
          <w:color w:val="1F2A44"/>
          <w:sz w:val="22"/>
          <w:szCs w:val="22"/>
        </w:rPr>
        <w:t xml:space="preserve">Select Run all. The first cell mounts Google Drive, clones the repository and installs the extra packages.</w:t>
      </w:r>
    </w:p>
    <w:p>
      <w:pPr>
        <w:pStyle w:val="ListParagraph"/>
        <w:numPr>
          <w:ilvl w:val="0"/>
          <w:numId w:val="2"/>
        </w:numPr>
        <w:spacing w:after="80" w:line="276"/>
      </w:pPr>
      <w:r>
        <w:rPr>
          <w:rFonts w:ascii="Calibri" w:cs="Calibri" w:eastAsia="Calibri" w:hAnsi="Calibri"/>
          <w:color w:val="1F2A44"/>
          <w:sz w:val="22"/>
          <w:szCs w:val="22"/>
        </w:rPr>
        <w:t xml:space="preserve">Checkpoints, ONNX files and a results zip are written to MyDrive/gstp_runs/&lt;module&gt;/.</w:t>
      </w:r>
    </w:p>
    <w:p>
      <w:pPr>
        <w:spacing w:after="140" w:line="288"/>
      </w:pPr>
      <w:r>
        <w:rPr>
          <w:rFonts w:ascii="Calibri" w:cs="Calibri" w:eastAsia="Calibri" w:hAnsi="Calibri"/>
          <w:b/>
          <w:bCs/>
          <w:color w:val="1F2A44"/>
          <w:sz w:val="22"/>
          <w:szCs w:val="22"/>
        </w:rPr>
        <w:t xml:space="preserve">Datasets: </w:t>
      </w:r>
      <w:r>
        <w:rPr>
          <w:rFonts w:ascii="Calibri" w:cs="Calibri" w:eastAsia="Calibri" w:hAnsi="Calibri"/>
          <w:color w:val="1F2A44"/>
          <w:sz w:val="20"/>
          <w:szCs w:val="20"/>
        </w:rPr>
        <w:t xml:space="preserve">EuroSAT (Helber et al., IEEE JSTARS 2019); HLS Burn Scars (Phillips et al., NASA/IBM 2023); pretrained weights SSL4EO-S12 (Wang et al., 2022) via TorchGeo; U-Net (Ronneberger et al., MICCAI 2015).</w:t>
      </w:r>
    </w:p>
    <w:sectPr>
      <w:footerReference w:type="default" r:id="rId6"/>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486"/>
        <w:sz w:val="16"/>
        <w:szCs w:val="16"/>
      </w:rPr>
      <w:t xml:space="preserve">GSTP onboard AI · hazard-model training · page </w:t>
    </w:r>
    <w:r>
      <w:rPr>
        <w:rFonts w:ascii="Calibri" w:cs="Calibri" w:eastAsia="Calibri" w:hAnsi="Calibri"/>
        <w:color w:val="6B748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2A44"/>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2F7D4F"/>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ee4b93bf583de5e34e7881a4f85ded023d0af0c.png"/><Relationship Id="rId9" Type="http://schemas.openxmlformats.org/officeDocument/2006/relationships/image" Target="media/5c5b6f6992547efc07188005a5703b8f01dab820.png"/><Relationship Id="rId10" Type="http://schemas.openxmlformats.org/officeDocument/2006/relationships/image" Target="media/b477b63d75d96ed4642f367f1d47896bd904538b.png"/><Relationship Id="rId11" Type="http://schemas.openxmlformats.org/officeDocument/2006/relationships/image" Target="media/7a3021ef7793d4223f6508701acadbff707c5c31.png"/><Relationship Id="rId12" Type="http://schemas.openxmlformats.org/officeDocument/2006/relationships/image" Target="media/2dfa256c6cf1477c9f79c718c279bd56713b42fc.png"/><Relationship Id="rId13" Type="http://schemas.openxmlformats.org/officeDocument/2006/relationships/image" Target="media/e35dc22a22200d1001cc145846e214c0843e1337.jpg"/><Relationship Id="rId14" Type="http://schemas.openxmlformats.org/officeDocument/2006/relationships/image" Target="media/a3c30845fa82cbb7c38618c9806ed104014c4e3b.png"/><Relationship Id="rId15" Type="http://schemas.openxmlformats.org/officeDocument/2006/relationships/image" Target="media/879f51d9fc36fad68ee2c0c9041d1cca4636235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GSTP Onboard AI: Hazard-Model Training, Technical Report</dc:title>
  <dc:creator>Inayat Arshad</dc:creator>
  <cp:lastModifiedBy>Un-named</cp:lastModifiedBy>
  <cp:revision>1</cp:revision>
  <dcterms:created xsi:type="dcterms:W3CDTF">2026-10-22T12:39:36.290Z</dcterms:created>
  <dcterms:modified xsi:type="dcterms:W3CDTF">2026-10-22T12:39:36.291Z</dcterms:modified>
</cp:coreProperties>
</file>

<file path=docProps/custom.xml><?xml version="1.0" encoding="utf-8"?>
<Properties xmlns="http://schemas.openxmlformats.org/officeDocument/2006/custom-properties" xmlns:vt="http://schemas.openxmlformats.org/officeDocument/2006/docPropsVTypes"/>
</file>