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sz w:val="28"/>
        </w:rPr>
      </w:pPr>
      <w:r>
        <w:rPr>
          <w:sz w:val="28"/>
        </w:rPr>
        <w:t xml:space="preserve">&lt;syntax&gt; ::= &lt;decl_list&gt; { &lt;impl_list&gt;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&lt;decl_list&gt; ::= int &lt;id&gt; | int &lt;id&gt;; &lt;decl_list&gt;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&lt;id&gt; ::= id | &lt;id&gt;, id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&lt;impl_list&gt; ::= &lt;impl_list&gt; &lt;impl&gt;; | &lt;impl&gt;;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&lt;impl&gt; ::= id = id | cin id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Style w:val="38"/>
        <w:tblW w:w="0" w:type="auto"/>
        <w:tblInd w:w="-1592" w:type="dxa"/>
        <w:tblLayout w:type="fixed"/>
        <w:tblLook w:val="04A0" w:firstRow="1" w:lastRow="0" w:firstColumn="1" w:lastColumn="0" w:noHBand="0" w:noVBand="1"/>
      </w:tblPr>
      <w:tblGrid>
        <w:gridCol w:w="1559"/>
        <w:gridCol w:w="53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972"/>
        </w:trPr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3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&lt;syntax&gt;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&lt;decl_list&gt;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&lt;decl&gt;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&lt;id&gt;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&lt;impl_list&gt;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&lt;impl&gt;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{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}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id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,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int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cin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&lt;syntax&gt;</w:t>
            </w: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3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&lt;decl_list&gt;</w:t>
            </w:r>
            <w:r>
              <w:rPr>
                <w:sz w:val="28"/>
              </w:rPr>
            </w:r>
          </w:p>
        </w:tc>
        <w:tc>
          <w:tcPr>
            <w:tcW w:w="53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 | 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&lt;decl&gt;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&lt;id&gt;</w:t>
            </w:r>
            <w:r>
              <w:rPr>
                <w:sz w:val="28"/>
              </w:rPr>
            </w:r>
          </w:p>
        </w:tc>
        <w:tc>
          <w:tcPr>
            <w:tcW w:w="53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&lt;impl_list&gt;</w:t>
            </w: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3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  <w:t xml:space="preserve">&lt;impl&gt;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C6E0B3" w:themeFill="accent6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ADB9CA" w:themeFill="text2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{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&lt; | 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}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id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;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&gt;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,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int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&lt; | =</w:t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&lt;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  <w:t xml:space="preserve">cin</w:t>
            </w:r>
            <w:r>
              <w:rPr>
                <w:sz w:val="28"/>
              </w:rPr>
            </w:r>
          </w:p>
        </w:tc>
        <w:tc>
          <w:tcPr>
            <w:tcW w:w="53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vMerge w:val="restart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BDD7EE" w:themeFill="accent1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  <w:t xml:space="preserve">=</w:t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049" w:type="dxa"/>
            <w:textDirection w:val="lrTb"/>
            <w:noWrap w:val="false"/>
          </w:tcPr>
          <w:p>
            <w:pPr>
              <w:jc w:val="center"/>
              <w:shd w:val="clear" w:color="auto" w:fill="FFE599" w:themeFill="accent4" w:themeFillTint="66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r/>
    </w:p>
    <w:p>
      <w:pPr>
        <w:rPr>
          <w:sz w:val="28"/>
        </w:rPr>
      </w:pPr>
      <w:r>
        <w:rPr>
          <w:sz w:val="28"/>
        </w:rPr>
        <w:t xml:space="preserve">&lt;decl_list&gt; = &lt;decl&gt;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F+(&lt;decl&gt;) = { id, cin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F+(&lt;id&gt;) = { id, &lt;id&gt; }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F+(&lt;impl_list&gt;) = { &lt;impl_list&gt;, &lt;impl&gt;, id, cin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F+(&lt;impl&gt;) = { id, cin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L+(&lt;impl&gt;) = { ;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L+(&lt;decl_list&gt;) = { &lt;id&gt;, &lt;decl_list&gt;, &lt;decl&gt;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L+(&lt;id&gt;) = { id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Надо резолвить конфликты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Вот эти: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( {, &lt;impl_list&gt; ) --- &lt; | =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( int, &lt;id&gt; ) --- &lt; | =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( &lt;decl_list&gt;, { ) --- &gt; | =</w:t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Стратификация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Леворекурсивным правилам надо дать алиасы шоб пропали конфликты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Типа в одном месте юзать один нейминг, в другом месте другой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надеюсь ты разберешься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Заменить все вызовы леворекурсивного правила на алиас (кроме самой рекурсии)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5840" w:h="24474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