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Формы представления грамматик</w:t>
      </w:r>
      <w:r/>
    </w:p>
    <w:p>
      <w:pPr>
        <w:jc w:val="center"/>
      </w:pPr>
      <w:r>
        <w:t xml:space="preserve">Форма Бекуса-Наура</w:t>
      </w:r>
      <w:r/>
    </w:p>
    <w:p>
      <w:pPr>
        <w:pStyle w:val="231"/>
        <w:numPr>
          <w:ilvl w:val="0"/>
          <w:numId w:val="1"/>
        </w:numPr>
        <w:jc w:val="left"/>
      </w:pPr>
      <w:r>
        <w:t xml:space="preserve">нетерминалы в треугольных скобках</w:t>
      </w:r>
      <w:r/>
    </w:p>
    <w:p>
      <w:pPr>
        <w:pStyle w:val="231"/>
        <w:numPr>
          <w:ilvl w:val="0"/>
          <w:numId w:val="1"/>
        </w:numPr>
        <w:jc w:val="left"/>
      </w:pPr>
      <w:r>
        <w:t xml:space="preserve">::= - равняется по определению, заменяет -&gt;</w:t>
      </w:r>
      <w:r/>
    </w:p>
    <w:p>
      <w:pPr>
        <w:pStyle w:val="231"/>
        <w:numPr>
          <w:ilvl w:val="0"/>
          <w:numId w:val="1"/>
        </w:numPr>
        <w:jc w:val="left"/>
      </w:pPr>
      <w:r>
        <w:t xml:space="preserve">| - разделяет альтернативные определения одного нетерминала; для каждого нетерминала может быть ТОЛЬКО одно правило</w:t>
      </w:r>
      <w:r/>
    </w:p>
    <w:p>
      <w:pPr>
        <w:pStyle w:val="231"/>
        <w:numPr>
          <w:ilvl w:val="0"/>
          <w:numId w:val="1"/>
        </w:numPr>
        <w:jc w:val="left"/>
      </w:pPr>
      <w:r>
        <w:t xml:space="preserve">первое правило определяет аксиому языка</w:t>
      </w:r>
      <w:r/>
    </w:p>
    <w:p>
      <w:pPr>
        <w:jc w:val="center"/>
      </w:pPr>
      <w:r>
        <w:t xml:space="preserve">Синтакическое дерево</w:t>
      </w:r>
      <w:r/>
    </w:p>
    <w:p>
      <w:pPr>
        <w:jc w:val="left"/>
      </w:pPr>
      <w:r>
        <w:t xml:space="preserve">Строится дерево аксиомы из её вариантов и для каждого нетерминального символа.</w:t>
      </w:r>
      <w:r/>
    </w:p>
    <w:p>
      <w:pPr>
        <w:jc w:val="center"/>
      </w:pPr>
      <w:r>
        <w:t xml:space="preserve">Синтаксический граф</w:t>
      </w:r>
      <w:r/>
    </w:p>
    <w:p>
      <w:pPr>
        <w:jc w:val="left"/>
      </w:pPr>
      <w:r>
        <w:t xml:space="preserve">Для каждого нетерминала строится граф для его вывода.</w:t>
      </w:r>
      <w:r/>
    </w:p>
    <w:p>
      <w:pPr>
        <w:jc w:val="left"/>
      </w:pPr>
      <w:r/>
      <w:r/>
    </w:p>
    <w:p>
      <w:pPr>
        <w:jc w:val="center"/>
      </w:pPr>
      <w:r>
        <w:t xml:space="preserve">Грамматика арифметического выражения</w:t>
      </w:r>
      <w:r/>
    </w:p>
    <w:p>
      <w:pPr>
        <w:jc w:val="left"/>
      </w:pPr>
      <w:r>
        <w:t xml:space="preserve">&lt;E&gt; ::= &lt;E&gt; + &lt;E&gt; | &lt;E&gt; * &lt;E&gt; | i | (&lt;E&gt;) - неоднозначная, плохая</w:t>
      </w:r>
      <w:r/>
      <w:r/>
      <w:r/>
    </w:p>
    <w:p>
      <w:pPr>
        <w:jc w:val="left"/>
      </w:pPr>
      <w:r>
        <w:t xml:space="preserve">---</w:t>
      </w:r>
      <w:r/>
    </w:p>
    <w:p>
      <w:pPr>
        <w:jc w:val="left"/>
      </w:pPr>
      <w:r>
        <w:t xml:space="preserve">&lt;E&gt; ::= &lt;E&gt; + &lt;T&gt; | &lt;T&gt;</w:t>
      </w:r>
      <w:r/>
    </w:p>
    <w:p>
      <w:pPr>
        <w:jc w:val="left"/>
      </w:pPr>
      <w:r>
        <w:t xml:space="preserve">&lt;T&gt; ::= &lt;T&gt; * &lt;F&gt; | &lt;F&gt;</w:t>
      </w:r>
      <w:r/>
    </w:p>
    <w:p>
      <w:pPr>
        <w:jc w:val="left"/>
      </w:pPr>
      <w:r>
        <w:t xml:space="preserve">&lt;F&gt; ::= i | (&lt;E&gt;)</w:t>
      </w:r>
      <w:r/>
    </w:p>
    <w:p>
      <w:pPr>
        <w:jc w:val="left"/>
      </w:pPr>
      <w:r/>
      <w:r/>
    </w:p>
    <w:p>
      <w:pPr>
        <w:jc w:val="left"/>
      </w:pPr>
      <w:r>
        <w:t xml:space="preserve">дз - сделать грамматику &lt;E&gt; ::= &lt;E&gt; + &lt;T&gt; + &lt;S&gt;</w:t>
      </w:r>
      <w:r/>
    </w:p>
    <w:p>
      <w:pPr>
        <w:jc w:val="left"/>
      </w:pPr>
      <w:r>
        <w:t xml:space="preserve">&lt;T&gt; - умножение</w:t>
      </w:r>
      <w:r/>
    </w:p>
    <w:p>
      <w:pPr>
        <w:jc w:val="left"/>
      </w:pPr>
      <w:r>
        <w:t xml:space="preserve">&lt;S&gt; - степень</w:t>
      </w:r>
      <w:r/>
    </w:p>
    <w:p>
      <w:pPr>
        <w:jc w:val="left"/>
      </w:pPr>
      <w:r>
        <w:t xml:space="preserve">пидручнык - 2.11 - 2.16</w:t>
      </w:r>
      <w:r/>
    </w:p>
    <w:p>
      <w:pPr>
        <w:jc w:val="left"/>
      </w:pPr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7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68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9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70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1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72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73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74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75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76">
    <w:name w:val="Table Grid"/>
    <w:basedOn w:val="22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77">
    <w:name w:val="Lined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78">
    <w:name w:val="Lined - Accent 1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79">
    <w:name w:val="Lined - Accent 2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80">
    <w:name w:val="Lined - Accent 3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1">
    <w:name w:val="Lined - Accent 4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2">
    <w:name w:val="Lined - Accent 5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3">
    <w:name w:val="Lined - Accent 6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84">
    <w:name w:val="Bordered"/>
    <w:basedOn w:val="2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85">
    <w:name w:val="Bordered - Accent 1"/>
    <w:basedOn w:val="2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86">
    <w:name w:val="Bordered - Accent 2"/>
    <w:basedOn w:val="2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87">
    <w:name w:val="Bordered - Accent 3"/>
    <w:basedOn w:val="2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88">
    <w:name w:val="Bordered - Accent 4"/>
    <w:basedOn w:val="2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89">
    <w:name w:val="Bordered - Accent 5"/>
    <w:basedOn w:val="2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90">
    <w:name w:val="Bordered - Accent 6"/>
    <w:basedOn w:val="2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1">
    <w:name w:val="Bordered &amp; Lined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2">
    <w:name w:val="Bordered &amp; Lined - Accent 1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3">
    <w:name w:val="Bordered &amp; Lined - Accent 2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4">
    <w:name w:val="Bordered &amp; Lined - Accent 3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95">
    <w:name w:val="Bordered &amp; Lined - Accent 4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6">
    <w:name w:val="Bordered &amp; Lined - Accent 5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7">
    <w:name w:val="Bordered &amp; Lined - Accent 6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98">
    <w:name w:val="Hyperlink"/>
    <w:uiPriority w:val="99"/>
    <w:unhideWhenUsed/>
    <w:rPr>
      <w:color w:val="0000FF" w:themeColor="hyperlink"/>
      <w:u w:val="single"/>
    </w:rPr>
  </w:style>
  <w:style w:type="paragraph" w:styleId="199">
    <w:name w:val="footnote text"/>
    <w:basedOn w:val="212"/>
    <w:uiPriority w:val="99"/>
    <w:semiHidden/>
    <w:unhideWhenUsed/>
    <w:rPr>
      <w:sz w:val="20"/>
    </w:rPr>
    <w:pPr>
      <w:spacing w:lineRule="auto" w:line="240" w:after="0"/>
    </w:pPr>
  </w:style>
  <w:style w:type="character" w:styleId="200">
    <w:name w:val="Footnote Text Char"/>
    <w:uiPriority w:val="99"/>
    <w:semiHidden/>
    <w:rPr>
      <w:sz w:val="20"/>
    </w:rPr>
  </w:style>
  <w:style w:type="character" w:styleId="201">
    <w:name w:val="footnote reference"/>
    <w:uiPriority w:val="99"/>
    <w:semiHidden/>
    <w:unhideWhenUsed/>
    <w:rPr>
      <w:vertAlign w:val="superscript"/>
    </w:rPr>
  </w:style>
  <w:style w:type="paragraph" w:styleId="202">
    <w:name w:val="toc 1"/>
    <w:basedOn w:val="212"/>
    <w:next w:val="212"/>
    <w:uiPriority w:val="39"/>
    <w:unhideWhenUsed/>
    <w:pPr>
      <w:ind w:left="0" w:right="0" w:hanging="0"/>
      <w:spacing w:after="57"/>
    </w:pPr>
  </w:style>
  <w:style w:type="paragraph" w:styleId="203">
    <w:name w:val="toc 2"/>
    <w:basedOn w:val="212"/>
    <w:next w:val="212"/>
    <w:uiPriority w:val="39"/>
    <w:unhideWhenUsed/>
    <w:pPr>
      <w:ind w:left="283" w:right="0" w:hanging="0"/>
      <w:spacing w:after="57"/>
    </w:pPr>
  </w:style>
  <w:style w:type="paragraph" w:styleId="204">
    <w:name w:val="toc 3"/>
    <w:basedOn w:val="212"/>
    <w:next w:val="212"/>
    <w:uiPriority w:val="39"/>
    <w:unhideWhenUsed/>
    <w:pPr>
      <w:ind w:left="567" w:right="0" w:hanging="0"/>
      <w:spacing w:after="57"/>
    </w:pPr>
  </w:style>
  <w:style w:type="paragraph" w:styleId="205">
    <w:name w:val="toc 4"/>
    <w:basedOn w:val="212"/>
    <w:next w:val="212"/>
    <w:uiPriority w:val="39"/>
    <w:unhideWhenUsed/>
    <w:pPr>
      <w:ind w:left="850" w:right="0" w:hanging="0"/>
      <w:spacing w:after="57"/>
    </w:pPr>
  </w:style>
  <w:style w:type="paragraph" w:styleId="206">
    <w:name w:val="toc 5"/>
    <w:basedOn w:val="212"/>
    <w:next w:val="212"/>
    <w:uiPriority w:val="39"/>
    <w:unhideWhenUsed/>
    <w:pPr>
      <w:ind w:left="1134" w:right="0" w:hanging="0"/>
      <w:spacing w:after="57"/>
    </w:pPr>
  </w:style>
  <w:style w:type="paragraph" w:styleId="207">
    <w:name w:val="toc 6"/>
    <w:basedOn w:val="212"/>
    <w:next w:val="212"/>
    <w:uiPriority w:val="39"/>
    <w:unhideWhenUsed/>
    <w:pPr>
      <w:ind w:left="1417" w:right="0" w:hanging="0"/>
      <w:spacing w:after="57"/>
    </w:pPr>
  </w:style>
  <w:style w:type="paragraph" w:styleId="208">
    <w:name w:val="toc 7"/>
    <w:basedOn w:val="212"/>
    <w:next w:val="212"/>
    <w:uiPriority w:val="39"/>
    <w:unhideWhenUsed/>
    <w:pPr>
      <w:ind w:left="1701" w:right="0" w:hanging="0"/>
      <w:spacing w:after="57"/>
    </w:pPr>
  </w:style>
  <w:style w:type="paragraph" w:styleId="209">
    <w:name w:val="toc 8"/>
    <w:basedOn w:val="212"/>
    <w:next w:val="212"/>
    <w:uiPriority w:val="39"/>
    <w:unhideWhenUsed/>
    <w:pPr>
      <w:ind w:left="1984" w:right="0" w:hanging="0"/>
      <w:spacing w:after="57"/>
    </w:pPr>
  </w:style>
  <w:style w:type="paragraph" w:styleId="210">
    <w:name w:val="toc 9"/>
    <w:basedOn w:val="212"/>
    <w:next w:val="212"/>
    <w:uiPriority w:val="39"/>
    <w:unhideWhenUsed/>
    <w:pPr>
      <w:ind w:left="2268" w:right="0" w:hanging="0"/>
      <w:spacing w:after="57"/>
    </w:pPr>
  </w:style>
  <w:style w:type="paragraph" w:styleId="211">
    <w:name w:val="TOC Heading"/>
    <w:uiPriority w:val="39"/>
    <w:unhideWhenUsed/>
  </w:style>
  <w:style w:type="paragraph" w:styleId="212" w:default="1">
    <w:name w:val="Normal"/>
    <w:qFormat/>
  </w:style>
  <w:style w:type="paragraph" w:styleId="213">
    <w:name w:val="Heading 1"/>
    <w:basedOn w:val="212"/>
    <w:next w:val="21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14">
    <w:name w:val="Heading 2"/>
    <w:basedOn w:val="212"/>
    <w:next w:val="21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15">
    <w:name w:val="Heading 3"/>
    <w:basedOn w:val="212"/>
    <w:next w:val="21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16">
    <w:name w:val="Heading 4"/>
    <w:basedOn w:val="212"/>
    <w:next w:val="21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17">
    <w:name w:val="Heading 5"/>
    <w:basedOn w:val="212"/>
    <w:next w:val="21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18">
    <w:name w:val="Heading 6"/>
    <w:basedOn w:val="212"/>
    <w:next w:val="21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19">
    <w:name w:val="Heading 7"/>
    <w:basedOn w:val="212"/>
    <w:next w:val="21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20">
    <w:name w:val="Heading 8"/>
    <w:basedOn w:val="212"/>
    <w:next w:val="21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21">
    <w:name w:val="Heading 9"/>
    <w:basedOn w:val="212"/>
    <w:next w:val="21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3" w:default="1">
    <w:name w:val="No List"/>
    <w:uiPriority w:val="99"/>
    <w:semiHidden/>
    <w:unhideWhenUsed/>
  </w:style>
  <w:style w:type="paragraph" w:styleId="224">
    <w:name w:val="Footer"/>
    <w:basedOn w:val="21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5">
    <w:name w:val="Header"/>
    <w:basedOn w:val="21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6">
    <w:name w:val="No Spacing"/>
    <w:qFormat/>
    <w:uiPriority w:val="1"/>
    <w:pPr>
      <w:spacing w:lineRule="auto" w:line="240" w:after="0"/>
    </w:pPr>
  </w:style>
  <w:style w:type="paragraph" w:styleId="227">
    <w:name w:val="Quote"/>
    <w:basedOn w:val="212"/>
    <w:next w:val="21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28">
    <w:name w:val="Subtitle"/>
    <w:basedOn w:val="212"/>
    <w:next w:val="21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29">
    <w:name w:val="Intense Quote"/>
    <w:basedOn w:val="212"/>
    <w:next w:val="21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30">
    <w:name w:val="Title"/>
    <w:basedOn w:val="212"/>
    <w:next w:val="21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31">
    <w:name w:val="List Paragraph"/>
    <w:basedOn w:val="212"/>
    <w:qFormat/>
    <w:uiPriority w:val="34"/>
    <w:pPr>
      <w:contextualSpacing w:val="true"/>
      <w:ind w:left="720"/>
    </w:pPr>
  </w:style>
  <w:style w:type="character" w:styleId="23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