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Конечный автомат</w:t>
      </w:r>
      <w:r>
        <w:rPr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Сигма -</w:t>
      </w:r>
      <w:r>
        <w:rPr>
          <w:b w:val="false"/>
          <w:sz w:val="28"/>
          <w:lang w:val="ru-RU"/>
        </w:rPr>
        <w:t xml:space="preserve"> входной алфавит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Q - Множество состояний автомата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q0 - начальное состояние (или множество начальных состояний I)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F - множество конечных состояний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Дельта - множество переходов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(q1, x) -&gt; q2 | q1, q2 є Q, x є Сигма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lang w:val="ru-RU"/>
        </w:rPr>
      </w:pPr>
      <w:r>
        <w:rPr>
          <w:b w:val="false"/>
          <w:sz w:val="28"/>
          <w:lang w:val="ru-RU"/>
        </w:rPr>
      </w:r>
      <w:r>
        <w:rPr>
          <w:lang w:val="ru-RU"/>
        </w:rPr>
        <w:drawing>
          <wp:inline xmlns:wp="http://schemas.openxmlformats.org/drawingml/2006/wordprocessingDrawing" distT="0" distB="0" distL="0" distR="0">
            <wp:extent cx="3740490" cy="2493647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 flipH="0" flipV="0">
                      <a:off x="0" y="0"/>
                      <a:ext cx="3740490" cy="24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Q = {1, 2}</w:t>
      </w:r>
      <w:r>
        <w:rPr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E = {a, b}</w:t>
      </w:r>
      <w:r>
        <w:rPr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q0 = 1</w:t>
      </w:r>
      <w:r>
        <w:rPr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F = {2}</w:t>
      </w:r>
      <w:r>
        <w:rPr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б =</w:t>
      </w:r>
      <w:r>
        <w:rPr>
          <w:lang w:val="ru-RU"/>
        </w:rPr>
      </w:r>
    </w:p>
    <w:p>
      <w:pPr>
        <w:jc w:val="left"/>
        <w:rPr>
          <w:lang w:val="ru-RU"/>
        </w:rPr>
      </w:pPr>
      <w:r>
        <w:rPr>
          <w:lang w:val="ru-RU"/>
        </w:rPr>
        <w:t xml:space="preserve">{</w:t>
      </w:r>
      <w:r>
        <w:rPr>
          <w:lang w:val="ru-RU"/>
        </w:rPr>
      </w:r>
    </w:p>
    <w:p>
      <w:pPr>
        <w:ind w:firstLine="708"/>
        <w:jc w:val="left"/>
        <w:rPr>
          <w:lang w:val="ru-RU"/>
        </w:rPr>
      </w:pPr>
      <w:r>
        <w:rPr>
          <w:lang w:val="ru-RU"/>
        </w:rPr>
        <w:t xml:space="preserve">(1,a) -&gt; 2, </w:t>
      </w:r>
      <w:r>
        <w:rPr>
          <w:lang w:val="ru-RU"/>
        </w:rPr>
      </w:r>
    </w:p>
    <w:p>
      <w:pPr>
        <w:ind w:firstLine="708"/>
        <w:jc w:val="left"/>
        <w:rPr>
          <w:lang w:val="ru-RU"/>
        </w:rPr>
      </w:pPr>
      <w:r>
        <w:rPr>
          <w:lang w:val="ru-RU"/>
        </w:rPr>
        <w:t xml:space="preserve">(2,b) -&gt; 2, </w:t>
      </w:r>
      <w:r>
        <w:rPr>
          <w:lang w:val="ru-RU"/>
        </w:rPr>
      </w:r>
    </w:p>
    <w:p>
      <w:pPr>
        <w:ind w:firstLine="708"/>
        <w:jc w:val="left"/>
        <w:rPr>
          <w:lang w:val="ru-RU"/>
        </w:rPr>
      </w:pPr>
      <w:r>
        <w:rPr>
          <w:lang w:val="ru-RU"/>
        </w:rPr>
        <w:t xml:space="preserve">(2,a) -&gt; 1</w:t>
      </w:r>
      <w:r>
        <w:rPr>
          <w:lang w:val="ru-RU"/>
        </w:rPr>
      </w:r>
    </w:p>
    <w:p>
      <w:pPr>
        <w:ind w:hanging="0"/>
        <w:jc w:val="left"/>
        <w:rPr>
          <w:lang w:val="ru-RU"/>
        </w:rPr>
      </w:pPr>
      <w:r>
        <w:rPr>
          <w:lang w:val="ru-RU"/>
        </w:rPr>
        <w:t xml:space="preserve">}</w:t>
      </w:r>
      <w:r>
        <w:rPr>
          <w:lang w:val="ru-RU"/>
        </w:rPr>
      </w:r>
    </w:p>
    <w:p>
      <w:pPr>
        <w:ind w:hanging="0"/>
        <w:jc w:val="left"/>
        <w:rPr>
          <w:lang w:val="ru-RU"/>
        </w:rPr>
      </w:pPr>
      <w:r>
        <w:rPr>
          <w:lang w:val="ru-RU"/>
        </w:rPr>
        <w:t xml:space="preserve">Мгновенное (текущее) состояние конечного автомата называют конфигурацией.</w:t>
      </w:r>
      <w:r>
        <w:rPr>
          <w:lang w:val="ru-RU"/>
        </w:rPr>
      </w:r>
    </w:p>
    <w:p>
      <w:pPr>
        <w:ind w:hanging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hanging="0"/>
        <w:jc w:val="left"/>
        <w:rPr>
          <w:b w:val="false"/>
          <w:sz w:val="28"/>
          <w:lang w:val="ru-RU"/>
        </w:rPr>
      </w:pPr>
      <w:r>
        <w:rPr>
          <w:lang w:val="ru-RU"/>
        </w:rPr>
        <w:t xml:space="preserve">аббаа</w:t>
      </w:r>
      <w:r>
        <w:rPr>
          <w:lang w:val="ru-RU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№</w:t>
            </w:r>
            <w:r>
              <w:rPr>
                <w:lang w:val="ru-RU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Состояние</w:t>
            </w:r>
            <w:r>
              <w:rPr>
                <w:lang w:val="ru-RU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Метка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лексема аббаа</w:t>
            </w:r>
            <w:r>
              <w:rPr>
                <w:lang w:val="ru-RU"/>
              </w:rPr>
            </w:r>
          </w:p>
        </w:tc>
      </w:tr>
    </w:tbl>
    <w:p>
      <w:pPr>
        <w:rPr>
          <w:lang w:val="ru-RU"/>
        </w:rPr>
      </w:pP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Для любого автомата можно составить прямолинейную грамматику.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Каждому состоянию сопоставляем нетерминальный символ.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&lt;k1&gt; = 1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&lt;k2&gt; = 2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&lt;k1&gt; ::= a&lt;k2&gt;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&lt;k2&gt; ::= b&lt;k2&gt; | a&lt;k1&gt;|^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Для упрощения можно использовать таблицу переходов для описания автомата</w:t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L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Метка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Семантическая подпрограмма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error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[=] lexeme</w:t>
            </w:r>
            <w:r>
              <w:rPr>
                <w:lang w:val="ru-RU"/>
              </w:rPr>
            </w:r>
          </w:p>
        </w:tc>
      </w:tr>
    </w:tbl>
    <w:p>
      <w:pPr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  <w:t xml:space="preserve">Для школьного языка:</w:t>
      </w:r>
      <w:r>
        <w:rPr>
          <w:lang w:val="ru-RU"/>
        </w:rPr>
      </w:r>
    </w:p>
    <w:p>
      <w:pPr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L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метка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</w:t>
            </w:r>
            <w:r>
              <w:rPr>
                <w:lang w:val="ru-RU"/>
              </w:rPr>
            </w:r>
          </w:p>
        </w:tc>
        <w:tc>
          <w:tcPr>
            <w:tcW w:w="2393" w:type="dxa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Семантическая</w:t>
            </w:r>
            <w:r>
              <w:rPr>
                <w:lang w:val="ru-RU"/>
              </w:rPr>
            </w:r>
          </w:p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подпрограмма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-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ОР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[=] lexeme - OP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&lt;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&gt;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8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=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9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!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error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lexeme - id or terminal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lexeme - const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error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lexeme - const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Ц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[!=] error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7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&lt;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&lt;&lt;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=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&lt;=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[!=] lex - &lt;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8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&gt;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&gt;&gt;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=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&gt;=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[!=] lex - &gt;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9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=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==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[!=] lex - =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10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=</w:t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[=] lex - !=</w:t>
            </w:r>
            <w:r>
              <w:rPr>
                <w:lang w:val="ru-RU"/>
              </w:rPr>
            </w:r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[!=] - error</w:t>
            </w:r>
            <w:r>
              <w:rPr>
                <w:lang w:val="ru-RU"/>
              </w:rPr>
            </w:r>
          </w:p>
        </w:tc>
      </w:tr>
    </w:tbl>
    <w:p>
      <w:r/>
    </w:p>
    <w:p>
      <w:r>
        <w:t xml:space="preserve">ЗАДАЧА НА УДАЧУ</w:t>
      </w:r>
      <w:r/>
    </w:p>
    <w:p>
      <w:r>
        <w:t xml:space="preserve">Описать язык для оператора write(id, const, "qwe")</w:t>
      </w:r>
      <w:r/>
    </w:p>
    <w:p>
      <w:r>
        <w:t xml:space="preserve">Таблица лексем</w:t>
      </w:r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t xml:space="preserve">write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(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)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,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CONST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VARID</w:t>
            </w:r>
            <w:r/>
          </w:p>
        </w:tc>
      </w:tr>
    </w:tbl>
    <w:p>
      <w:r/>
    </w:p>
    <w:p>
      <w:r>
        <w:t xml:space="preserve">Таблица классов</w:t>
      </w:r>
      <w:r/>
    </w:p>
    <w:p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( ) ,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OP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0..9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D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"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SB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utf8</w:t>
            </w:r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>
        <w:drawing>
          <wp:inline xmlns:wp="http://schemas.openxmlformats.org/drawingml/2006/wordprocessingDrawing" distT="0" distB="0" distL="0" distR="0">
            <wp:extent cx="6105524" cy="4210049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05524" cy="42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</w:p>
    <w:p>
      <w:r/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r>
              <w:t xml:space="preserve">L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Метка 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r>
              <w:t xml:space="preserve">Семантическая подпрограмма</w:t>
            </w:r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OP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[=] ( ) ,</w:t>
            </w:r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SB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[!=] - error</w:t>
            </w:r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[!=] - VARID write</w:t>
            </w:r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[!=] - CONST</w:t>
            </w:r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D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B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OP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SB</w:t>
            </w:r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2393" w:type="dxa"/>
            <w:vMerge w:val="restart"/>
            <w:textDirection w:val="lrTb"/>
            <w:noWrap w:val="false"/>
          </w:tcPr>
          <w:p>
            <w:r>
              <w:t xml:space="preserve">[=] - CONST</w:t>
            </w:r>
            <w:r/>
          </w:p>
        </w:tc>
      </w:tr>
    </w:tbl>
    <w:p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