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МАГАЗИННЫЙ АВТОМАТ</w:t>
      </w:r>
      <w:r>
        <w:rPr>
          <w:b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A -&gt; xB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A -&gt; x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A -&gt; B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A -&gt; ^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Шесть чего-то там: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M = { Z, G, Q, D, I, F }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Z - алфавит терминалов (множество возможных переходов)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Q - множество состояний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G - алфавит стэковых элементов (то шо можно ложить в стэк)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I - множество начальных состояний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F - множество конечных состояний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D - (Q x Z x G) -&gt; Q =&gt;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D = { (qi; x; y) -&gt; qj | qi, qj э Q, x э Z U {^}, y э G U{^}}</w:t>
      </w:r>
      <w:r>
        <w:rPr>
          <w:b w:val="false"/>
          <w:sz w:val="28"/>
          <w:lang w:val="ru-RU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МАГАЗИННЫЙ АВТОМАТ</w:t>
      </w:r>
      <w:r>
        <w:rPr>
          <w:b/>
          <w:sz w:val="28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С ПОДАВТОМАТАМИ</w:t>
      </w:r>
      <w:r>
        <w:rPr>
          <w:b/>
          <w:sz w:val="28"/>
          <w:lang w:val="ru-RU"/>
        </w:rPr>
      </w:r>
    </w:p>
    <w:p>
      <w:pPr>
        <w:jc w:val="center"/>
        <w:rPr>
          <w:b w:val="false"/>
          <w:sz w:val="28"/>
          <w:lang w:val="ru-RU"/>
        </w:rPr>
      </w:pPr>
      <w:r>
        <w:rPr>
          <w:b/>
          <w:sz w:val="28"/>
          <w:lang w:val="ru-RU"/>
        </w:rPr>
        <w:t xml:space="preserve">(</w:t>
      </w:r>
      <w:r>
        <w:rPr>
          <w:b w:val="false"/>
          <w:sz w:val="28"/>
          <w:lang w:val="ru-RU"/>
        </w:rPr>
        <w:t xml:space="preserve">я встроил тебе автомат в автомат чтобы ты смог стрелять из автомата пока стреляешь из автомата пока выводишь грамматику)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Пусть у нас есть шото типа этого: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&lt;PROG&gt; ::= A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A ::= x | (A)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1 ; x =&gt; 2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1 ; ( =&gt; 1 down 3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3 ; ) =&gt; 2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При входе в подавтомат вносим в стэк следующее состояние. При выходе из подавтомата вытаскиваем со стэка состояние и переходим к нему.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