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left"/>
      </w:pPr>
      <w:r>
        <w:t xml:space="preserve">Классы делятся на </w:t>
      </w:r>
      <w:r/>
    </w:p>
    <w:p>
      <w:pPr>
        <w:ind w:left="0" w:hanging="0"/>
        <w:jc w:val="left"/>
      </w:pPr>
      <w:r>
        <w:t xml:space="preserve">Классы лексем:</w:t>
      </w:r>
      <w:r/>
    </w:p>
    <w:p>
      <w:pPr>
        <w:pStyle w:val="167"/>
        <w:numPr>
          <w:ilvl w:val="0"/>
          <w:numId w:val="1"/>
        </w:numPr>
        <w:jc w:val="left"/>
      </w:pPr>
      <w:r>
        <w:t xml:space="preserve">терминальные (TRN): for if . , () + * &amp; ...</w:t>
      </w:r>
      <w:r/>
    </w:p>
    <w:p>
      <w:pPr>
        <w:pStyle w:val="167"/>
        <w:numPr>
          <w:ilvl w:val="0"/>
          <w:numId w:val="1"/>
        </w:numPr>
        <w:jc w:val="left"/>
      </w:pPr>
      <w:r>
        <w:t xml:space="preserve">идентификаторы (IDN) : </w:t>
      </w:r>
      <w:r/>
    </w:p>
    <w:p>
      <w:pPr>
        <w:pStyle w:val="167"/>
        <w:numPr>
          <w:ilvl w:val="0"/>
          <w:numId w:val="1"/>
        </w:numPr>
        <w:jc w:val="left"/>
      </w:pPr>
      <w:r>
        <w:t xml:space="preserve">константы (CON) : литеральные константы (цифры, строки, буль)</w:t>
      </w:r>
      <w:r/>
    </w:p>
    <w:p>
      <w:pPr>
        <w:ind w:left="0" w:hanging="0"/>
        <w:jc w:val="left"/>
        <w:rPr>
          <w:b w:val="false"/>
        </w:rPr>
      </w:pPr>
      <w:r>
        <w:t xml:space="preserve">Лексический анализатор имеет на входе </w:t>
      </w:r>
      <w:r>
        <w:rPr>
          <w:b/>
        </w:rPr>
        <w:t xml:space="preserve">текст программы </w:t>
      </w:r>
      <w:r>
        <w:rPr>
          <w:b w:val="false"/>
        </w:rPr>
        <w:t xml:space="preserve">и </w:t>
      </w:r>
      <w:r>
        <w:rPr>
          <w:b/>
        </w:rPr>
        <w:t xml:space="preserve">таблицу лексем</w:t>
      </w:r>
      <w:r>
        <w:rPr>
          <w:b w:val="false"/>
        </w:rPr>
        <w:t xml:space="preserve">.</w:t>
      </w:r>
      <w:r>
        <w:rPr>
          <w:b w:val="false"/>
        </w:rPr>
      </w:r>
    </w:p>
    <w:p>
      <w:pPr>
        <w:ind w:left="0" w:hanging="0"/>
        <w:jc w:val="left"/>
        <w:rPr>
          <w:b/>
        </w:rPr>
      </w:pPr>
      <w:r>
        <w:rPr>
          <w:b w:val="false"/>
        </w:rPr>
        <w:t xml:space="preserve">На выходе имеем выходные таблицы </w:t>
      </w:r>
      <w:r>
        <w:rPr>
          <w:b/>
        </w:rPr>
        <w:t xml:space="preserve">лексем, идентификаторов, констант и меток (если есть).</w:t>
      </w:r>
      <w:r>
        <w:rPr>
          <w:b/>
        </w:rPr>
      </w:r>
      <w:r>
        <w:rPr>
          <w:b/>
        </w:rPr>
      </w:r>
    </w:p>
    <w:p>
      <w:pPr>
        <w:ind w:left="0" w:hanging="0"/>
        <w:jc w:val="left"/>
        <w:rPr>
          <w:b w:val="false"/>
        </w:rPr>
      </w:pPr>
      <w:r>
        <w:rPr>
          <w:b w:val="false"/>
        </w:rPr>
        <w:t xml:space="preserve">Таблица лексем:</w:t>
      </w:r>
      <w:r>
        <w:rPr>
          <w:b w:val="false"/>
        </w:rPr>
      </w:r>
      <w:r>
        <w:rPr>
          <w:b w:val="false"/>
        </w:rPr>
      </w:r>
      <w:r>
        <w:rPr>
          <w:b w:val="false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Код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Лексема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int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single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3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for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4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to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5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do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6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if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7</w:t>
            </w:r>
            <w:r>
              <w:rPr>
                <w:b w:val="fals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in</w:t>
            </w:r>
            <w:r>
              <w:rPr>
                <w:b w:val="false"/>
              </w:rPr>
            </w: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8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</w:rPr>
            </w:pPr>
            <w:r>
              <w:rPr>
                <w:b w:val="false"/>
              </w:rPr>
              <w:t xml:space="preserve">out</w:t>
            </w:r>
            <w:r>
              <w:rPr>
                <w:b w:val="false"/>
              </w:rPr>
            </w: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9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{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10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}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11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;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12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,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13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=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14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&lt;&lt;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15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&gt;&gt;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16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&lt;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17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&gt;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18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&lt;=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19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&gt;=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20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==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21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!=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22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+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23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*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24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(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25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)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100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IDN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101</w:t>
            </w:r>
            <w:r>
              <w:rPr>
                <w:b w:val="fals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CON</w:t>
            </w:r>
            <w:r>
              <w:rPr>
                <w:b w:val="false"/>
              </w:rPr>
            </w:r>
          </w:p>
        </w:tc>
      </w:tr>
    </w:tbl>
    <w:p>
      <w:pPr>
        <w:pStyle w:val="61"/>
        <w:rPr>
          <w:sz w:val="24"/>
        </w:rPr>
      </w:pPr>
      <w:r>
        <w:rPr>
          <w:sz w:val="24"/>
        </w:rPr>
      </w:r>
      <w:r/>
    </w:p>
    <w:p>
      <w:pPr>
        <w:pStyle w:val="61"/>
        <w:rPr>
          <w:sz w:val="24"/>
        </w:rPr>
      </w:pPr>
      <w:r>
        <w:rPr>
          <w:sz w:val="24"/>
        </w:rPr>
        <w:t xml:space="preserve">single a, b;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 xml:space="preserve">int i;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 xml:space="preserve">{</w:t>
      </w:r>
      <w:r>
        <w:rPr>
          <w:sz w:val="24"/>
        </w:rPr>
      </w:r>
    </w:p>
    <w:p>
      <w:pPr>
        <w:pStyle w:val="61"/>
        <w:ind w:firstLine="708"/>
        <w:rPr>
          <w:sz w:val="24"/>
        </w:rPr>
      </w:pPr>
      <w:r>
        <w:rPr>
          <w:sz w:val="24"/>
        </w:rPr>
        <w:t xml:space="preserve">cin &gt;&gt; a;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ab/>
        <w:t xml:space="preserve">b=  1;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ab/>
        <w:t xml:space="preserve">for i = 1 to a do 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ab/>
        <w:t xml:space="preserve">{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ab/>
        <w:tab/>
        <w:t xml:space="preserve">b = b * i;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ab/>
        <w:tab/>
        <w:t xml:space="preserve">cout &lt;&lt; i&lt;&lt; b;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ab/>
        <w:t xml:space="preserve">};</w:t>
      </w:r>
      <w:r>
        <w:rPr>
          <w:sz w:val="24"/>
        </w:rPr>
      </w:r>
    </w:p>
    <w:p>
      <w:pPr>
        <w:pStyle w:val="61"/>
        <w:rPr>
          <w:sz w:val="24"/>
        </w:rPr>
      </w:pPr>
      <w:r>
        <w:rPr>
          <w:sz w:val="24"/>
        </w:rPr>
        <w:t xml:space="preserve">}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r>
        <w:t xml:space="preserve">Выходная таблица лексем:</w:t>
      </w:r>
      <w:r/>
    </w:p>
    <w:p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  <w:textDirection w:val="lrTb"/>
            <w:noWrap w:val="false"/>
          </w:tcPr>
          <w:p>
            <w:r>
              <w:t xml:space="preserve">Номер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Номер строки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Код лексемы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Лексема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Код идентификатора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Код константы</w:t>
            </w:r>
            <w:r/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single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a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,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;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i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{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in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&gt;&gt;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a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;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=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CON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t xml:space="preserve">Таблица идентификаторов:</w:t>
      </w:r>
      <w:r/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r>
              <w:t xml:space="preserve">Код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r>
              <w:t xml:space="preserve">Название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r>
              <w:t xml:space="preserve">Тип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r>
              <w:t xml:space="preserve">Значение</w:t>
            </w:r>
            <w:r/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a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single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single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i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t xml:space="preserve">Таблица констант:</w:t>
      </w:r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>
              <w:t xml:space="preserve">Код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Название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Тип</w:t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>
              <w:t xml:space="preserve">int</w:t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