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Circuit Switching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In circuit switched networks, the resources needed along path a reserved for the duration of communication session. 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Two kinds of </w:t>
      </w:r>
      <w:r>
        <w:rPr>
          <w:b/>
          <w:sz w:val="32"/>
        </w:rPr>
        <w:t xml:space="preserve">CS: </w:t>
      </w:r>
      <w:r>
        <w:rPr>
          <w:b w:val="false"/>
          <w:sz w:val="32"/>
        </w:rPr>
        <w:t xml:space="preserve">FDM &amp; TDM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FDM (Frequency Division Multiplexing) - host will transmit data at certain frequency. Frequency specturm is divided up among connections.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TDM (Time Division Multiplexing) - time is divided into frames of fixed duration. Each frame is divided into a fixed number of time slots. These slots are dedicated for the solo use of connection.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Protocol layers and Service Models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OSI layers: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physical layer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data link layer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network layer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transport layer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session layer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presentation layer</w:t>
      </w:r>
      <w:r>
        <w:rPr>
          <w:b w:val="false"/>
          <w:sz w:val="32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application layer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App</w:t>
      </w:r>
      <w:r>
        <w:rPr>
          <w:b w:val="false"/>
          <w:sz w:val="32"/>
        </w:rPr>
        <w:t xml:space="preserve"> layer - содержит наборы протоколов для доступа к ресурсам сети (HTTP, SMPT, FTP).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Presentation</w:t>
      </w:r>
      <w:r>
        <w:rPr>
          <w:b w:val="false"/>
          <w:sz w:val="32"/>
        </w:rPr>
        <w:t xml:space="preserve"> layer - представительский лвл, обеспечивает преобразование данных в общий для сети формат, (де)шифровка инфы.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Session</w:t>
      </w:r>
      <w:r>
        <w:rPr>
          <w:b w:val="false"/>
          <w:sz w:val="32"/>
        </w:rPr>
        <w:t xml:space="preserve"> layer - управление диалогом, средства для обеспечения сеанса между процессами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Transport</w:t>
      </w:r>
      <w:r>
        <w:rPr>
          <w:b w:val="false"/>
          <w:sz w:val="32"/>
        </w:rPr>
        <w:t xml:space="preserve"> layer - обеспечивает передачу данных (TCP, UDP)</w:t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Network</w:t>
      </w:r>
      <w:r>
        <w:rPr>
          <w:b w:val="false"/>
          <w:sz w:val="32"/>
        </w:rPr>
        <w:t xml:space="preserve"> layer - обеспечивает маршрутизацию, управление потоками данных, адресацию пакетов. Этот уровень обеспечивает связь между разными сетями. 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Data link</w:t>
      </w:r>
      <w:r>
        <w:rPr>
          <w:b w:val="false"/>
          <w:sz w:val="32"/>
        </w:rPr>
        <w:t xml:space="preserve"> layer - управляет доступом к среде передаче, обеспечивает передачу в пределах отдельной сети.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/>
          <w:sz w:val="32"/>
        </w:rPr>
        <w:t xml:space="preserve">Physical</w:t>
      </w:r>
      <w:r>
        <w:rPr>
          <w:b w:val="false"/>
          <w:sz w:val="32"/>
        </w:rPr>
        <w:t xml:space="preserve"> layer - передаёт биты каналами связи. (НЕ ПРОВОДА)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----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Канальный уровень делится на два подуровня: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LLC - logical link control</w:t>
      </w:r>
      <w:r>
        <w:rPr>
          <w:b w:val="false"/>
          <w:sz w:val="32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MAC - media access control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LLC обслуживает сетевого уровня.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MAC регулирует доступ к разделяемой физической среде.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---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Сетевой уровень отвечает за деление пользователей на группы; маршрутизация пакетов.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Протоколы сетевого уровня реализуются операционной системой, а также аппаратными средствами роутеров. 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Протоколы: IP, IPx, x.25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---</w:t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Инкапсуляция - процесс добавления сообщения в сообщение.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  <w:t xml:space="preserve">Каждый слой приписывает к данных свои метаданные (хедеры).</w:t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ind w:left="0" w:hanging="0"/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