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</w:rPr>
      </w:pPr>
      <w:r>
        <w:rPr>
          <w:sz w:val="28"/>
        </w:rPr>
        <w:t xml:space="preserve">Consuetudo est altera natura</w:t>
        <w:tab/>
        <w:t xml:space="preserve">|</w:t>
        <w:tab/>
        <w:t xml:space="preserve">привычка - вторая натура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Cogito ergo sum</w:t>
        <w:tab/>
        <w:tab/>
        <w:tab/>
        <w:tab/>
        <w:t xml:space="preserve">|</w:t>
        <w:tab/>
        <w:t xml:space="preserve">мыслю значит существую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Dic, duc, fac, fer</w:t>
        <w:tab/>
        <w:tab/>
        <w:tab/>
        <w:tab/>
        <w:t xml:space="preserve">|</w:t>
        <w:tab/>
        <w:t xml:space="preserve">говори правду, веди дела честно, выполняй обязанности, преодолевай трудности</w:t>
        <w:tab/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Philosofia est magista vitae</w:t>
        <w:tab/>
        <w:tab/>
        <w:t xml:space="preserve">|</w:t>
        <w:tab/>
        <w:t xml:space="preserve">философия - учитель жизни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—-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  <w:t xml:space="preserve">ну тут типичные правила этикета</w:t>
      </w: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——</w:t>
      </w:r>
      <w:r>
        <w:rPr>
          <w:sz w:val="28"/>
        </w:rPr>
      </w:r>
    </w:p>
    <w:p>
      <w:pPr>
        <w:jc w:val="center"/>
        <w:rPr>
          <w:sz w:val="28"/>
        </w:rPr>
      </w:pPr>
      <w:r>
        <w:rPr>
          <w:sz w:val="28"/>
        </w:rPr>
        <w:t xml:space="preserve">невербальное общение</w:t>
      </w:r>
      <w:r>
        <w:rPr>
          <w:sz w:val="28"/>
        </w:rPr>
      </w:r>
    </w:p>
    <w:p>
      <w:pPr>
        <w:pStyle w:val="248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классификация вербальных способов общения</w:t>
      </w:r>
      <w:r>
        <w:rPr>
          <w:sz w:val="28"/>
        </w:rPr>
      </w:r>
    </w:p>
    <w:p>
      <w:pPr>
        <w:pStyle w:val="248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невербальные способы и этикет делового общения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жесты влияют на собеседника (вау).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итак, классификация:</w:t>
      </w:r>
      <w:r>
        <w:rPr>
          <w:sz w:val="28"/>
        </w:rPr>
      </w:r>
      <w:r>
        <w:rPr>
          <w:sz w:val="28"/>
        </w:rPr>
      </w:r>
    </w:p>
    <w:p>
      <w:pPr>
        <w:pStyle w:val="24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оптико-кинетическая система - мимика, пантомимика</w:t>
      </w:r>
      <w:r>
        <w:rPr>
          <w:sz w:val="28"/>
        </w:rPr>
      </w:r>
    </w:p>
    <w:p>
      <w:pPr>
        <w:pStyle w:val="24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пара-лингвистическая система - вокализация (голос)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24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экстра-лингвитическая система - темп, паузы, плач, смех, кашель</w:t>
      </w:r>
      <w:r>
        <w:rPr>
          <w:sz w:val="28"/>
        </w:rPr>
      </w:r>
    </w:p>
    <w:p>
      <w:pPr>
        <w:pStyle w:val="24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проксемика - система организации времени и места общения</w:t>
      </w:r>
      <w:r>
        <w:rPr>
          <w:sz w:val="28"/>
        </w:rPr>
      </w:r>
    </w:p>
    <w:p>
      <w:pPr>
        <w:pStyle w:val="24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контакт глаз</w:t>
      </w:r>
      <w:r>
        <w:rPr>
          <w:sz w:val="28"/>
        </w:rPr>
      </w:r>
    </w:p>
    <w:p>
      <w:pPr>
        <w:pStyle w:val="248"/>
        <w:numPr>
          <w:ilvl w:val="0"/>
          <w:numId w:val="3"/>
        </w:numPr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bullet"/>
      <w:suff w:val="tab"/>
      <w:lvlText w:val="–"/>
      <w:lvlJc w:val="left"/>
      <w:pPr>
        <w:ind w:left="709" w:hanging="359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hanging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hanging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hanging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hanging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hanging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hanging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hanging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hanging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hanging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basedOn w:val="229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