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b/>
          <w:sz w:val="28"/>
        </w:rPr>
      </w:pPr>
      <w:r>
        <w:rPr>
          <w:b/>
          <w:sz w:val="28"/>
        </w:rPr>
        <w:t xml:space="preserve">АРХИТЕКТУРА РБД</w:t>
      </w:r>
      <w:r>
        <w:rPr>
          <w:b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Делится на две части: верхнюю и нижнюю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8674" cy="341947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638674" cy="3419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5.2pt;height:269.2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both"/>
        <w:rPr>
          <w:sz w:val="28"/>
        </w:rPr>
      </w:pPr>
      <w:r>
        <w:rPr>
          <w:sz w:val="28"/>
        </w:rPr>
        <w:t xml:space="preserve">Логическая модель</w:t>
      </w:r>
      <w:r>
        <w:rPr>
          <w:sz w:val="28"/>
        </w:rPr>
      </w:r>
    </w:p>
    <w:p>
      <w:pPr>
        <w:jc w:val="both"/>
      </w:pPr>
      <w:r>
        <w:rPr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309" cy="4449431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309" cy="4449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350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sz w:val="28"/>
        </w:rPr>
        <w:t xml:space="preserve">Представление - интерфейс пользователя</w:t>
      </w:r>
      <w:r>
        <w:rPr>
          <w:sz w:val="36"/>
        </w:rPr>
      </w:r>
    </w:p>
    <w:p>
      <w:pPr>
        <w:jc w:val="both"/>
        <w:rPr>
          <w:sz w:val="28"/>
        </w:rPr>
      </w:pPr>
      <w:r>
        <w:rPr>
          <w:sz w:val="28"/>
        </w:rPr>
        <w:t xml:space="preserve">Бизнес-логика - основной функционал</w:t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sz w:val="28"/>
        </w:rPr>
        <w:t xml:space="preserve">Хранение - сохранение, контроль целостности</w:t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sz w:val="28"/>
        </w:rPr>
        <w:t xml:space="preserve">Выделяют подархитектуры:</w:t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tbl>
      <w:tblPr>
        <w:tblStyle w:val="4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>
        <w:trPr/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Представление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Файл-сервер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Клиент-сервер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Клиент-сервер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N-tiep</w:t>
            </w:r>
            <w:r>
              <w:rPr>
                <w:sz w:val="28"/>
              </w:rPr>
            </w:r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Бизнес-логика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Клиент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Клиент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Сервер БД (рутины)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Сервер приложений</w:t>
            </w:r>
            <w:r>
              <w:rPr>
                <w:sz w:val="28"/>
              </w:rPr>
            </w:r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Файловая система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Сервер БД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Сервер БД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Сервер БД</w:t>
            </w:r>
            <w:r>
              <w:rPr>
                <w:sz w:val="28"/>
              </w:rPr>
            </w:r>
          </w:p>
        </w:tc>
      </w:tr>
    </w:tbl>
    <w:p>
      <w:pPr>
        <w:jc w:val="both"/>
      </w:pPr>
      <w:r/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ANSI/SPARC архитектура (1978)</w:t>
      </w:r>
      <w:r>
        <w:rPr>
          <w:sz w:val="28"/>
        </w:rPr>
      </w:r>
    </w:p>
    <w:p>
      <w:pPr>
        <w:jc w:val="both"/>
      </w:pPr>
      <w:r>
        <w:rPr>
          <w:b w:val="false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199" cy="2666999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10199" cy="2666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6.0pt;height:21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Логическая архитектура БД</w:t>
      </w:r>
      <w:r>
        <w:rPr>
          <w:b/>
          <w:sz w:val="36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Архитектура взаимосвязанных логикой данных</w:t>
      </w:r>
      <w:r>
        <w:rPr>
          <w:b w:val="false"/>
          <w:sz w:val="36"/>
        </w:rPr>
      </w:r>
    </w:p>
    <w:p>
      <w:pPr>
        <w:jc w:val="both"/>
      </w:pPr>
      <w:r>
        <w:rPr>
          <w:b w:val="false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7389" cy="480182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607389" cy="4801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1.5pt;height:378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both"/>
      </w:pPr>
      <w:r/>
      <w:r/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СХЕМА ФРАГМЕНТАЦИИ/РАЗМЕЩЕНИЯ</w:t>
      </w:r>
      <w:r>
        <w:rPr>
          <w:b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Схема фрагментации - описание того, как логически распределяются данные между узлами.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Схема размещения - описание того, как данные распределяются между узлами с учетом репликаций.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СУБД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Компонент передачи данных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Глобальный системный каталог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РСУБД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В локальной бд каталог описывает только локальные данные.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В глобальной бд каталог описывает фрагментацию и репликации.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Глобальная бд также может быть распределенной.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РСУБД - управляющий элемент всей системы.</w:t>
      </w:r>
      <w:r>
        <w:rPr>
          <w:b w:val="false"/>
          <w:sz w:val="28"/>
        </w:rPr>
      </w:r>
      <w:r/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Функции РСУБД:</w:t>
      </w:r>
      <w:r/>
    </w:p>
    <w:p>
      <w:pPr>
        <w:pStyle w:val="179"/>
        <w:numPr>
          <w:ilvl w:val="0"/>
          <w:numId w:val="4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Способы выполнения распределенных запросов (выполнение и оптимизация)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79"/>
        <w:numPr>
          <w:ilvl w:val="0"/>
          <w:numId w:val="4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Управление параллельностью, репликациями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4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Контроль целостности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4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Восстановление</w:t>
      </w:r>
      <w:r>
        <w:rPr>
          <w:b w:val="false"/>
          <w:sz w:val="28"/>
        </w:rPr>
      </w:r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КЛАССИФИКАЦИЯ РБД</w:t>
      </w:r>
      <w:r>
        <w:rPr>
          <w:b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По однородности: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5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однородные (гомогенные) - используются одно и те же схемы</w:t>
      </w:r>
      <w:r>
        <w:rPr>
          <w:b w:val="false"/>
          <w:sz w:val="28"/>
        </w:rPr>
      </w:r>
    </w:p>
    <w:p>
      <w:pPr>
        <w:pStyle w:val="179"/>
        <w:numPr>
          <w:ilvl w:val="0"/>
          <w:numId w:val="5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неоднородные (гетерогенные) - схемы могут быть разные, разный синтаксис, отличающийся механизм управления БД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По сосредоточенности: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сосредоточенные - все серверы находятся в одном кластере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рассредоточенные  - узлы в разных местах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По типу БД: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7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клиент-серверные</w:t>
      </w:r>
      <w:r>
        <w:rPr>
          <w:b w:val="false"/>
          <w:sz w:val="28"/>
        </w:rPr>
      </w:r>
    </w:p>
    <w:p>
      <w:pPr>
        <w:pStyle w:val="179"/>
        <w:numPr>
          <w:ilvl w:val="0"/>
          <w:numId w:val="7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клиент-фрагментированный сервер</w:t>
      </w:r>
      <w:r>
        <w:rPr>
          <w:b w:val="false"/>
          <w:sz w:val="28"/>
        </w:rPr>
      </w:r>
    </w:p>
    <w:p>
      <w:pPr>
        <w:ind w:left="0" w:hanging="0"/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По типу клиента: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8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тонкий - обработка данных сводится к минимуму</w:t>
      </w:r>
      <w:r>
        <w:rPr>
          <w:b w:val="false"/>
          <w:sz w:val="28"/>
        </w:rPr>
      </w:r>
    </w:p>
    <w:p>
      <w:pPr>
        <w:pStyle w:val="179"/>
        <w:numPr>
          <w:ilvl w:val="0"/>
          <w:numId w:val="8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толстый - к максимуму</w:t>
      </w:r>
      <w:r>
        <w:rPr>
          <w:b w:val="false"/>
          <w:sz w:val="28"/>
        </w:rPr>
      </w:r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АРХИТЕКТУРА НЕЗАВИСИМЫХ СЕРВЕРОВ</w:t>
      </w:r>
      <w:r>
        <w:rPr>
          <w:b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Чтоб получать доступ к данных, на каждом узле должны быть метаданные о других узлах.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/>
        </w:rPr>
      </w:r>
      <w:r>
        <w:rPr>
          <w:b/>
        </w:rPr>
      </w:r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АРХИТЕКТУРА ВЗАИМОДЕЙСТВУЮЩИХ СЕРВЕРОВ</w:t>
      </w:r>
      <w:r>
        <w:rPr>
          <w:b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Чтоб получать доступ к данных, на каждом узле должны быть метаданные о других узлах. + сервера могут обращаться друг к другу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АРХИТЕКТУРА ОДНОРАНГОВОЙ СЕТИ</w:t>
      </w:r>
      <w:r>
        <w:rPr>
          <w:b/>
          <w:sz w:val="28"/>
        </w:rPr>
      </w:r>
      <w:r>
        <w:rPr>
          <w:b w:val="false"/>
        </w:rPr>
      </w:r>
      <w:r>
        <w:rPr>
          <w:b w:val="false"/>
          <w:sz w:val="36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Все узлы являются и клиентами и серверами одновременно, хранят РБД</w:t>
      </w:r>
      <w:r>
        <w:rPr>
          <w:b w:val="false"/>
          <w:sz w:val="28"/>
        </w:rPr>
      </w:r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ПРОЗРАЧНОСТЬ</w:t>
      </w:r>
      <w:r>
        <w:rPr>
          <w:b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Неотличимость работы с локальной и распределенной БД.</w:t>
      </w:r>
      <w:r>
        <w:rPr>
          <w:b w:val="false"/>
          <w:sz w:val="28"/>
        </w:rPr>
      </w:r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12 правил Дейто</w:t>
      </w: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Локальная автономность - управление данными на отдельном узле осуществляется локально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Независимость от центрального узла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База на каждом узле является самодостаточной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База на каждом узле защищена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Непрерывная работа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Независимость от местоположения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Независимость от фрагментации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Независимость от репликации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Обработка распределённых запросов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Распределённые транзакции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Независимость от железа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Независимость от ОС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Независимость от сетевой архитектуры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Независимость от чего-то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ну или как-то так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  <w:t xml:space="preserve">1. Локальная автономия. Это качество означает, что управление данными на каждом из узлов распределенной системы выполняется локально. База данных, расположенная на одном из узлов, является неотъемлемым компонентом распределенной системы. Будучи фрагментом о</w:t>
      </w:r>
      <w:r>
        <w:rPr>
          <w:b w:val="false"/>
          <w:sz w:val="28"/>
        </w:rPr>
        <w:t xml:space="preserve">бщего пространства данных, она в то же время функционирует как полноценная локальная база данных; управление ею выполняется локально и независимо от других узлов системы.</w:t>
      </w:r>
      <w:r/>
      <w:r>
        <w:rPr>
          <w:b w:val="false"/>
          <w:sz w:val="28"/>
        </w:rPr>
      </w:r>
      <w:r/>
    </w:p>
    <w:p>
      <w:pPr>
        <w:jc w:val="both"/>
      </w:pPr>
      <w:r>
        <w:rPr>
          <w:b w:val="false"/>
          <w:sz w:val="28"/>
        </w:rPr>
        <w:t xml:space="preserve">2. Независимость от центрального узла. В идеальной системе все узлы равноправны и независимы, а расположенные на них базы являются равноправными поставщиками данных в общее пространство данных. База данных на каждом из узлов самодостаточна – она включает по</w:t>
      </w:r>
      <w:r>
        <w:rPr>
          <w:b w:val="false"/>
          <w:sz w:val="28"/>
        </w:rPr>
        <w:t xml:space="preserve">лный собственный словарь данных и полностью защищена от несанкционированного доступа.</w:t>
      </w:r>
      <w:r/>
      <w:r>
        <w:rPr>
          <w:b w:val="false"/>
          <w:sz w:val="28"/>
        </w:rPr>
      </w:r>
      <w:r/>
    </w:p>
    <w:p>
      <w:pPr>
        <w:jc w:val="both"/>
      </w:pPr>
      <w:r>
        <w:rPr>
          <w:b w:val="false"/>
          <w:sz w:val="28"/>
        </w:rPr>
        <w:t xml:space="preserve">3. Непрерывные операции. Это качество можно трактовать как возможность непрерывного доступа к данным вне зависимости от их расположения и вне зависимости от операций, выполняемых на локальных узлах.</w:t>
      </w:r>
      <w:r/>
      <w:r>
        <w:rPr>
          <w:b w:val="false"/>
          <w:sz w:val="28"/>
        </w:rPr>
      </w:r>
      <w:r/>
    </w:p>
    <w:p>
      <w:pPr>
        <w:jc w:val="both"/>
      </w:pPr>
      <w:r>
        <w:rPr>
          <w:b w:val="false"/>
          <w:sz w:val="28"/>
        </w:rPr>
        <w:t xml:space="preserve">4. Прозрачность расположения. Это свойство означает полную прозрачность расположения данных. Пользователь, обращающийся к распределенной БД, ничего не должен знать о реальном, физическом размещении данных в узлах информационной системы. Все операции над дан</w:t>
      </w:r>
      <w:r>
        <w:rPr>
          <w:b w:val="false"/>
          <w:sz w:val="28"/>
        </w:rPr>
        <w:t xml:space="preserve">ными выполняются без учета их местонахождения. Транспортировка запросов к базам данных осуществляется встроенными системными средствами.</w:t>
      </w:r>
      <w:r/>
      <w:r>
        <w:rPr>
          <w:b w:val="false"/>
          <w:sz w:val="28"/>
        </w:rPr>
      </w:r>
      <w:r/>
    </w:p>
    <w:p>
      <w:pPr>
        <w:jc w:val="both"/>
      </w:pPr>
      <w:r>
        <w:rPr>
          <w:b w:val="false"/>
          <w:sz w:val="28"/>
        </w:rPr>
        <w:t xml:space="preserve">5. Прозрачная фрагментация. Это свойство трактуется как возможность распределенного (то есть на различных узлах) размещения данных, логически представляющих собой единое целое. Существует фрагментация двух типов: горизонтальная и вертикальная. Первая означа</w:t>
      </w:r>
      <w:r>
        <w:rPr>
          <w:b w:val="false"/>
          <w:sz w:val="28"/>
        </w:rPr>
        <w:t xml:space="preserve">ет хранение строк одной таблицы на различных узлах (фактически, хранение строк одной логической таблицы в нескольких идентичных физических таблицах на различных узлах). Вторая означает распределение столбцов логической таблицы по нескольким узлам.</w:t>
      </w:r>
      <w:r/>
      <w:r>
        <w:rPr>
          <w:b w:val="false"/>
          <w:sz w:val="28"/>
        </w:rPr>
      </w:r>
      <w:r/>
    </w:p>
    <w:p>
      <w:pPr>
        <w:jc w:val="both"/>
      </w:pPr>
      <w:r>
        <w:rPr>
          <w:b w:val="false"/>
          <w:sz w:val="28"/>
        </w:rPr>
        <w:t xml:space="preserve">6. Прозрачность тиражирования. Тиражирование данных –это асинхронный (в общем случае) процесс переноса изменений объектов исходной базы данных в базы, расположенные на других узлах распределенной системы. В данном контексте прозрачность тиражирования означа</w:t>
      </w:r>
      <w:r>
        <w:rPr>
          <w:b w:val="false"/>
          <w:sz w:val="28"/>
        </w:rPr>
        <w:t xml:space="preserve">ет возможность переноса изменений между базами данных средствами, не видимыми пользователю распределенной системы. Данное свойство означает, что тиражирование возможно и достигается внутрисистемными средствами.</w:t>
      </w:r>
      <w:r/>
      <w:r>
        <w:rPr>
          <w:b w:val="false"/>
          <w:sz w:val="28"/>
        </w:rPr>
      </w:r>
      <w:r/>
    </w:p>
    <w:p>
      <w:pPr>
        <w:jc w:val="both"/>
      </w:pPr>
      <w:r>
        <w:rPr>
          <w:b w:val="false"/>
          <w:sz w:val="28"/>
        </w:rPr>
        <w:t xml:space="preserve">7. Обработка распределенных запросов. Это свойство трактуется как возможность выполнения операций выборки над распределенной базой данных, сформулированных в рамках обычного запроса на языке SQL. Другими словами, операцию выборки из распределенной БД можно </w:t>
      </w:r>
      <w:r>
        <w:rPr>
          <w:b w:val="false"/>
          <w:sz w:val="28"/>
        </w:rPr>
        <w:t xml:space="preserve">сформулировать с помощью тех же языковых средств, что и операцию над локальной базой данных.</w:t>
      </w:r>
      <w:r/>
      <w:r>
        <w:rPr>
          <w:b w:val="false"/>
          <w:sz w:val="28"/>
        </w:rPr>
      </w:r>
      <w:r/>
    </w:p>
    <w:p>
      <w:pPr>
        <w:jc w:val="both"/>
      </w:pPr>
      <w:r>
        <w:rPr>
          <w:b w:val="false"/>
          <w:sz w:val="28"/>
        </w:rPr>
        <w:t xml:space="preserve">8. Обработка распределенных транзакций. Это качество распределенной БД можно трактовать как возможность выполнения операций обновления распределенной базы данных (INSERT, UPDATE, DELETE), не разрушающего целостность и согласованность данных.</w:t>
      </w:r>
      <w:r/>
      <w:r>
        <w:rPr>
          <w:b w:val="false"/>
          <w:sz w:val="28"/>
        </w:rPr>
      </w:r>
      <w:r/>
    </w:p>
    <w:p>
      <w:pPr>
        <w:jc w:val="both"/>
      </w:pPr>
      <w:r>
        <w:rPr>
          <w:b w:val="false"/>
          <w:sz w:val="28"/>
        </w:rPr>
        <w:t xml:space="preserve">9. Независимость от оборудования. Это свойство означает, что в качестве узлов распределенной системы могут выступать компьютеры любых моделей и производителей – от мэйнфреймов до “персоналок”.</w:t>
      </w:r>
      <w:r/>
      <w:r>
        <w:rPr>
          <w:b w:val="false"/>
          <w:sz w:val="28"/>
        </w:rPr>
      </w:r>
      <w:r/>
    </w:p>
    <w:p>
      <w:pPr>
        <w:jc w:val="both"/>
      </w:pPr>
      <w:r>
        <w:rPr>
          <w:b w:val="false"/>
          <w:sz w:val="28"/>
        </w:rPr>
        <w:t xml:space="preserve">10. Независимость от операционных систем. Это качество вытекает из предыдущего и означает многообразие операционных систем, управляющих узлами распределенной системы.</w:t>
      </w:r>
      <w:r/>
      <w:r>
        <w:rPr>
          <w:b w:val="false"/>
          <w:sz w:val="28"/>
        </w:rPr>
      </w:r>
      <w:r/>
    </w:p>
    <w:p>
      <w:pPr>
        <w:jc w:val="both"/>
      </w:pPr>
      <w:r>
        <w:rPr>
          <w:b w:val="false"/>
          <w:sz w:val="28"/>
        </w:rPr>
        <w:t xml:space="preserve">11. Прозрачность сети. Доступ к любым базам данных может осуществляться по сети. Спектр поддерживаемых конкретной СУБД сетевых протоколов не должен быть ограничением системы с распределенными базами данных. Данное качество формулируется максимально широко –</w:t>
      </w:r>
      <w:r>
        <w:rPr>
          <w:b w:val="false"/>
          <w:sz w:val="28"/>
        </w:rPr>
        <w:t xml:space="preserve"> в распределенной системе возможны любые сетевые протоколы.</w:t>
      </w:r>
      <w:r/>
      <w:r>
        <w:rPr>
          <w:b w:val="false"/>
          <w:sz w:val="28"/>
        </w:rPr>
      </w:r>
      <w:r/>
    </w:p>
    <w:p>
      <w:pPr>
        <w:jc w:val="both"/>
      </w:pPr>
      <w:r>
        <w:rPr>
          <w:b w:val="false"/>
          <w:sz w:val="28"/>
        </w:rPr>
        <w:t xml:space="preserve">12. Независимость распределенной системы от баз данных. Это качество означает, что в распределенной системе могут “мирно сосуществовать” СУБД различных производителей и возможны операции поиска и обновления в базах данных различных моделей и форматов.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