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Лабораторная работа №6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Оценка размера продукта методом функциональных точек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выполнил студент III курса ТЭФ</w:t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группы ТВ-61</w:t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Калашников-Травин Владислав</w:t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вариант №11</w:t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32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Киев - 2019</w:t>
      </w:r>
      <w:r>
        <w:rPr>
          <w:rFonts w:ascii="Times New Roman" w:hAnsi="Times New Roman" w:cs="Times New Roman" w:eastAsia="Times New Roman"/>
          <w:b w:val="false"/>
          <w:sz w:val="32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ab/>
        <w:t xml:space="preserve">Задача: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Для обліку оренди квартир створюється автоматизована система. У внутрішній базі зберігається інформація про угоди, клієнта - Номер клієнта, ПІБ ,Серія і номер паспорта, а також інвентарні номери квартир та дані держреєстру квартир. Система забезпечує: введе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ння/редагування даних про клієнта, квартиру та угоду; підготовку звітів  про чинні угоди та про клієнтів; пошук потрібної квартири. Методом функціональних точок оцінити розмір системи при TDI=42.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  <w:t xml:space="preserve">Метод функциональных точек позволяет определить объём работ на начальном этапе разработки проекта с точки зрения пользователя. Метод определяет объём продукта количеством функционала, необходимым заказчиком и поставляемым разработчиком. Метод не зависит от платформы/языка/технологии разработки и предоставляет одинаковый подход к оценке всех проектов компании.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  <w:t xml:space="preserve">Результатом работы метода является объём продукта, представленный в виде суммы количеств информационных единиц и элементарных операций (транзакций).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  <w:t xml:space="preserve">Оценка продукта происходит в несколько шагов.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</w:r>
      <w:r>
        <w:rPr>
          <w:rFonts w:ascii="Times New Roman" w:hAnsi="Times New Roman" w:cs="Times New Roman" w:eastAsia="Times New Roman"/>
          <w:b/>
          <w:sz w:val="28"/>
        </w:rPr>
        <w:t xml:space="preserve">Шаг 1. Определение рабочих файлов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Количество рабочих (логических и внешних) файлов напрямую влияет на оценку. Файлы представляют собой логические наборы данных, состоящие из более мелких частей. Файлы можно разделить на две категории: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внутренний логический (отвечает за представление данных внутри системы); сокр. ILF - Internal Logical File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внешний интерфейсный (отвечай за вывод данных пользователю); сокр. External Interface File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Обычно, одному ILF отвечает один EIF.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Файлы можно разбить на подтипы: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(Record Element Type) - логическая группа данных (запись)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DET (Data Element Type) - элементарные части (поля), из которых состоят RET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Подсчитаем количества таких файлов.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1. Договор (итого 5 DET):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номер договора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дата заключения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поставщик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покупатель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квартира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2. Клиент (итого 6 DET):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номер клиента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2.1. ФИО клиента (итого 3 DET)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2.2. Паспортные данные: серия и номер (итого 2 DET)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3. Квартира (итого 10 DET)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инвентарный номер квартиры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3.1. Адрес: страна, город, улица, номер дома (итого 4 DET)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площадь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стоимость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RET 3.2. Данные госреестра (3 DET)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Итого мы получили 3 файла, 7 RET и 21 DET. Примем это количество как за ILF, так и за ELF.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  <w:t xml:space="preserve">Оценим уровень сложности данных, используя матрицу сложности.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4" cy="9144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62224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1.7pt;height:72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36"/>
        </w:rPr>
      </w:pPr>
      <w:r>
        <w:rPr>
          <w:sz w:val="28"/>
        </w:rPr>
        <w:tab/>
      </w:r>
      <w:r>
        <w:rPr>
          <w:rFonts w:ascii="Times New Roman" w:hAnsi="Times New Roman" w:cs="Times New Roman" w:eastAsia="Times New Roman"/>
          <w:sz w:val="28"/>
        </w:rPr>
        <w:t xml:space="preserve">Исходя из таблицы, уровень сложности данных системы высокий.</w:t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ab/>
      </w:r>
      <w:r>
        <w:rPr>
          <w:rFonts w:ascii="Times New Roman" w:hAnsi="Times New Roman" w:cs="Times New Roman" w:eastAsia="Times New Roman"/>
          <w:b/>
          <w:sz w:val="28"/>
        </w:rPr>
        <w:t xml:space="preserve">Шаг 2. </w:t>
      </w:r>
      <w:r>
        <w:rPr>
          <w:rFonts w:ascii="Times New Roman" w:hAnsi="Times New Roman" w:cs="Times New Roman" w:eastAsia="Times New Roman"/>
          <w:b/>
          <w:sz w:val="28"/>
        </w:rPr>
        <w:t xml:space="preserve">Определение транзакций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hanging="0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Транзакция представляет собой элементарный процесс или действие, которое влияет на работу с пользователем, т.е. является существенной. Отличают три вида транзакций: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внешняя входящая (данные приходят из-вне)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внешняя исходящая (подготовка и выдача данных наружу)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внешний запрос (извлечение данных из файлов)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Определим транзакции в соответствии с заданием: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Внешние входящие: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ввод данных о квартире (1 файл, 3 RET и 10 DET) - низкая сл.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ввод данных о пользователе (1 файл, 3 RET и 6 DET) - низкая сл.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ввод данных о договоре (1 файл, 1 RET и 5 DET) - низкая сл.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редактирование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данных о квартире (повторяется)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17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редактирование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/>
      <w:r>
        <w:rPr>
          <w:rFonts w:ascii="Times New Roman" w:hAnsi="Times New Roman" w:cs="Times New Roman" w:eastAsia="Times New Roman"/>
          <w:b w:val="false"/>
          <w:sz w:val="28"/>
        </w:rPr>
        <w:t xml:space="preserve">данных о пользователе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(повторяется)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17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редактирование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/>
      <w:r>
        <w:rPr>
          <w:rFonts w:ascii="Times New Roman" w:hAnsi="Times New Roman" w:cs="Times New Roman" w:eastAsia="Times New Roman"/>
          <w:b w:val="false"/>
          <w:sz w:val="28"/>
        </w:rPr>
        <w:t xml:space="preserve">данных о договоре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(повторяется)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/>
      <w:r/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Внешние исходящие: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2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подготовка отчётов по договорам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(2 файла, 5 DET)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2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подготовка отчётов по клиентам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(1 файл, 6 DET)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2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поиск квартир по критериям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(1 файл, 10 DET)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Внешние запросы: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отображение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отчётов по договорам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(2 файла, 10 DET (условно))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средняя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отображение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отчётов по клиентам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(1 файл, 11 DET (условно))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средняя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179"/>
        <w:numPr>
          <w:ilvl w:val="0"/>
          <w:numId w:val="13"/>
        </w:num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отображение результатов поиска квартир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(1 файл, 10 DET)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- низкая сл.</w:t>
      </w:r>
      <w:r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Оценим уровень сложности транзакций , используя соответствующие матрицы.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799" cy="10858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9799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4.0pt;height:85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</w:pPr>
      <w:r>
        <w:t xml:space="preserve">Уровни сложности входящих транзакций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1274" cy="92392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81274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3.2pt;height:72.7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center"/>
      </w:pPr>
      <w:r>
        <w:t xml:space="preserve">Уровни сложности исходящих транзакций/внешних запросов</w:t>
      </w:r>
      <w:r/>
      <w:r/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Весы сложности для каждого уровня установлены таблицей: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Тип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Низкий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Средний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Высокий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Внешняя входящая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Внешняя исходящая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Внешний запрос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Сложим уровни, учитывая их весы:</w:t>
      </w:r>
      <w:r/>
    </w:p>
    <w:p>
      <w:pPr>
        <w:jc w:val="center"/>
        <w:rPr>
          <w:rFonts w:ascii="Courier New" w:hAnsi="Courier New" w:cs="Courier New" w:eastAsia="Courier New"/>
          <w:sz w:val="28"/>
        </w:rPr>
      </w:pPr>
      <w:r>
        <w:rPr>
          <w:rFonts w:ascii="Courier New" w:hAnsi="Courier New" w:cs="Courier New" w:eastAsia="Courier New"/>
          <w:sz w:val="28"/>
        </w:rPr>
        <w:t xml:space="preserve">TotalFP = 6 * (1 * 3) + 2 * 4 + 1 * 4 + 1 * 4 + 2 * 4 + 1 * 4 + 1 * 3 = 49 FP</w:t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Courier New" w:hAnsi="Courier New" w:cs="Courier New" w:eastAsia="Courier New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Применим выравнивание функциональных точек, используя TDI (Total Degree of Influence) = 42. Этот уровень отображает вес общесистемных требований и представляет собой группу из двенадцати требований. Для выравнивания же используют VAF (Value Added Factor), который напрямую зависит от TDI и общее влияния требований на функциональные точки.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Courier New" w:hAnsi="Courier New" w:cs="Courier New" w:eastAsia="Courier New"/>
          <w:sz w:val="28"/>
        </w:rPr>
        <w:t xml:space="preserve">VAF = TDI * 0.01 + 0.65 = 42 * 0.01 + 0.65 = 1.07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Получим выровненное количество функциональных точек: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center"/>
        <w:rPr>
          <w:rFonts w:ascii="Courier New" w:hAnsi="Courier New" w:cs="Courier New" w:eastAsia="Courier New"/>
          <w:sz w:val="28"/>
        </w:rPr>
      </w:pPr>
      <w:r>
        <w:rPr>
          <w:rFonts w:ascii="Courier New" w:hAnsi="Courier New" w:cs="Courier New" w:eastAsia="Courier New"/>
          <w:sz w:val="28"/>
        </w:rPr>
        <w:t xml:space="preserve">TotalAligned = TotalFP * VAF = 49 * 1.07 ~= 53 FP</w:t>
      </w:r>
      <w:r>
        <w:rPr>
          <w:rFonts w:ascii="Courier New" w:hAnsi="Courier New" w:cs="Courier New" w:eastAsia="Courier New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sz w:val="36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