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</w:rPr>
      </w:pPr>
      <w:r>
        <w:rPr>
          <w:sz w:val="28"/>
        </w:rPr>
        <w:t xml:space="preserve">Процессы оценивания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Знание стандартов процесса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Идентификация клиентской среды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Оценка альтернативных процессов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—-</w:t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Навыки менеджеров проекта</w:t>
      </w:r>
      <w:r>
        <w:rPr>
          <w:b/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Создание структуры множества работ по каждой операции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Документация планов: идентификация ключевых компонент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Оценка стоимости завершения проекта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Оценка трудозатрат, необходимых для завершения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Менеджмент рисков: идентификация, определение влияния и обработка рисков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Отслеживание процесса разработки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Составление графика работ (итераций)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Выбор метрик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Выбор инструментов менеджмента проекта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Отслеживание процессов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Отслеживания хода разработки проекта при помощи выбранных метрик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Навыки HR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Оценка продуктивности - оценка действий команды на улучшение производительности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Вопросы интеллектуальной собственности - понятие ступеней влияния критических проблем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Организация эффективных встреч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Взаимодействие и общение - с разработчиками и остальными членами команды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Лидерство - буст команд для получения оптимальных результатов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Управление сменами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Успешное проведение переговоров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Планировка карьерного роста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Эффективное представление - эффективное использование письменных и устных навыков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Набор персонала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Отбор команд - набор высококомпетентных спецов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Создание команд - формирование, управление и поддержка эффективной команды.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Принцип Питера?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При повышении квалификации работника всегда стоит ожидать понижение эффективности.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